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5973F864" w14:textId="77777777" w:rsidR="00BF5976" w:rsidRDefault="00BF5976" w:rsidP="001A3D47">
      <w:pPr>
        <w:spacing w:line="240" w:lineRule="exact"/>
        <w:rPr>
          <w:color w:val="FF0000"/>
          <w:sz w:val="28"/>
          <w:szCs w:val="28"/>
        </w:rPr>
      </w:pPr>
    </w:p>
    <w:p w14:paraId="64740B83" w14:textId="77777777" w:rsidR="001A3D47" w:rsidRDefault="001A3D47" w:rsidP="00BF5976">
      <w:pPr>
        <w:spacing w:line="240" w:lineRule="exact"/>
        <w:jc w:val="center"/>
        <w:rPr>
          <w:color w:val="FF0000"/>
          <w:sz w:val="28"/>
          <w:szCs w:val="28"/>
        </w:rPr>
      </w:pPr>
    </w:p>
    <w:p w14:paraId="667E8EC1" w14:textId="77777777" w:rsidR="001A3D47" w:rsidRPr="001A3D47" w:rsidRDefault="001A3D47" w:rsidP="001A3D47">
      <w:pPr>
        <w:spacing w:line="240" w:lineRule="exact"/>
        <w:jc w:val="center"/>
        <w:rPr>
          <w:color w:val="FF0000"/>
          <w:sz w:val="28"/>
          <w:szCs w:val="28"/>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26B5E8A7" w:rsidR="00357F4D" w:rsidRPr="00BF5976" w:rsidRDefault="00E67511" w:rsidP="00BF5976">
            <w:pPr>
              <w:pStyle w:val="Caption"/>
              <w:spacing w:before="240" w:line="260" w:lineRule="exact"/>
              <w:rPr>
                <w:b/>
                <w:sz w:val="28"/>
                <w:szCs w:val="28"/>
              </w:rPr>
            </w:pPr>
            <w:r w:rsidRPr="00732169">
              <w:rPr>
                <w:b/>
                <w:sz w:val="28"/>
                <w:szCs w:val="28"/>
              </w:rPr>
              <w:t xml:space="preserve">PETITION TO </w:t>
            </w:r>
            <w:r w:rsidR="00BF5976">
              <w:rPr>
                <w:b/>
                <w:sz w:val="28"/>
                <w:szCs w:val="28"/>
              </w:rPr>
              <w:t>AMEND RULES 32(b) AND (c) OF THE ARIZONA RULES OF SUPREME COURT</w:t>
            </w:r>
            <w:r w:rsidR="00BF5976">
              <w:rPr>
                <w:b/>
                <w:sz w:val="28"/>
                <w:szCs w:val="28"/>
              </w:rPr>
              <w:br/>
            </w:r>
          </w:p>
        </w:tc>
        <w:tc>
          <w:tcPr>
            <w:tcW w:w="4524" w:type="dxa"/>
            <w:tcBorders>
              <w:top w:val="nil"/>
              <w:left w:val="single" w:sz="4" w:space="0" w:color="auto"/>
            </w:tcBorders>
            <w:shd w:val="clear" w:color="auto" w:fill="auto"/>
          </w:tcPr>
          <w:p w14:paraId="35CED5CB" w14:textId="5BC3484C"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BF5976">
              <w:rPr>
                <w:sz w:val="28"/>
                <w:szCs w:val="28"/>
              </w:rPr>
              <w:t>4-0030</w:t>
            </w:r>
          </w:p>
          <w:p w14:paraId="5AEC962D" w14:textId="69E45656" w:rsidR="00357F4D" w:rsidRPr="00405DAC" w:rsidRDefault="00405DAC" w:rsidP="000F7A7F">
            <w:pPr>
              <w:pStyle w:val="Caption"/>
              <w:tabs>
                <w:tab w:val="left" w:pos="1238"/>
              </w:tabs>
              <w:spacing w:line="260" w:lineRule="exact"/>
              <w:ind w:right="115"/>
              <w:jc w:val="center"/>
              <w:rPr>
                <w:b/>
                <w:sz w:val="28"/>
                <w:szCs w:val="28"/>
              </w:rPr>
            </w:pPr>
            <w:r w:rsidRPr="00405DAC">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6D4D082F" w14:textId="5713A273" w:rsidR="00732AEF" w:rsidRDefault="0008003D" w:rsidP="001A3D47">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comment to the above-captioned </w:t>
      </w:r>
      <w:r w:rsidR="00732AEF">
        <w:rPr>
          <w:sz w:val="28"/>
          <w:szCs w:val="28"/>
        </w:rPr>
        <w:t>Petition, requesting</w:t>
      </w:r>
      <w:r w:rsidR="000E1232">
        <w:rPr>
          <w:sz w:val="28"/>
          <w:szCs w:val="28"/>
        </w:rPr>
        <w:t xml:space="preserve"> that the Court deny the Petition</w:t>
      </w:r>
      <w:r w:rsidR="00A4249C">
        <w:rPr>
          <w:sz w:val="28"/>
          <w:szCs w:val="28"/>
        </w:rPr>
        <w:t xml:space="preserve">. </w:t>
      </w:r>
      <w:r w:rsidR="00894792">
        <w:rPr>
          <w:sz w:val="28"/>
          <w:szCs w:val="28"/>
        </w:rPr>
        <w:t>While the State Bar agrees that this Court is the proper forum to decide the structure and mission of the State Bar, the State Bar opposes the proposed rule</w:t>
      </w:r>
      <w:r w:rsidR="00B67D33">
        <w:rPr>
          <w:sz w:val="28"/>
          <w:szCs w:val="28"/>
        </w:rPr>
        <w:t xml:space="preserve"> </w:t>
      </w:r>
      <w:r w:rsidR="00894792">
        <w:rPr>
          <w:sz w:val="28"/>
          <w:szCs w:val="28"/>
        </w:rPr>
        <w:t>amendments for the reasons s</w:t>
      </w:r>
      <w:r w:rsidR="00732AEF">
        <w:rPr>
          <w:sz w:val="28"/>
          <w:szCs w:val="28"/>
        </w:rPr>
        <w:t>et forth</w:t>
      </w:r>
      <w:r w:rsidR="00894792">
        <w:rPr>
          <w:sz w:val="28"/>
          <w:szCs w:val="28"/>
        </w:rPr>
        <w:t xml:space="preserve"> in this Comment</w:t>
      </w:r>
      <w:r w:rsidR="000B22CB">
        <w:rPr>
          <w:sz w:val="28"/>
          <w:szCs w:val="28"/>
        </w:rPr>
        <w:t xml:space="preserve">. </w:t>
      </w:r>
      <w:r w:rsidR="005B1FFB">
        <w:rPr>
          <w:sz w:val="28"/>
          <w:szCs w:val="28"/>
        </w:rPr>
        <w:t>A</w:t>
      </w:r>
      <w:r w:rsidR="00732AEF">
        <w:rPr>
          <w:sz w:val="28"/>
          <w:szCs w:val="28"/>
        </w:rPr>
        <w:t xml:space="preserve">dopting the proposed amendments would </w:t>
      </w:r>
      <w:r w:rsidR="005B1FFB">
        <w:rPr>
          <w:sz w:val="28"/>
          <w:szCs w:val="28"/>
        </w:rPr>
        <w:t>be detrimental to</w:t>
      </w:r>
      <w:r w:rsidR="00732AEF">
        <w:rPr>
          <w:sz w:val="28"/>
          <w:szCs w:val="28"/>
        </w:rPr>
        <w:t xml:space="preserve"> the legal community and the public, as explained in more detail below. </w:t>
      </w:r>
      <w:r w:rsidR="0038499B">
        <w:rPr>
          <w:sz w:val="28"/>
          <w:szCs w:val="28"/>
        </w:rPr>
        <w:t xml:space="preserve">In short, approving the Petition would undermine the State Bar’s ability to carry out its mission as provided by the Court. </w:t>
      </w:r>
    </w:p>
    <w:p w14:paraId="2D49743F" w14:textId="4CD776E1" w:rsidR="00C27531" w:rsidRDefault="00C27531" w:rsidP="000B22CB">
      <w:pPr>
        <w:pStyle w:val="Body"/>
        <w:widowControl w:val="0"/>
        <w:spacing w:line="480" w:lineRule="auto"/>
        <w:ind w:firstLine="0"/>
        <w:jc w:val="center"/>
        <w:rPr>
          <w:b/>
          <w:bCs/>
          <w:sz w:val="28"/>
          <w:szCs w:val="28"/>
        </w:rPr>
      </w:pPr>
      <w:r>
        <w:rPr>
          <w:b/>
          <w:bCs/>
          <w:sz w:val="28"/>
          <w:szCs w:val="28"/>
        </w:rPr>
        <w:t>BACKGROUND</w:t>
      </w:r>
    </w:p>
    <w:p w14:paraId="6B42A740" w14:textId="51F068F4" w:rsidR="00E42A3C" w:rsidRDefault="0069761C" w:rsidP="00E42A3C">
      <w:pPr>
        <w:pStyle w:val="Body"/>
        <w:widowControl w:val="0"/>
        <w:spacing w:line="480" w:lineRule="auto"/>
        <w:ind w:firstLine="720"/>
        <w:jc w:val="both"/>
        <w:rPr>
          <w:sz w:val="28"/>
          <w:szCs w:val="28"/>
        </w:rPr>
      </w:pPr>
      <w:r>
        <w:rPr>
          <w:sz w:val="28"/>
          <w:szCs w:val="28"/>
        </w:rPr>
        <w:t xml:space="preserve">The State Bar </w:t>
      </w:r>
      <w:r>
        <w:rPr>
          <w:i/>
          <w:sz w:val="28"/>
          <w:szCs w:val="28"/>
        </w:rPr>
        <w:t>“</w:t>
      </w:r>
      <w:r w:rsidRPr="0069761C">
        <w:rPr>
          <w:iCs/>
          <w:sz w:val="28"/>
          <w:szCs w:val="28"/>
        </w:rPr>
        <w:t xml:space="preserve">exists to serve and protect the public with respect to the </w:t>
      </w:r>
      <w:r w:rsidRPr="0069761C">
        <w:rPr>
          <w:iCs/>
          <w:sz w:val="28"/>
          <w:szCs w:val="28"/>
        </w:rPr>
        <w:lastRenderedPageBreak/>
        <w:t>provision of legal services and access to justice</w:t>
      </w:r>
      <w:r>
        <w:rPr>
          <w:i/>
          <w:sz w:val="28"/>
          <w:szCs w:val="28"/>
        </w:rPr>
        <w:t xml:space="preserve">.” </w:t>
      </w:r>
      <w:r>
        <w:rPr>
          <w:sz w:val="28"/>
          <w:szCs w:val="28"/>
        </w:rPr>
        <w:t>Rule 32(a)(2)</w:t>
      </w:r>
      <w:r w:rsidR="00E42A3C">
        <w:rPr>
          <w:sz w:val="28"/>
          <w:szCs w:val="28"/>
        </w:rPr>
        <w:t xml:space="preserve">, Ariz. R. Sup. Ct. This mission was given to the State Bar </w:t>
      </w:r>
      <w:r w:rsidR="008E1A35">
        <w:rPr>
          <w:sz w:val="28"/>
          <w:szCs w:val="28"/>
        </w:rPr>
        <w:t>by</w:t>
      </w:r>
      <w:r w:rsidR="00E42A3C">
        <w:rPr>
          <w:sz w:val="28"/>
          <w:szCs w:val="28"/>
        </w:rPr>
        <w:t xml:space="preserve"> th</w:t>
      </w:r>
      <w:r w:rsidR="0055039A">
        <w:rPr>
          <w:sz w:val="28"/>
          <w:szCs w:val="28"/>
        </w:rPr>
        <w:t>is</w:t>
      </w:r>
      <w:r w:rsidR="00E42A3C">
        <w:rPr>
          <w:sz w:val="28"/>
          <w:szCs w:val="28"/>
        </w:rPr>
        <w:t xml:space="preserve"> Court and the State Bar carries out programs and activities, including but not limited to lawyer regulation, </w:t>
      </w:r>
      <w:r w:rsidR="008E1A35">
        <w:rPr>
          <w:sz w:val="28"/>
          <w:szCs w:val="28"/>
        </w:rPr>
        <w:t>in furtherance of</w:t>
      </w:r>
      <w:r w:rsidR="00E42A3C">
        <w:rPr>
          <w:sz w:val="28"/>
          <w:szCs w:val="28"/>
        </w:rPr>
        <w:t xml:space="preserve"> this mission. The Petition</w:t>
      </w:r>
      <w:r w:rsidR="00264F0B">
        <w:rPr>
          <w:sz w:val="28"/>
          <w:szCs w:val="28"/>
        </w:rPr>
        <w:t xml:space="preserve"> exaggerates the amount and scope of the lobb</w:t>
      </w:r>
      <w:r w:rsidR="00C07590">
        <w:rPr>
          <w:sz w:val="28"/>
          <w:szCs w:val="28"/>
        </w:rPr>
        <w:t>y</w:t>
      </w:r>
      <w:r w:rsidR="00264F0B">
        <w:rPr>
          <w:sz w:val="28"/>
          <w:szCs w:val="28"/>
        </w:rPr>
        <w:t>ing</w:t>
      </w:r>
      <w:r w:rsidR="00B67D33">
        <w:rPr>
          <w:sz w:val="28"/>
          <w:szCs w:val="28"/>
        </w:rPr>
        <w:t xml:space="preserve"> </w:t>
      </w:r>
      <w:r w:rsidR="00264F0B">
        <w:rPr>
          <w:sz w:val="28"/>
          <w:szCs w:val="28"/>
        </w:rPr>
        <w:t>activity the State Bar engages</w:t>
      </w:r>
      <w:r w:rsidR="008E1A35">
        <w:rPr>
          <w:sz w:val="28"/>
          <w:szCs w:val="28"/>
        </w:rPr>
        <w:t xml:space="preserve"> in</w:t>
      </w:r>
      <w:r w:rsidR="00264F0B">
        <w:rPr>
          <w:sz w:val="28"/>
          <w:szCs w:val="28"/>
        </w:rPr>
        <w:t xml:space="preserve"> and overlooks the many programs and activities conducted in furtherance of our missio</w:t>
      </w:r>
      <w:r w:rsidR="00071755">
        <w:rPr>
          <w:sz w:val="28"/>
          <w:szCs w:val="28"/>
        </w:rPr>
        <w:t>n.</w:t>
      </w:r>
    </w:p>
    <w:p w14:paraId="634DCF1B" w14:textId="639C1690" w:rsidR="00DD26CD" w:rsidRDefault="007C65CA" w:rsidP="00DD26CD">
      <w:pPr>
        <w:pStyle w:val="Body"/>
        <w:widowControl w:val="0"/>
        <w:spacing w:line="480" w:lineRule="auto"/>
        <w:ind w:firstLine="720"/>
        <w:jc w:val="both"/>
        <w:rPr>
          <w:sz w:val="28"/>
          <w:szCs w:val="28"/>
        </w:rPr>
      </w:pPr>
      <w:r>
        <w:rPr>
          <w:sz w:val="28"/>
          <w:szCs w:val="28"/>
        </w:rPr>
        <w:t>This Petition follows prior similar petitions filed by the Goldwater Institute in 2017 and 2019</w:t>
      </w:r>
      <w:r w:rsidR="00DD26CD">
        <w:rPr>
          <w:sz w:val="28"/>
          <w:szCs w:val="28"/>
        </w:rPr>
        <w:t xml:space="preserve">—both of which were denied. </w:t>
      </w:r>
      <w:r w:rsidR="00AD2A3D">
        <w:rPr>
          <w:sz w:val="28"/>
          <w:szCs w:val="28"/>
        </w:rPr>
        <w:t>Additionally, i</w:t>
      </w:r>
      <w:r w:rsidR="00DD26CD">
        <w:rPr>
          <w:sz w:val="28"/>
          <w:szCs w:val="28"/>
        </w:rPr>
        <w:t xml:space="preserve">n 2014, this Court convened by Administrative Order No. 2014-79, the Task Force on the Review of the </w:t>
      </w:r>
      <w:proofErr w:type="gramStart"/>
      <w:r w:rsidR="00DD26CD">
        <w:rPr>
          <w:sz w:val="28"/>
          <w:szCs w:val="28"/>
        </w:rPr>
        <w:t>Role</w:t>
      </w:r>
      <w:proofErr w:type="gramEnd"/>
      <w:r w:rsidR="00DD26CD">
        <w:rPr>
          <w:sz w:val="28"/>
          <w:szCs w:val="28"/>
        </w:rPr>
        <w:t xml:space="preserve"> and Governance Structure of the State Bar of Arizona (“Task Force”). The Task Force was charged with</w:t>
      </w:r>
      <w:r w:rsidR="00AD2A3D">
        <w:rPr>
          <w:sz w:val="28"/>
          <w:szCs w:val="28"/>
        </w:rPr>
        <w:t xml:space="preserve">, </w:t>
      </w:r>
      <w:r w:rsidR="00AD2A3D" w:rsidRPr="00DC0445">
        <w:rPr>
          <w:i/>
          <w:iCs/>
          <w:sz w:val="28"/>
          <w:szCs w:val="28"/>
        </w:rPr>
        <w:t>inter alia</w:t>
      </w:r>
      <w:r w:rsidR="00AD2A3D">
        <w:rPr>
          <w:sz w:val="28"/>
          <w:szCs w:val="28"/>
        </w:rPr>
        <w:t>,</w:t>
      </w:r>
      <w:r w:rsidR="00DD26CD">
        <w:rPr>
          <w:sz w:val="28"/>
          <w:szCs w:val="28"/>
        </w:rPr>
        <w:t xml:space="preserve"> examining</w:t>
      </w:r>
      <w:r w:rsidR="00AD2A3D">
        <w:rPr>
          <w:sz w:val="28"/>
          <w:szCs w:val="28"/>
        </w:rPr>
        <w:t xml:space="preserve"> the</w:t>
      </w:r>
      <w:r w:rsidR="00DD26CD">
        <w:rPr>
          <w:sz w:val="28"/>
          <w:szCs w:val="28"/>
        </w:rPr>
        <w:t xml:space="preserve"> structure of the State Bar. On September 1, 2015, the Task Force submitted its final report</w:t>
      </w:r>
      <w:r w:rsidR="007B2B70">
        <w:rPr>
          <w:sz w:val="28"/>
          <w:szCs w:val="28"/>
        </w:rPr>
        <w:t xml:space="preserve"> (the “Task Force Report”)</w:t>
      </w:r>
      <w:r w:rsidR="00DD26CD">
        <w:rPr>
          <w:sz w:val="28"/>
          <w:szCs w:val="28"/>
        </w:rPr>
        <w:t xml:space="preserve"> to this Court. In th</w:t>
      </w:r>
      <w:r w:rsidR="007B2B70">
        <w:rPr>
          <w:sz w:val="28"/>
          <w:szCs w:val="28"/>
        </w:rPr>
        <w:t>e Task Force Report,</w:t>
      </w:r>
      <w:r w:rsidR="00DD26CD">
        <w:rPr>
          <w:sz w:val="28"/>
          <w:szCs w:val="28"/>
        </w:rPr>
        <w:t xml:space="preserve"> the Task Force summarized the important interplay between the services the State Bar provides as an integrated bar and protection of the public as follows:</w:t>
      </w:r>
    </w:p>
    <w:p w14:paraId="74B24E5C" w14:textId="77777777" w:rsidR="00AD2A3D" w:rsidRDefault="00DD26CD" w:rsidP="00DD26CD">
      <w:pPr>
        <w:pStyle w:val="Body"/>
        <w:widowControl w:val="0"/>
        <w:spacing w:line="240" w:lineRule="auto"/>
        <w:ind w:left="720" w:right="720" w:firstLine="0"/>
        <w:jc w:val="both"/>
        <w:rPr>
          <w:sz w:val="28"/>
          <w:szCs w:val="28"/>
        </w:rPr>
      </w:pPr>
      <w:r>
        <w:rPr>
          <w:sz w:val="28"/>
          <w:szCs w:val="28"/>
        </w:rPr>
        <w:t xml:space="preserve">An integrated bar benefits not only the Court and the bar, but the public as well.  The Court has adopted ethical rules for the protection of the public, and the bar’s regulatory function assists the Court in enforcing those rules. But what is equally important is that the bar works proactively to assure that its attorney members comply with the rules. The bar educates it [sic] members on professionalism and ethics and provides an ethics hotline so that attorneys may receive advice on specific ethics questions. It assists attorneys with trust account regulations and law office management. It promotes the competence of </w:t>
      </w:r>
      <w:r>
        <w:rPr>
          <w:sz w:val="28"/>
          <w:szCs w:val="28"/>
        </w:rPr>
        <w:lastRenderedPageBreak/>
        <w:t>its members by establishing sections in specific areas of practice and by educating members in substantive matters of law. The bar is not required to provide these services to fulfill its regulatory function, yet these services promote attorney competence, and they therefore play an important role in consumer protection and serving public interest.</w:t>
      </w:r>
    </w:p>
    <w:p w14:paraId="3B0F1DF8" w14:textId="77751189" w:rsidR="00DD26CD" w:rsidRDefault="00DD26CD" w:rsidP="00AD2A3D">
      <w:pPr>
        <w:pStyle w:val="Body"/>
        <w:widowControl w:val="0"/>
        <w:spacing w:line="240" w:lineRule="auto"/>
        <w:ind w:right="720"/>
        <w:jc w:val="both"/>
        <w:rPr>
          <w:sz w:val="28"/>
          <w:szCs w:val="28"/>
        </w:rPr>
      </w:pPr>
      <w:r>
        <w:rPr>
          <w:sz w:val="28"/>
          <w:szCs w:val="28"/>
        </w:rPr>
        <w:t xml:space="preserve"> </w:t>
      </w:r>
    </w:p>
    <w:p w14:paraId="53802A71" w14:textId="4AF3D60E" w:rsidR="00DC0445" w:rsidRDefault="00DC0445" w:rsidP="00AD2A3D">
      <w:pPr>
        <w:pStyle w:val="Body"/>
        <w:widowControl w:val="0"/>
        <w:spacing w:line="480" w:lineRule="auto"/>
        <w:ind w:firstLine="0"/>
        <w:jc w:val="both"/>
        <w:rPr>
          <w:sz w:val="28"/>
          <w:szCs w:val="28"/>
        </w:rPr>
      </w:pPr>
      <w:r>
        <w:rPr>
          <w:i/>
          <w:iCs/>
          <w:sz w:val="28"/>
          <w:szCs w:val="28"/>
        </w:rPr>
        <w:t xml:space="preserve">See </w:t>
      </w:r>
      <w:r>
        <w:rPr>
          <w:sz w:val="28"/>
          <w:szCs w:val="28"/>
        </w:rPr>
        <w:t xml:space="preserve">Page 9, Report of the Task Force on the Review of the Role and Governance Structure of the State Bar of Arizona, September 1, 2015, which can be found at: </w:t>
      </w:r>
      <w:hyperlink r:id="rId8" w:history="1">
        <w:r w:rsidRPr="00066C42">
          <w:rPr>
            <w:rStyle w:val="Hyperlink"/>
            <w:sz w:val="28"/>
            <w:szCs w:val="28"/>
          </w:rPr>
          <w:t>https://www.azcourts.gov/Portals/74/GOV/REPORT/WebFINALMandGReport%2008312015.pdf</w:t>
        </w:r>
      </w:hyperlink>
      <w:r>
        <w:rPr>
          <w:sz w:val="28"/>
          <w:szCs w:val="28"/>
        </w:rPr>
        <w:t>.</w:t>
      </w:r>
      <w:r w:rsidR="0055039A">
        <w:rPr>
          <w:sz w:val="28"/>
          <w:szCs w:val="28"/>
        </w:rPr>
        <w:t xml:space="preserve"> </w:t>
      </w:r>
    </w:p>
    <w:p w14:paraId="630792E4" w14:textId="11127AB9" w:rsidR="00BC2F3B" w:rsidRDefault="006340D8" w:rsidP="00DC0445">
      <w:pPr>
        <w:pStyle w:val="Body"/>
        <w:widowControl w:val="0"/>
        <w:spacing w:line="480" w:lineRule="auto"/>
        <w:ind w:firstLine="720"/>
        <w:jc w:val="both"/>
        <w:rPr>
          <w:sz w:val="28"/>
          <w:szCs w:val="28"/>
        </w:rPr>
      </w:pPr>
      <w:r>
        <w:rPr>
          <w:sz w:val="28"/>
          <w:szCs w:val="28"/>
        </w:rPr>
        <w:t>Petitioners’</w:t>
      </w:r>
      <w:r w:rsidR="0021314B">
        <w:rPr>
          <w:sz w:val="28"/>
          <w:szCs w:val="28"/>
        </w:rPr>
        <w:t xml:space="preserve"> attempt to narrow the scope of membership fees and cut funding to the</w:t>
      </w:r>
      <w:r w:rsidR="001A3D47">
        <w:rPr>
          <w:sz w:val="28"/>
          <w:szCs w:val="28"/>
        </w:rPr>
        <w:t xml:space="preserve"> State</w:t>
      </w:r>
      <w:r w:rsidR="0021314B">
        <w:rPr>
          <w:sz w:val="28"/>
          <w:szCs w:val="28"/>
        </w:rPr>
        <w:t xml:space="preserve"> Bar based on Petitioners</w:t>
      </w:r>
      <w:r>
        <w:rPr>
          <w:sz w:val="28"/>
          <w:szCs w:val="28"/>
        </w:rPr>
        <w:t>’</w:t>
      </w:r>
      <w:r w:rsidR="0021314B">
        <w:rPr>
          <w:sz w:val="28"/>
          <w:szCs w:val="28"/>
        </w:rPr>
        <w:t xml:space="preserve"> </w:t>
      </w:r>
      <w:r w:rsidR="00732AEF">
        <w:rPr>
          <w:sz w:val="28"/>
          <w:szCs w:val="28"/>
        </w:rPr>
        <w:t>ongoing</w:t>
      </w:r>
      <w:r w:rsidR="00D37CC3">
        <w:rPr>
          <w:sz w:val="28"/>
          <w:szCs w:val="28"/>
        </w:rPr>
        <w:t xml:space="preserve"> mission to redefine annual dues would come at the expense of Arizona’s judicial system and the public. Moreover, the State Bar continues to prove its fiscal responsibility</w:t>
      </w:r>
      <w:r w:rsidR="00542E7C">
        <w:rPr>
          <w:sz w:val="28"/>
          <w:szCs w:val="28"/>
        </w:rPr>
        <w:t xml:space="preserve"> and stewardship</w:t>
      </w:r>
      <w:r w:rsidR="00071755">
        <w:rPr>
          <w:sz w:val="28"/>
          <w:szCs w:val="28"/>
        </w:rPr>
        <w:t xml:space="preserve"> each year. </w:t>
      </w:r>
      <w:r w:rsidR="00D37CC3">
        <w:rPr>
          <w:sz w:val="28"/>
          <w:szCs w:val="28"/>
        </w:rPr>
        <w:t>The last</w:t>
      </w:r>
      <w:r w:rsidR="00BC2F3B">
        <w:rPr>
          <w:sz w:val="28"/>
          <w:szCs w:val="28"/>
        </w:rPr>
        <w:t xml:space="preserve"> </w:t>
      </w:r>
      <w:r w:rsidR="00817985">
        <w:rPr>
          <w:sz w:val="28"/>
          <w:szCs w:val="28"/>
        </w:rPr>
        <w:t>mod</w:t>
      </w:r>
      <w:r w:rsidR="00542E7C">
        <w:rPr>
          <w:sz w:val="28"/>
          <w:szCs w:val="28"/>
        </w:rPr>
        <w:t>est</w:t>
      </w:r>
      <w:r w:rsidR="00D37CC3">
        <w:rPr>
          <w:sz w:val="28"/>
          <w:szCs w:val="28"/>
        </w:rPr>
        <w:t xml:space="preserve"> </w:t>
      </w:r>
      <w:r w:rsidR="00BC2F3B">
        <w:rPr>
          <w:sz w:val="28"/>
          <w:szCs w:val="28"/>
        </w:rPr>
        <w:t xml:space="preserve">annual fee </w:t>
      </w:r>
      <w:r w:rsidR="00D37CC3">
        <w:rPr>
          <w:sz w:val="28"/>
          <w:szCs w:val="28"/>
        </w:rPr>
        <w:t>increase</w:t>
      </w:r>
      <w:r w:rsidR="00BC2F3B">
        <w:rPr>
          <w:sz w:val="28"/>
          <w:szCs w:val="28"/>
        </w:rPr>
        <w:t xml:space="preserve"> took place in 2017. </w:t>
      </w:r>
      <w:r w:rsidR="00BC2F3B" w:rsidRPr="00BC2F3B">
        <w:rPr>
          <w:i/>
          <w:iCs/>
          <w:sz w:val="28"/>
          <w:szCs w:val="28"/>
        </w:rPr>
        <w:t xml:space="preserve">See </w:t>
      </w:r>
      <w:r w:rsidR="00BC2F3B">
        <w:rPr>
          <w:sz w:val="28"/>
          <w:szCs w:val="28"/>
        </w:rPr>
        <w:t xml:space="preserve">A.O. 2016-52 </w:t>
      </w:r>
      <w:hyperlink r:id="rId9" w:history="1">
        <w:r w:rsidR="00BC2F3B" w:rsidRPr="00C84049">
          <w:rPr>
            <w:rStyle w:val="Hyperlink"/>
            <w:sz w:val="28"/>
            <w:szCs w:val="28"/>
          </w:rPr>
          <w:t>https://www.azcourts.gov/Portals/22/admorder/Orders16/2016-52.pdf</w:t>
        </w:r>
      </w:hyperlink>
      <w:r w:rsidR="00BC2F3B">
        <w:rPr>
          <w:sz w:val="28"/>
          <w:szCs w:val="28"/>
        </w:rPr>
        <w:t xml:space="preserve">. In 2018, the State Bar’s Board of Governors advised the Court that the membership fee increase scheduled for 2019 was not necessary and the Court then ordered that there be no increase in membership fees until further order from this Court. </w:t>
      </w:r>
      <w:r w:rsidR="00BC2F3B">
        <w:rPr>
          <w:i/>
          <w:iCs/>
          <w:sz w:val="28"/>
          <w:szCs w:val="28"/>
        </w:rPr>
        <w:t xml:space="preserve">See </w:t>
      </w:r>
      <w:r w:rsidR="00BC2F3B">
        <w:rPr>
          <w:sz w:val="28"/>
          <w:szCs w:val="28"/>
        </w:rPr>
        <w:t xml:space="preserve">A.O. 2018-67 </w:t>
      </w:r>
      <w:hyperlink r:id="rId10" w:history="1">
        <w:r w:rsidR="00BC2F3B" w:rsidRPr="00C84049">
          <w:rPr>
            <w:rStyle w:val="Hyperlink"/>
            <w:sz w:val="28"/>
            <w:szCs w:val="28"/>
          </w:rPr>
          <w:t>https://www.azcourts.gov/Portals/22/admorder/Orders18/2018-67.pdf</w:t>
        </w:r>
      </w:hyperlink>
      <w:r w:rsidR="00BC2F3B">
        <w:rPr>
          <w:sz w:val="28"/>
          <w:szCs w:val="28"/>
        </w:rPr>
        <w:t>.</w:t>
      </w:r>
      <w:r w:rsidR="00DC0445">
        <w:rPr>
          <w:sz w:val="28"/>
          <w:szCs w:val="28"/>
        </w:rPr>
        <w:t xml:space="preserve"> There has been no increase since 2017. </w:t>
      </w:r>
    </w:p>
    <w:p w14:paraId="00F87533" w14:textId="2F2129E5" w:rsidR="00C27531" w:rsidRPr="00C27531" w:rsidRDefault="009F3703" w:rsidP="00BC2F3B">
      <w:pPr>
        <w:pStyle w:val="Body"/>
        <w:widowControl w:val="0"/>
        <w:spacing w:line="480" w:lineRule="auto"/>
        <w:ind w:firstLine="720"/>
        <w:jc w:val="both"/>
        <w:rPr>
          <w:sz w:val="28"/>
          <w:szCs w:val="28"/>
        </w:rPr>
      </w:pPr>
      <w:r>
        <w:rPr>
          <w:sz w:val="28"/>
          <w:szCs w:val="28"/>
        </w:rPr>
        <w:t>Contrary to the assertions made in the Petition, the State Bar is a steward</w:t>
      </w:r>
      <w:r w:rsidR="00E41F77">
        <w:rPr>
          <w:sz w:val="28"/>
          <w:szCs w:val="28"/>
        </w:rPr>
        <w:t xml:space="preserve"> of</w:t>
      </w:r>
      <w:r>
        <w:rPr>
          <w:sz w:val="28"/>
          <w:szCs w:val="28"/>
        </w:rPr>
        <w:t xml:space="preserve"> the annual fees that allow the practice of law and protection of the public to be a self-</w:t>
      </w:r>
      <w:r>
        <w:rPr>
          <w:sz w:val="28"/>
          <w:szCs w:val="28"/>
        </w:rPr>
        <w:lastRenderedPageBreak/>
        <w:t xml:space="preserve">sustaining </w:t>
      </w:r>
      <w:r w:rsidR="00E41F77">
        <w:rPr>
          <w:sz w:val="28"/>
          <w:szCs w:val="28"/>
        </w:rPr>
        <w:t>profession in this state.</w:t>
      </w:r>
    </w:p>
    <w:p w14:paraId="14A48F7F" w14:textId="627A46F0" w:rsidR="00C27531" w:rsidRDefault="00C27531" w:rsidP="00817985">
      <w:pPr>
        <w:pStyle w:val="Body"/>
        <w:widowControl w:val="0"/>
        <w:spacing w:line="480" w:lineRule="auto"/>
        <w:ind w:firstLine="0"/>
        <w:jc w:val="center"/>
        <w:rPr>
          <w:b/>
          <w:bCs/>
          <w:sz w:val="28"/>
          <w:szCs w:val="28"/>
        </w:rPr>
      </w:pPr>
      <w:r>
        <w:rPr>
          <w:b/>
          <w:bCs/>
          <w:sz w:val="28"/>
          <w:szCs w:val="28"/>
        </w:rPr>
        <w:t>DISCUSSION</w:t>
      </w:r>
    </w:p>
    <w:p w14:paraId="0800464C" w14:textId="21EFD7ED" w:rsidR="00365D40" w:rsidRDefault="00365D40" w:rsidP="003F4F00">
      <w:pPr>
        <w:pStyle w:val="Body"/>
        <w:widowControl w:val="0"/>
        <w:numPr>
          <w:ilvl w:val="0"/>
          <w:numId w:val="17"/>
        </w:numPr>
        <w:spacing w:line="240" w:lineRule="auto"/>
        <w:rPr>
          <w:b/>
          <w:bCs/>
          <w:sz w:val="28"/>
          <w:szCs w:val="28"/>
        </w:rPr>
      </w:pPr>
      <w:r>
        <w:rPr>
          <w:b/>
          <w:bCs/>
          <w:sz w:val="28"/>
          <w:szCs w:val="28"/>
        </w:rPr>
        <w:t xml:space="preserve">The Current Fee Structure Supports the Mission Given to the State Bar by the Court. </w:t>
      </w:r>
    </w:p>
    <w:p w14:paraId="093B6635" w14:textId="77777777" w:rsidR="003F4F00" w:rsidRDefault="003F4F00" w:rsidP="003F4F00">
      <w:pPr>
        <w:pStyle w:val="Body"/>
        <w:widowControl w:val="0"/>
        <w:spacing w:line="240" w:lineRule="auto"/>
        <w:ind w:left="1080" w:firstLine="0"/>
        <w:rPr>
          <w:b/>
          <w:bCs/>
          <w:sz w:val="28"/>
          <w:szCs w:val="28"/>
        </w:rPr>
      </w:pPr>
    </w:p>
    <w:p w14:paraId="1563E4DF" w14:textId="0D5C5CC7" w:rsidR="00817985" w:rsidRDefault="00633E9C" w:rsidP="00633E9C">
      <w:pPr>
        <w:pStyle w:val="Body"/>
        <w:widowControl w:val="0"/>
        <w:numPr>
          <w:ilvl w:val="0"/>
          <w:numId w:val="15"/>
        </w:numPr>
        <w:spacing w:line="480" w:lineRule="auto"/>
        <w:jc w:val="both"/>
        <w:rPr>
          <w:b/>
          <w:bCs/>
          <w:sz w:val="28"/>
          <w:szCs w:val="28"/>
        </w:rPr>
      </w:pPr>
      <w:r>
        <w:rPr>
          <w:b/>
          <w:bCs/>
          <w:sz w:val="28"/>
          <w:szCs w:val="28"/>
        </w:rPr>
        <w:t>Protection of the Public</w:t>
      </w:r>
    </w:p>
    <w:p w14:paraId="02840643" w14:textId="10C3939A" w:rsidR="001E6FBA" w:rsidRDefault="001B7C1A" w:rsidP="001E6FBA">
      <w:pPr>
        <w:pStyle w:val="Body"/>
        <w:widowControl w:val="0"/>
        <w:spacing w:line="480" w:lineRule="auto"/>
        <w:ind w:firstLine="720"/>
        <w:jc w:val="both"/>
        <w:rPr>
          <w:sz w:val="28"/>
          <w:szCs w:val="28"/>
        </w:rPr>
      </w:pPr>
      <w:r>
        <w:rPr>
          <w:sz w:val="28"/>
          <w:szCs w:val="28"/>
        </w:rPr>
        <w:t>The Petition asks the Court, albeit indirectly, to reevaluate the mission given to the</w:t>
      </w:r>
      <w:r w:rsidR="007114A1">
        <w:rPr>
          <w:sz w:val="28"/>
          <w:szCs w:val="28"/>
        </w:rPr>
        <w:t xml:space="preserve"> State</w:t>
      </w:r>
      <w:r>
        <w:rPr>
          <w:sz w:val="28"/>
          <w:szCs w:val="28"/>
        </w:rPr>
        <w:t xml:space="preserve"> Bar and move away from protection of the public</w:t>
      </w:r>
      <w:r w:rsidR="007114A1">
        <w:rPr>
          <w:sz w:val="28"/>
          <w:szCs w:val="28"/>
        </w:rPr>
        <w:t xml:space="preserve">, </w:t>
      </w:r>
      <w:r w:rsidR="007D4D5F">
        <w:rPr>
          <w:sz w:val="28"/>
          <w:szCs w:val="28"/>
        </w:rPr>
        <w:t>and</w:t>
      </w:r>
      <w:r w:rsidR="001A358A">
        <w:rPr>
          <w:sz w:val="28"/>
          <w:szCs w:val="28"/>
        </w:rPr>
        <w:t xml:space="preserve"> instead</w:t>
      </w:r>
      <w:r w:rsidR="007114A1">
        <w:rPr>
          <w:sz w:val="28"/>
          <w:szCs w:val="28"/>
        </w:rPr>
        <w:t xml:space="preserve"> yield to what Petitioners believe the</w:t>
      </w:r>
      <w:r w:rsidR="001A358A">
        <w:rPr>
          <w:sz w:val="28"/>
          <w:szCs w:val="28"/>
        </w:rPr>
        <w:t>y</w:t>
      </w:r>
      <w:r w:rsidR="007114A1">
        <w:rPr>
          <w:sz w:val="28"/>
          <w:szCs w:val="28"/>
        </w:rPr>
        <w:t xml:space="preserve"> </w:t>
      </w:r>
      <w:r w:rsidR="007114A1" w:rsidRPr="007114A1">
        <w:rPr>
          <w:i/>
          <w:iCs/>
          <w:sz w:val="28"/>
          <w:szCs w:val="28"/>
        </w:rPr>
        <w:t>should</w:t>
      </w:r>
      <w:r w:rsidR="007114A1">
        <w:rPr>
          <w:sz w:val="28"/>
          <w:szCs w:val="28"/>
        </w:rPr>
        <w:t xml:space="preserve"> have to pay for as attorneys practicing in this state. </w:t>
      </w:r>
      <w:r w:rsidR="001A358A">
        <w:rPr>
          <w:sz w:val="28"/>
          <w:szCs w:val="28"/>
        </w:rPr>
        <w:t>This</w:t>
      </w:r>
      <w:r w:rsidR="007E0621">
        <w:rPr>
          <w:sz w:val="28"/>
          <w:szCs w:val="28"/>
        </w:rPr>
        <w:t xml:space="preserve"> position</w:t>
      </w:r>
      <w:r w:rsidR="001A358A">
        <w:rPr>
          <w:sz w:val="28"/>
          <w:szCs w:val="28"/>
        </w:rPr>
        <w:t xml:space="preserve"> is short-sighted, overlooking t</w:t>
      </w:r>
      <w:r w:rsidR="007E0621">
        <w:rPr>
          <w:sz w:val="28"/>
          <w:szCs w:val="28"/>
        </w:rPr>
        <w:t>h</w:t>
      </w:r>
      <w:r w:rsidR="001A358A">
        <w:rPr>
          <w:sz w:val="28"/>
          <w:szCs w:val="28"/>
        </w:rPr>
        <w:t xml:space="preserve">e State Bar’s role in </w:t>
      </w:r>
      <w:r w:rsidR="006C4918">
        <w:rPr>
          <w:sz w:val="28"/>
          <w:szCs w:val="28"/>
        </w:rPr>
        <w:t xml:space="preserve">aiding the Court to “organize and promote activities </w:t>
      </w:r>
      <w:r w:rsidR="00C07590">
        <w:rPr>
          <w:sz w:val="28"/>
          <w:szCs w:val="28"/>
        </w:rPr>
        <w:t xml:space="preserve">that </w:t>
      </w:r>
      <w:r w:rsidR="006C4918">
        <w:rPr>
          <w:sz w:val="28"/>
          <w:szCs w:val="28"/>
        </w:rPr>
        <w:t>fulfill the responsibilities of the legal profession and its members to the public.” Rule 32(a)(</w:t>
      </w:r>
      <w:proofErr w:type="gramStart"/>
      <w:r w:rsidR="006C4918">
        <w:rPr>
          <w:sz w:val="28"/>
          <w:szCs w:val="28"/>
        </w:rPr>
        <w:t>2)(</w:t>
      </w:r>
      <w:proofErr w:type="gramEnd"/>
      <w:r w:rsidR="006C4918">
        <w:rPr>
          <w:sz w:val="28"/>
          <w:szCs w:val="28"/>
        </w:rPr>
        <w:t>A.) The State Bar’s</w:t>
      </w:r>
      <w:r w:rsidR="001A358A">
        <w:rPr>
          <w:sz w:val="28"/>
          <w:szCs w:val="28"/>
        </w:rPr>
        <w:t xml:space="preserve"> mission to serve and protect the public </w:t>
      </w:r>
      <w:r w:rsidR="006C4918">
        <w:rPr>
          <w:sz w:val="28"/>
          <w:szCs w:val="28"/>
        </w:rPr>
        <w:t xml:space="preserve">also </w:t>
      </w:r>
      <w:r w:rsidR="001A358A">
        <w:rPr>
          <w:sz w:val="28"/>
          <w:szCs w:val="28"/>
        </w:rPr>
        <w:t xml:space="preserve">aligns with the Court’s Goal 2: Protecting Children, Families, and Communities, in its </w:t>
      </w:r>
      <w:r w:rsidR="00AD3BFF">
        <w:rPr>
          <w:sz w:val="28"/>
          <w:szCs w:val="28"/>
        </w:rPr>
        <w:t xml:space="preserve">2019-2024 Strategic Agenda, Justice for </w:t>
      </w:r>
      <w:r w:rsidR="00AD3BFF" w:rsidRPr="001E6FBA">
        <w:rPr>
          <w:spacing w:val="-2"/>
          <w:kern w:val="28"/>
          <w:position w:val="-2"/>
          <w:sz w:val="28"/>
          <w:szCs w:val="28"/>
        </w:rPr>
        <w:t>the</w:t>
      </w:r>
      <w:r w:rsidR="00E25C52" w:rsidRPr="001E6FBA">
        <w:rPr>
          <w:spacing w:val="-2"/>
          <w:kern w:val="28"/>
          <w:position w:val="-2"/>
          <w:sz w:val="28"/>
          <w:szCs w:val="28"/>
        </w:rPr>
        <w:t xml:space="preserve"> </w:t>
      </w:r>
      <w:r w:rsidR="00AD3BFF" w:rsidRPr="001E6FBA">
        <w:rPr>
          <w:spacing w:val="-2"/>
          <w:kern w:val="28"/>
          <w:position w:val="-2"/>
          <w:sz w:val="28"/>
          <w:szCs w:val="28"/>
        </w:rPr>
        <w:t>Future</w:t>
      </w:r>
      <w:r w:rsidR="0015487E" w:rsidRPr="001E6FBA">
        <w:rPr>
          <w:spacing w:val="-2"/>
          <w:kern w:val="28"/>
          <w:position w:val="-2"/>
          <w:sz w:val="28"/>
          <w:szCs w:val="28"/>
        </w:rPr>
        <w:t xml:space="preserve"> (“Strategic Agenda”</w:t>
      </w:r>
      <w:bookmarkStart w:id="2" w:name="_Hlk158125677"/>
      <w:r w:rsidR="001E6FBA">
        <w:rPr>
          <w:spacing w:val="-2"/>
          <w:kern w:val="28"/>
          <w:position w:val="-2"/>
          <w:sz w:val="28"/>
          <w:szCs w:val="28"/>
        </w:rPr>
        <w:t>).</w:t>
      </w:r>
      <w:r w:rsidR="001E6FBA">
        <w:rPr>
          <w:sz w:val="28"/>
          <w:szCs w:val="28"/>
        </w:rPr>
        <w:t xml:space="preserve"> </w:t>
      </w:r>
    </w:p>
    <w:p w14:paraId="27F3ECC8" w14:textId="02B63DBF" w:rsidR="002A4DC7" w:rsidRPr="001E6FBA" w:rsidRDefault="00C30B2E" w:rsidP="001E6FBA">
      <w:pPr>
        <w:pStyle w:val="Body"/>
        <w:widowControl w:val="0"/>
        <w:spacing w:line="480" w:lineRule="auto"/>
        <w:ind w:firstLine="0"/>
        <w:jc w:val="both"/>
        <w:rPr>
          <w:spacing w:val="-2"/>
          <w:kern w:val="28"/>
          <w:position w:val="-2"/>
          <w:sz w:val="28"/>
          <w:szCs w:val="28"/>
        </w:rPr>
      </w:pPr>
      <w:hyperlink r:id="rId11" w:history="1">
        <w:r w:rsidRPr="00E51012">
          <w:rPr>
            <w:rStyle w:val="Hyperlink"/>
            <w:sz w:val="28"/>
            <w:szCs w:val="28"/>
          </w:rPr>
          <w:t>https://www.azcourts.gov/Portals/0/Communications/JusticeForTheFuture.pdf?ver=2019-06-28-165330-887</w:t>
        </w:r>
      </w:hyperlink>
      <w:r w:rsidR="00BC2706">
        <w:rPr>
          <w:sz w:val="28"/>
          <w:szCs w:val="28"/>
        </w:rPr>
        <w:t>.</w:t>
      </w:r>
      <w:bookmarkEnd w:id="2"/>
      <w:r w:rsidR="00BC2706">
        <w:rPr>
          <w:sz w:val="28"/>
          <w:szCs w:val="28"/>
        </w:rPr>
        <w:t xml:space="preserve"> </w:t>
      </w:r>
    </w:p>
    <w:p w14:paraId="213CF812" w14:textId="61B9C378" w:rsidR="00E27BC3" w:rsidRDefault="00270DA6" w:rsidP="006C4918">
      <w:pPr>
        <w:pStyle w:val="Body"/>
        <w:widowControl w:val="0"/>
        <w:spacing w:line="480" w:lineRule="auto"/>
        <w:ind w:firstLine="720"/>
        <w:jc w:val="both"/>
        <w:rPr>
          <w:sz w:val="28"/>
          <w:szCs w:val="28"/>
        </w:rPr>
      </w:pPr>
      <w:r>
        <w:rPr>
          <w:sz w:val="28"/>
          <w:szCs w:val="28"/>
        </w:rPr>
        <w:t>P</w:t>
      </w:r>
      <w:r w:rsidR="00B06A38">
        <w:rPr>
          <w:sz w:val="28"/>
          <w:szCs w:val="28"/>
        </w:rPr>
        <w:t>etition</w:t>
      </w:r>
      <w:r>
        <w:rPr>
          <w:sz w:val="28"/>
          <w:szCs w:val="28"/>
        </w:rPr>
        <w:t>ers</w:t>
      </w:r>
      <w:r w:rsidR="007114A1">
        <w:rPr>
          <w:sz w:val="28"/>
          <w:szCs w:val="28"/>
        </w:rPr>
        <w:t>’</w:t>
      </w:r>
      <w:r>
        <w:rPr>
          <w:sz w:val="28"/>
          <w:szCs w:val="28"/>
        </w:rPr>
        <w:t xml:space="preserve"> proposed definition of “</w:t>
      </w:r>
      <w:r w:rsidR="00500AEB">
        <w:rPr>
          <w:sz w:val="28"/>
          <w:szCs w:val="28"/>
        </w:rPr>
        <w:t>R</w:t>
      </w:r>
      <w:r>
        <w:rPr>
          <w:sz w:val="28"/>
          <w:szCs w:val="28"/>
        </w:rPr>
        <w:t xml:space="preserve">egulatory </w:t>
      </w:r>
      <w:r w:rsidR="00500AEB">
        <w:rPr>
          <w:sz w:val="28"/>
          <w:szCs w:val="28"/>
        </w:rPr>
        <w:t>A</w:t>
      </w:r>
      <w:r>
        <w:rPr>
          <w:sz w:val="28"/>
          <w:szCs w:val="28"/>
        </w:rPr>
        <w:t>ctivity” exemplifies Petitioners</w:t>
      </w:r>
      <w:r w:rsidR="00D65EF9">
        <w:rPr>
          <w:sz w:val="28"/>
          <w:szCs w:val="28"/>
        </w:rPr>
        <w:t>’</w:t>
      </w:r>
      <w:r>
        <w:rPr>
          <w:sz w:val="28"/>
          <w:szCs w:val="28"/>
        </w:rPr>
        <w:t xml:space="preserve"> unawareness of how </w:t>
      </w:r>
      <w:r w:rsidR="006C4918">
        <w:rPr>
          <w:sz w:val="28"/>
          <w:szCs w:val="28"/>
        </w:rPr>
        <w:t xml:space="preserve">the State Bar’s programs </w:t>
      </w:r>
      <w:r w:rsidR="00F65998">
        <w:rPr>
          <w:sz w:val="28"/>
          <w:szCs w:val="28"/>
        </w:rPr>
        <w:t xml:space="preserve">and </w:t>
      </w:r>
      <w:r w:rsidR="006C4918">
        <w:rPr>
          <w:sz w:val="28"/>
          <w:szCs w:val="28"/>
        </w:rPr>
        <w:t>activities in furtherance of public protection go beyond specialty certification, MCLE</w:t>
      </w:r>
      <w:r w:rsidR="00EA6264">
        <w:rPr>
          <w:sz w:val="28"/>
          <w:szCs w:val="28"/>
        </w:rPr>
        <w:t xml:space="preserve"> compliance</w:t>
      </w:r>
      <w:r w:rsidR="006C4918">
        <w:rPr>
          <w:sz w:val="28"/>
          <w:szCs w:val="28"/>
        </w:rPr>
        <w:t>, and attorney discipline. For example</w:t>
      </w:r>
      <w:r w:rsidR="00E27BC3">
        <w:rPr>
          <w:sz w:val="28"/>
          <w:szCs w:val="28"/>
        </w:rPr>
        <w:t>:</w:t>
      </w:r>
    </w:p>
    <w:p w14:paraId="53876AEE" w14:textId="67E7D72A" w:rsidR="00E27BC3" w:rsidRDefault="00E27BC3" w:rsidP="00E27BC3">
      <w:pPr>
        <w:pStyle w:val="Body"/>
        <w:widowControl w:val="0"/>
        <w:numPr>
          <w:ilvl w:val="0"/>
          <w:numId w:val="16"/>
        </w:numPr>
        <w:spacing w:line="480" w:lineRule="auto"/>
        <w:ind w:left="1080"/>
        <w:jc w:val="both"/>
        <w:rPr>
          <w:sz w:val="28"/>
          <w:szCs w:val="28"/>
        </w:rPr>
      </w:pPr>
      <w:r>
        <w:rPr>
          <w:sz w:val="28"/>
          <w:szCs w:val="28"/>
        </w:rPr>
        <w:lastRenderedPageBreak/>
        <w:t>T</w:t>
      </w:r>
      <w:r w:rsidR="008450C7">
        <w:rPr>
          <w:sz w:val="28"/>
          <w:szCs w:val="28"/>
        </w:rPr>
        <w:t xml:space="preserve">he State Bar’s Fee Arbitration </w:t>
      </w:r>
      <w:r w:rsidR="00500AEB">
        <w:rPr>
          <w:sz w:val="28"/>
          <w:szCs w:val="28"/>
        </w:rPr>
        <w:t>P</w:t>
      </w:r>
      <w:r w:rsidR="008450C7">
        <w:rPr>
          <w:sz w:val="28"/>
          <w:szCs w:val="28"/>
        </w:rPr>
        <w:t>rogram i</w:t>
      </w:r>
      <w:r>
        <w:rPr>
          <w:sz w:val="28"/>
          <w:szCs w:val="28"/>
        </w:rPr>
        <w:t xml:space="preserve">s </w:t>
      </w:r>
      <w:r w:rsidR="008450C7">
        <w:rPr>
          <w:sz w:val="28"/>
          <w:szCs w:val="28"/>
        </w:rPr>
        <w:t xml:space="preserve">often the first forum that resolves a bar charge based on a fee dispute. </w:t>
      </w:r>
    </w:p>
    <w:p w14:paraId="551DDB8C" w14:textId="725C78B2" w:rsidR="00E27BC3" w:rsidRDefault="008450C7" w:rsidP="00E27BC3">
      <w:pPr>
        <w:pStyle w:val="Body"/>
        <w:widowControl w:val="0"/>
        <w:numPr>
          <w:ilvl w:val="0"/>
          <w:numId w:val="16"/>
        </w:numPr>
        <w:spacing w:line="480" w:lineRule="auto"/>
        <w:ind w:left="1080"/>
        <w:jc w:val="both"/>
        <w:rPr>
          <w:sz w:val="28"/>
          <w:szCs w:val="28"/>
        </w:rPr>
      </w:pPr>
      <w:r>
        <w:rPr>
          <w:sz w:val="28"/>
          <w:szCs w:val="28"/>
        </w:rPr>
        <w:t xml:space="preserve">The State Bar’s Conservatorship </w:t>
      </w:r>
      <w:r w:rsidR="00500AEB">
        <w:rPr>
          <w:sz w:val="28"/>
          <w:szCs w:val="28"/>
        </w:rPr>
        <w:t>P</w:t>
      </w:r>
      <w:r>
        <w:rPr>
          <w:sz w:val="28"/>
          <w:szCs w:val="28"/>
        </w:rPr>
        <w:t>rogram works with the Lawyer Regulation Division to</w:t>
      </w:r>
      <w:r w:rsidR="00E27BC3">
        <w:rPr>
          <w:sz w:val="28"/>
          <w:szCs w:val="28"/>
        </w:rPr>
        <w:t xml:space="preserve"> secure and</w:t>
      </w:r>
      <w:r>
        <w:rPr>
          <w:sz w:val="28"/>
          <w:szCs w:val="28"/>
        </w:rPr>
        <w:t xml:space="preserve"> return client funds and files when an attorney facing discipline poses a risk to misappropriation of client funds and/or files. </w:t>
      </w:r>
    </w:p>
    <w:p w14:paraId="32989D3E" w14:textId="77777777" w:rsidR="00E27BC3" w:rsidRDefault="008450C7" w:rsidP="00E27BC3">
      <w:pPr>
        <w:pStyle w:val="Body"/>
        <w:widowControl w:val="0"/>
        <w:numPr>
          <w:ilvl w:val="0"/>
          <w:numId w:val="16"/>
        </w:numPr>
        <w:spacing w:line="480" w:lineRule="auto"/>
        <w:ind w:left="1080"/>
        <w:jc w:val="both"/>
        <w:rPr>
          <w:sz w:val="28"/>
          <w:szCs w:val="28"/>
        </w:rPr>
      </w:pPr>
      <w:r>
        <w:rPr>
          <w:sz w:val="28"/>
          <w:szCs w:val="28"/>
        </w:rPr>
        <w:t>T</w:t>
      </w:r>
      <w:r w:rsidR="00B06A38">
        <w:rPr>
          <w:sz w:val="28"/>
          <w:szCs w:val="28"/>
        </w:rPr>
        <w:t>he State Bar’s Ethics</w:t>
      </w:r>
      <w:r w:rsidR="006C4918">
        <w:rPr>
          <w:sz w:val="28"/>
          <w:szCs w:val="28"/>
        </w:rPr>
        <w:t xml:space="preserve"> Hotline </w:t>
      </w:r>
      <w:r w:rsidR="00B06A38">
        <w:rPr>
          <w:sz w:val="28"/>
          <w:szCs w:val="28"/>
        </w:rPr>
        <w:t>operates outside of the Lawyer Regulation Division and addresses approximately 2,</w:t>
      </w:r>
      <w:r w:rsidR="006C4918">
        <w:rPr>
          <w:sz w:val="28"/>
          <w:szCs w:val="28"/>
        </w:rPr>
        <w:t>0</w:t>
      </w:r>
      <w:r w:rsidR="00B06A38">
        <w:rPr>
          <w:sz w:val="28"/>
          <w:szCs w:val="28"/>
        </w:rPr>
        <w:t xml:space="preserve">00 ethics inquiries a year. The Ethics Hotline serves as a resource that disciplinary counsel can direct a member to, to receive ethical guidance, and hopefully avoid the necessity of further remedial action by the State Bar. </w:t>
      </w:r>
    </w:p>
    <w:p w14:paraId="449EB5EE" w14:textId="081176CF" w:rsidR="00E27BC3" w:rsidRDefault="00B06A38" w:rsidP="00E27BC3">
      <w:pPr>
        <w:pStyle w:val="Body"/>
        <w:widowControl w:val="0"/>
        <w:numPr>
          <w:ilvl w:val="0"/>
          <w:numId w:val="16"/>
        </w:numPr>
        <w:spacing w:line="480" w:lineRule="auto"/>
        <w:ind w:left="1080"/>
        <w:jc w:val="both"/>
        <w:rPr>
          <w:sz w:val="28"/>
          <w:szCs w:val="28"/>
        </w:rPr>
      </w:pPr>
      <w:r w:rsidRPr="00E27BC3">
        <w:rPr>
          <w:sz w:val="28"/>
          <w:szCs w:val="28"/>
        </w:rPr>
        <w:t xml:space="preserve">The State Bar also operates </w:t>
      </w:r>
      <w:r w:rsidR="00500AEB">
        <w:rPr>
          <w:sz w:val="28"/>
          <w:szCs w:val="28"/>
        </w:rPr>
        <w:t>M</w:t>
      </w:r>
      <w:r w:rsidRPr="00E27BC3">
        <w:rPr>
          <w:sz w:val="28"/>
          <w:szCs w:val="28"/>
        </w:rPr>
        <w:t xml:space="preserve">ember </w:t>
      </w:r>
      <w:r w:rsidR="00500AEB">
        <w:rPr>
          <w:sz w:val="28"/>
          <w:szCs w:val="28"/>
        </w:rPr>
        <w:t>A</w:t>
      </w:r>
      <w:r w:rsidRPr="00E27BC3">
        <w:rPr>
          <w:sz w:val="28"/>
          <w:szCs w:val="28"/>
        </w:rPr>
        <w:t xml:space="preserve">ssistance and </w:t>
      </w:r>
      <w:r w:rsidR="00500AEB">
        <w:rPr>
          <w:sz w:val="28"/>
          <w:szCs w:val="28"/>
        </w:rPr>
        <w:t>L</w:t>
      </w:r>
      <w:r w:rsidRPr="00E27BC3">
        <w:rPr>
          <w:sz w:val="28"/>
          <w:szCs w:val="28"/>
        </w:rPr>
        <w:t xml:space="preserve">aw </w:t>
      </w:r>
      <w:r w:rsidR="00500AEB">
        <w:rPr>
          <w:sz w:val="28"/>
          <w:szCs w:val="28"/>
        </w:rPr>
        <w:t>O</w:t>
      </w:r>
      <w:r w:rsidRPr="00E27BC3">
        <w:rPr>
          <w:sz w:val="28"/>
          <w:szCs w:val="28"/>
        </w:rPr>
        <w:t xml:space="preserve">ffice </w:t>
      </w:r>
      <w:r w:rsidR="00500AEB">
        <w:rPr>
          <w:sz w:val="28"/>
          <w:szCs w:val="28"/>
        </w:rPr>
        <w:t>M</w:t>
      </w:r>
      <w:r w:rsidRPr="00E27BC3">
        <w:rPr>
          <w:sz w:val="28"/>
          <w:szCs w:val="28"/>
        </w:rPr>
        <w:t xml:space="preserve">anagement </w:t>
      </w:r>
      <w:r w:rsidR="00500AEB">
        <w:rPr>
          <w:sz w:val="28"/>
          <w:szCs w:val="28"/>
        </w:rPr>
        <w:t>P</w:t>
      </w:r>
      <w:r w:rsidRPr="00E27BC3">
        <w:rPr>
          <w:sz w:val="28"/>
          <w:szCs w:val="28"/>
        </w:rPr>
        <w:t>rogram</w:t>
      </w:r>
      <w:r w:rsidR="00EA6264">
        <w:rPr>
          <w:sz w:val="28"/>
          <w:szCs w:val="28"/>
        </w:rPr>
        <w:t>s</w:t>
      </w:r>
      <w:r w:rsidRPr="00E27BC3">
        <w:rPr>
          <w:sz w:val="28"/>
          <w:szCs w:val="28"/>
        </w:rPr>
        <w:t xml:space="preserve">. These programs serve as critical resources for the Lawyer Regulation Division to direct members who have been identified with practice management or personal issues that could lead to ethical violations. Disciplinary counsel will utilize these programs </w:t>
      </w:r>
      <w:r w:rsidR="00500AEB" w:rsidRPr="00E27BC3">
        <w:rPr>
          <w:sz w:val="28"/>
          <w:szCs w:val="28"/>
        </w:rPr>
        <w:t>to</w:t>
      </w:r>
      <w:r w:rsidRPr="00E27BC3">
        <w:rPr>
          <w:sz w:val="28"/>
          <w:szCs w:val="28"/>
        </w:rPr>
        <w:t xml:space="preserve"> explore proactive assistance for members in lieu of harsher sanctions, where appropriate. </w:t>
      </w:r>
    </w:p>
    <w:p w14:paraId="3CDE9120" w14:textId="64036534" w:rsidR="00942F7C" w:rsidRPr="00942F7C" w:rsidRDefault="00942F7C" w:rsidP="00942F7C">
      <w:pPr>
        <w:pStyle w:val="Body"/>
        <w:widowControl w:val="0"/>
        <w:numPr>
          <w:ilvl w:val="0"/>
          <w:numId w:val="15"/>
        </w:numPr>
        <w:spacing w:line="480" w:lineRule="auto"/>
        <w:jc w:val="both"/>
        <w:rPr>
          <w:b/>
          <w:bCs/>
          <w:sz w:val="28"/>
          <w:szCs w:val="28"/>
        </w:rPr>
      </w:pPr>
      <w:r>
        <w:rPr>
          <w:b/>
          <w:bCs/>
          <w:sz w:val="28"/>
          <w:szCs w:val="28"/>
        </w:rPr>
        <w:t xml:space="preserve">The Importance of Lawyer Wellness </w:t>
      </w:r>
    </w:p>
    <w:p w14:paraId="3594D35B" w14:textId="0A28F224" w:rsidR="00AB0AA9" w:rsidRDefault="00B06A38" w:rsidP="00AB0AA9">
      <w:pPr>
        <w:pStyle w:val="Body"/>
        <w:widowControl w:val="0"/>
        <w:spacing w:line="480" w:lineRule="auto"/>
        <w:ind w:firstLine="720"/>
        <w:jc w:val="both"/>
        <w:rPr>
          <w:sz w:val="28"/>
          <w:szCs w:val="28"/>
        </w:rPr>
      </w:pPr>
      <w:r w:rsidRPr="00E27BC3">
        <w:rPr>
          <w:sz w:val="28"/>
          <w:szCs w:val="28"/>
        </w:rPr>
        <w:t>The</w:t>
      </w:r>
      <w:r w:rsidR="00BA4D94">
        <w:rPr>
          <w:sz w:val="28"/>
          <w:szCs w:val="28"/>
        </w:rPr>
        <w:t xml:space="preserve"> Petition also takes issue with </w:t>
      </w:r>
      <w:r w:rsidR="00DD3791">
        <w:rPr>
          <w:sz w:val="28"/>
          <w:szCs w:val="28"/>
        </w:rPr>
        <w:t>the State Bar providing</w:t>
      </w:r>
      <w:r w:rsidR="00BA4D94">
        <w:rPr>
          <w:sz w:val="28"/>
          <w:szCs w:val="28"/>
        </w:rPr>
        <w:t xml:space="preserve"> </w:t>
      </w:r>
      <w:r w:rsidR="00A80D63">
        <w:rPr>
          <w:sz w:val="28"/>
          <w:szCs w:val="28"/>
        </w:rPr>
        <w:t xml:space="preserve">messages related to </w:t>
      </w:r>
      <w:r w:rsidR="00A732AB">
        <w:rPr>
          <w:sz w:val="28"/>
          <w:szCs w:val="28"/>
        </w:rPr>
        <w:lastRenderedPageBreak/>
        <w:t xml:space="preserve">lawyer </w:t>
      </w:r>
      <w:r w:rsidR="00A80D63">
        <w:rPr>
          <w:sz w:val="28"/>
          <w:szCs w:val="28"/>
        </w:rPr>
        <w:t>wellness</w:t>
      </w:r>
      <w:r w:rsidR="00BA4D94">
        <w:rPr>
          <w:sz w:val="28"/>
          <w:szCs w:val="28"/>
        </w:rPr>
        <w:t xml:space="preserve">. </w:t>
      </w:r>
      <w:r w:rsidR="00A732AB">
        <w:rPr>
          <w:sz w:val="28"/>
          <w:szCs w:val="28"/>
        </w:rPr>
        <w:t>The State Bar and the Supreme Court have a joint interest in lawyer wellness</w:t>
      </w:r>
      <w:r w:rsidR="00C713F6">
        <w:rPr>
          <w:sz w:val="28"/>
          <w:szCs w:val="28"/>
        </w:rPr>
        <w:t xml:space="preserve">, </w:t>
      </w:r>
      <w:r w:rsidR="00FD2A8A">
        <w:rPr>
          <w:sz w:val="28"/>
          <w:szCs w:val="28"/>
        </w:rPr>
        <w:t>especially</w:t>
      </w:r>
      <w:r w:rsidR="00A732AB">
        <w:rPr>
          <w:sz w:val="28"/>
          <w:szCs w:val="28"/>
        </w:rPr>
        <w:t xml:space="preserve"> with respect to attorney admissions</w:t>
      </w:r>
      <w:r w:rsidR="00C713F6">
        <w:rPr>
          <w:sz w:val="28"/>
          <w:szCs w:val="28"/>
        </w:rPr>
        <w:t>,</w:t>
      </w:r>
      <w:r w:rsidR="00A732AB">
        <w:rPr>
          <w:sz w:val="28"/>
          <w:szCs w:val="28"/>
        </w:rPr>
        <w:t xml:space="preserve"> lawyer regulation</w:t>
      </w:r>
      <w:r w:rsidR="00C713F6">
        <w:rPr>
          <w:sz w:val="28"/>
          <w:szCs w:val="28"/>
        </w:rPr>
        <w:t>, and issues facing</w:t>
      </w:r>
      <w:r w:rsidR="003403FF">
        <w:rPr>
          <w:sz w:val="28"/>
          <w:szCs w:val="28"/>
        </w:rPr>
        <w:t xml:space="preserve"> the aging lawyer population</w:t>
      </w:r>
      <w:r w:rsidR="00A732AB">
        <w:rPr>
          <w:sz w:val="28"/>
          <w:szCs w:val="28"/>
        </w:rPr>
        <w:t xml:space="preserve">. The State Bar and the Court have partnered on wellness education and initiatives. For example, in 2017, the State Bar and the Court partnered and presented an award-winning seminar titled Hidden in Plain Sight: Dementia and its Impact on Lawyers and Judges. The </w:t>
      </w:r>
      <w:r w:rsidR="006824D9">
        <w:rPr>
          <w:sz w:val="28"/>
          <w:szCs w:val="28"/>
        </w:rPr>
        <w:t xml:space="preserve">seminar faculty included representatives from the bench, including this Court, attorneys, and mental health professionals to discuss the impact of dementia on the practice of law. </w:t>
      </w:r>
    </w:p>
    <w:p w14:paraId="1AE6A6DC" w14:textId="31600301" w:rsidR="00AB0AA9" w:rsidRDefault="00AB0AA9" w:rsidP="00AB0AA9">
      <w:pPr>
        <w:pStyle w:val="Body"/>
        <w:widowControl w:val="0"/>
        <w:spacing w:line="480" w:lineRule="auto"/>
        <w:ind w:firstLine="720"/>
        <w:jc w:val="both"/>
        <w:rPr>
          <w:sz w:val="28"/>
          <w:szCs w:val="28"/>
        </w:rPr>
      </w:pPr>
      <w:r>
        <w:rPr>
          <w:sz w:val="28"/>
          <w:szCs w:val="28"/>
        </w:rPr>
        <w:t xml:space="preserve">With respect to wellness, the Petition is silent on the role that State Bar programs, like the Member Assistance Program, play in both attorney admissions and discipline. The Court may take into consideration a lawyer’s access to and willingness to participate in the MAP program when making decisions with respect to admissions and discipline. </w:t>
      </w:r>
    </w:p>
    <w:p w14:paraId="6A655B8A" w14:textId="6AB8E859" w:rsidR="00D751F6" w:rsidRDefault="00D751F6" w:rsidP="00AB0AA9">
      <w:pPr>
        <w:pStyle w:val="Body"/>
        <w:widowControl w:val="0"/>
        <w:spacing w:line="480" w:lineRule="auto"/>
        <w:ind w:firstLine="720"/>
        <w:jc w:val="both"/>
        <w:rPr>
          <w:sz w:val="28"/>
          <w:szCs w:val="28"/>
        </w:rPr>
      </w:pPr>
      <w:r w:rsidRPr="00D751F6">
        <w:rPr>
          <w:sz w:val="28"/>
          <w:szCs w:val="28"/>
        </w:rPr>
        <w:t xml:space="preserve">Promoting lawyer wellness and programs that help identify issues and provide resources to help lawyers falls squarely in line with Keller’s second prong of improving the quality of legal services. </w:t>
      </w:r>
      <w:r w:rsidRPr="00405DAC">
        <w:rPr>
          <w:i/>
          <w:iCs/>
          <w:sz w:val="28"/>
          <w:szCs w:val="28"/>
        </w:rPr>
        <w:t>Keller</w:t>
      </w:r>
      <w:r w:rsidRPr="00D751F6">
        <w:rPr>
          <w:sz w:val="28"/>
          <w:szCs w:val="28"/>
        </w:rPr>
        <w:t>, 496 U.S. at 3. (“The guiding standard for determining permissible</w:t>
      </w:r>
      <w:r w:rsidR="001A3D47">
        <w:rPr>
          <w:sz w:val="28"/>
          <w:szCs w:val="28"/>
        </w:rPr>
        <w:t xml:space="preserve"> State</w:t>
      </w:r>
      <w:r w:rsidRPr="00D751F6">
        <w:rPr>
          <w:sz w:val="28"/>
          <w:szCs w:val="28"/>
        </w:rPr>
        <w:t xml:space="preserve"> Bar expenditures relating to political or ideological activities is whether the challenged expenditures are necessarily or reasonably incurred for the purpose of regulating the legal profession or improving the quality of legal services”).  A healthy, well-adjusted lawyer is less likely to miss important </w:t>
      </w:r>
      <w:r w:rsidRPr="00D751F6">
        <w:rPr>
          <w:sz w:val="28"/>
          <w:szCs w:val="28"/>
        </w:rPr>
        <w:lastRenderedPageBreak/>
        <w:t>deadlines, fall ill unexpectedly, and misappropriate client funds. The view that one or a few lawyers should not have to tolerate or contribute a trivial amount to promote and support a healthy lawyer population is misguided.</w:t>
      </w:r>
    </w:p>
    <w:p w14:paraId="2E531A7B" w14:textId="64564ABD" w:rsidR="003A3B62" w:rsidRDefault="003A3B62" w:rsidP="003A3B62">
      <w:pPr>
        <w:pStyle w:val="Body"/>
        <w:widowControl w:val="0"/>
        <w:spacing w:line="240" w:lineRule="auto"/>
        <w:ind w:left="720" w:right="720" w:firstLine="0"/>
        <w:jc w:val="both"/>
        <w:rPr>
          <w:sz w:val="28"/>
          <w:szCs w:val="28"/>
        </w:rPr>
      </w:pPr>
      <w:r w:rsidRPr="00126654">
        <w:rPr>
          <w:sz w:val="28"/>
          <w:szCs w:val="28"/>
        </w:rPr>
        <w:t>The duty to protect the public is not owed just by the attorneys who become disabled, who mismanage a law office, or who cheat a client. All attorneys bear a responsibility to protect the public. An integrated bar assures that every attorney—not just half or even ninety percent of attorneys, but every attorney— shares the cost of that responsibility.</w:t>
      </w:r>
    </w:p>
    <w:p w14:paraId="5D7E13D1" w14:textId="77777777" w:rsidR="003403FF" w:rsidRPr="00126654" w:rsidRDefault="003403FF" w:rsidP="003A3B62">
      <w:pPr>
        <w:pStyle w:val="Body"/>
        <w:widowControl w:val="0"/>
        <w:spacing w:line="240" w:lineRule="auto"/>
        <w:ind w:left="720" w:right="720" w:firstLine="0"/>
        <w:jc w:val="both"/>
        <w:rPr>
          <w:sz w:val="28"/>
          <w:szCs w:val="28"/>
        </w:rPr>
      </w:pPr>
    </w:p>
    <w:p w14:paraId="76C7FC91" w14:textId="458E6F9F" w:rsidR="00F464DE" w:rsidRDefault="007B2B70" w:rsidP="00BA4D94">
      <w:pPr>
        <w:pStyle w:val="Body"/>
        <w:widowControl w:val="0"/>
        <w:spacing w:line="480" w:lineRule="auto"/>
        <w:ind w:firstLine="0"/>
        <w:jc w:val="both"/>
        <w:rPr>
          <w:sz w:val="28"/>
          <w:szCs w:val="28"/>
        </w:rPr>
      </w:pPr>
      <w:r>
        <w:rPr>
          <w:i/>
          <w:iCs/>
          <w:sz w:val="28"/>
          <w:szCs w:val="28"/>
        </w:rPr>
        <w:t xml:space="preserve">See </w:t>
      </w:r>
      <w:r>
        <w:rPr>
          <w:sz w:val="28"/>
          <w:szCs w:val="28"/>
        </w:rPr>
        <w:t xml:space="preserve">Pg. 9 of the Task Force Report. </w:t>
      </w:r>
    </w:p>
    <w:p w14:paraId="081ED56B" w14:textId="5EBF19B1" w:rsidR="00D751F6" w:rsidRPr="00126654" w:rsidRDefault="00D751F6" w:rsidP="00D751F6">
      <w:pPr>
        <w:pStyle w:val="Body"/>
        <w:widowControl w:val="0"/>
        <w:spacing w:line="480" w:lineRule="auto"/>
        <w:ind w:firstLine="720"/>
        <w:jc w:val="both"/>
        <w:rPr>
          <w:sz w:val="28"/>
          <w:szCs w:val="28"/>
        </w:rPr>
      </w:pPr>
      <w:r w:rsidRPr="00D751F6">
        <w:rPr>
          <w:sz w:val="28"/>
          <w:szCs w:val="28"/>
        </w:rPr>
        <w:t>Petitioners assert that there are outside resources to provide for health and wellness recommendation</w:t>
      </w:r>
      <w:r w:rsidR="00A36348">
        <w:rPr>
          <w:sz w:val="28"/>
          <w:szCs w:val="28"/>
        </w:rPr>
        <w:t>s</w:t>
      </w:r>
      <w:r w:rsidRPr="00D751F6">
        <w:rPr>
          <w:sz w:val="28"/>
          <w:szCs w:val="28"/>
        </w:rPr>
        <w:t xml:space="preserve">. This assertion and Petitioners’ focus on a few social media posts </w:t>
      </w:r>
      <w:r w:rsidR="0052068B">
        <w:rPr>
          <w:sz w:val="28"/>
          <w:szCs w:val="28"/>
        </w:rPr>
        <w:t>overlooks</w:t>
      </w:r>
      <w:r w:rsidRPr="00D751F6">
        <w:rPr>
          <w:sz w:val="28"/>
          <w:szCs w:val="28"/>
        </w:rPr>
        <w:t xml:space="preserve"> the important role the State Bar plays with respect to lawyer wellness. </w:t>
      </w:r>
      <w:r w:rsidR="001C13F4">
        <w:rPr>
          <w:sz w:val="28"/>
          <w:szCs w:val="28"/>
        </w:rPr>
        <w:t>Not addressed in the Petition are</w:t>
      </w:r>
      <w:r w:rsidR="00A36348">
        <w:rPr>
          <w:sz w:val="28"/>
          <w:szCs w:val="28"/>
        </w:rPr>
        <w:t xml:space="preserve"> </w:t>
      </w:r>
      <w:r w:rsidRPr="00D751F6">
        <w:rPr>
          <w:sz w:val="28"/>
          <w:szCs w:val="28"/>
        </w:rPr>
        <w:t>State Bar programs and resources relied upon by the Court in the admissions and disciplinary process that assist with the lawyer wellness component of admission and discipline issues. Moreover, messages that support and champion healthy practitioners falls squarely in line with Keller-permissible messaging.</w:t>
      </w:r>
    </w:p>
    <w:p w14:paraId="1CA0DE3B" w14:textId="6EFE899A" w:rsidR="00365D40" w:rsidRDefault="00633E9C" w:rsidP="00365D40">
      <w:pPr>
        <w:pStyle w:val="Body"/>
        <w:widowControl w:val="0"/>
        <w:numPr>
          <w:ilvl w:val="0"/>
          <w:numId w:val="15"/>
        </w:numPr>
        <w:spacing w:line="480" w:lineRule="auto"/>
        <w:jc w:val="both"/>
        <w:rPr>
          <w:b/>
          <w:bCs/>
          <w:sz w:val="28"/>
          <w:szCs w:val="28"/>
        </w:rPr>
      </w:pPr>
      <w:r>
        <w:rPr>
          <w:b/>
          <w:bCs/>
          <w:sz w:val="28"/>
          <w:szCs w:val="28"/>
        </w:rPr>
        <w:t>Access to Justice</w:t>
      </w:r>
    </w:p>
    <w:p w14:paraId="371FB093" w14:textId="77777777" w:rsidR="000C77BA" w:rsidRDefault="004F49CF" w:rsidP="003D4772">
      <w:pPr>
        <w:pStyle w:val="Body"/>
        <w:widowControl w:val="0"/>
        <w:spacing w:line="480" w:lineRule="auto"/>
        <w:ind w:firstLine="720"/>
        <w:jc w:val="both"/>
        <w:rPr>
          <w:sz w:val="28"/>
          <w:szCs w:val="28"/>
        </w:rPr>
      </w:pPr>
      <w:r>
        <w:rPr>
          <w:sz w:val="28"/>
          <w:szCs w:val="28"/>
        </w:rPr>
        <w:t xml:space="preserve">Initiatives that support access to justice </w:t>
      </w:r>
      <w:r w:rsidR="003D4772">
        <w:rPr>
          <w:sz w:val="28"/>
          <w:szCs w:val="28"/>
        </w:rPr>
        <w:t xml:space="preserve">appear to fall outside of Petitioners’ definition </w:t>
      </w:r>
      <w:r w:rsidR="000C77BA">
        <w:rPr>
          <w:sz w:val="28"/>
          <w:szCs w:val="28"/>
        </w:rPr>
        <w:t>of “</w:t>
      </w:r>
      <w:r w:rsidR="00595E68">
        <w:rPr>
          <w:sz w:val="28"/>
          <w:szCs w:val="28"/>
        </w:rPr>
        <w:t>Regulatory Activity</w:t>
      </w:r>
      <w:r w:rsidR="003D4772">
        <w:rPr>
          <w:sz w:val="28"/>
          <w:szCs w:val="28"/>
        </w:rPr>
        <w:t xml:space="preserve">” </w:t>
      </w:r>
      <w:r w:rsidR="007A033C">
        <w:rPr>
          <w:sz w:val="28"/>
          <w:szCs w:val="28"/>
        </w:rPr>
        <w:t>(Pet. at 8), and presumably could not be funded with membership fees under the proposed amendments.</w:t>
      </w:r>
      <w:r w:rsidR="0015487E">
        <w:rPr>
          <w:sz w:val="28"/>
          <w:szCs w:val="28"/>
        </w:rPr>
        <w:t xml:space="preserve"> Yet, promoting access to justice not only falls under the State Bar’s mission, Rule 32(a)(</w:t>
      </w:r>
      <w:proofErr w:type="gramStart"/>
      <w:r w:rsidR="0015487E">
        <w:rPr>
          <w:sz w:val="28"/>
          <w:szCs w:val="28"/>
        </w:rPr>
        <w:t>2)(</w:t>
      </w:r>
      <w:proofErr w:type="gramEnd"/>
      <w:r w:rsidR="0015487E">
        <w:rPr>
          <w:sz w:val="28"/>
          <w:szCs w:val="28"/>
        </w:rPr>
        <w:t xml:space="preserve">B.), but also aligns </w:t>
      </w:r>
      <w:r w:rsidR="0015487E">
        <w:rPr>
          <w:sz w:val="28"/>
          <w:szCs w:val="28"/>
        </w:rPr>
        <w:lastRenderedPageBreak/>
        <w:t>with Goal 1 of the Court’s Strategic Agenda. Under Goal 1, the Court commits to “[w]ork</w:t>
      </w:r>
      <w:r w:rsidR="0015487E" w:rsidRPr="0015487E">
        <w:rPr>
          <w:sz w:val="28"/>
          <w:szCs w:val="28"/>
        </w:rPr>
        <w:t xml:space="preserve"> with the Foundation for Legal Services and Education and the State Bar of Arizona to improve access to legal services and legal information for individuals with modest incomes.</w:t>
      </w:r>
      <w:r w:rsidR="0015487E">
        <w:rPr>
          <w:sz w:val="28"/>
          <w:szCs w:val="28"/>
        </w:rPr>
        <w:t xml:space="preserve">” </w:t>
      </w:r>
    </w:p>
    <w:p w14:paraId="35F1CFEF" w14:textId="07F80652" w:rsidR="00126654" w:rsidRDefault="008C32DC" w:rsidP="000C77BA">
      <w:pPr>
        <w:pStyle w:val="Body"/>
        <w:widowControl w:val="0"/>
        <w:spacing w:line="480" w:lineRule="auto"/>
        <w:ind w:firstLine="0"/>
        <w:jc w:val="both"/>
        <w:rPr>
          <w:sz w:val="28"/>
          <w:szCs w:val="28"/>
        </w:rPr>
      </w:pPr>
      <w:hyperlink r:id="rId12" w:history="1">
        <w:r w:rsidR="000C77BA" w:rsidRPr="009670E7">
          <w:rPr>
            <w:rStyle w:val="Hyperlink"/>
            <w:sz w:val="28"/>
            <w:szCs w:val="28"/>
          </w:rPr>
          <w:t>https://www.azcourts.gov/Portals/0/Communications/JusticeForTheFuture.pdf?ver=2019-06-28-165330-887</w:t>
        </w:r>
      </w:hyperlink>
      <w:r w:rsidR="007A033C" w:rsidRPr="007A033C">
        <w:rPr>
          <w:sz w:val="28"/>
          <w:szCs w:val="28"/>
        </w:rPr>
        <w:t>.</w:t>
      </w:r>
    </w:p>
    <w:p w14:paraId="31A57208" w14:textId="78002E8C" w:rsidR="0015487E" w:rsidRPr="004F49CF" w:rsidRDefault="007A4F4F" w:rsidP="007A4F4F">
      <w:pPr>
        <w:pStyle w:val="Body"/>
        <w:widowControl w:val="0"/>
        <w:spacing w:line="480" w:lineRule="auto"/>
        <w:ind w:firstLine="0"/>
        <w:jc w:val="both"/>
        <w:rPr>
          <w:sz w:val="28"/>
          <w:szCs w:val="28"/>
        </w:rPr>
      </w:pPr>
      <w:r>
        <w:rPr>
          <w:sz w:val="28"/>
          <w:szCs w:val="28"/>
        </w:rPr>
        <w:tab/>
        <w:t xml:space="preserve">The Petition appears to suggest that allocation of funds deriving from membership fees to support access to justice initiatives should cease. Yet, the Petition leaves unanswered how the State Bar is to continue with this part of its mission and support of the Court’s strategic goals after such proposed funding cut. </w:t>
      </w:r>
    </w:p>
    <w:p w14:paraId="7437858E" w14:textId="1AA39791" w:rsidR="00CC6E97" w:rsidRDefault="00CC6E97" w:rsidP="00365D40">
      <w:pPr>
        <w:pStyle w:val="Body"/>
        <w:widowControl w:val="0"/>
        <w:numPr>
          <w:ilvl w:val="0"/>
          <w:numId w:val="15"/>
        </w:numPr>
        <w:spacing w:line="480" w:lineRule="auto"/>
        <w:jc w:val="both"/>
        <w:rPr>
          <w:b/>
          <w:bCs/>
          <w:sz w:val="28"/>
          <w:szCs w:val="28"/>
        </w:rPr>
      </w:pPr>
      <w:r>
        <w:rPr>
          <w:b/>
          <w:bCs/>
          <w:sz w:val="28"/>
          <w:szCs w:val="28"/>
        </w:rPr>
        <w:t xml:space="preserve">Other State Bar Responsibilities Overlooked in Petition </w:t>
      </w:r>
    </w:p>
    <w:p w14:paraId="10FA59B7" w14:textId="522DA385" w:rsidR="00CC6E97" w:rsidRDefault="00E96E53" w:rsidP="001A3D47">
      <w:pPr>
        <w:pStyle w:val="Body"/>
        <w:widowControl w:val="0"/>
        <w:spacing w:line="480" w:lineRule="auto"/>
        <w:ind w:firstLine="720"/>
        <w:jc w:val="both"/>
        <w:rPr>
          <w:sz w:val="28"/>
          <w:szCs w:val="28"/>
        </w:rPr>
      </w:pPr>
      <w:r>
        <w:rPr>
          <w:sz w:val="28"/>
          <w:szCs w:val="28"/>
        </w:rPr>
        <w:t xml:space="preserve">The Petition leaves open how, if the proposed rule amendments were adopted, the State Bar would be able to fund other important delegated functions. For example, Rule 32(a)(2)(E) provides for the State Bar to: </w:t>
      </w:r>
    </w:p>
    <w:p w14:paraId="3BE7182F" w14:textId="511737A1" w:rsidR="00E96E53" w:rsidRDefault="00F75E4A" w:rsidP="000C77BA">
      <w:pPr>
        <w:pStyle w:val="Body"/>
        <w:widowControl w:val="0"/>
        <w:spacing w:line="240" w:lineRule="auto"/>
        <w:ind w:left="720" w:right="720" w:firstLine="0"/>
        <w:jc w:val="both"/>
        <w:rPr>
          <w:sz w:val="28"/>
          <w:szCs w:val="28"/>
        </w:rPr>
      </w:pPr>
      <w:r>
        <w:rPr>
          <w:sz w:val="28"/>
          <w:szCs w:val="28"/>
        </w:rPr>
        <w:t>[</w:t>
      </w:r>
      <w:r w:rsidR="00E96E53">
        <w:rPr>
          <w:sz w:val="28"/>
          <w:szCs w:val="28"/>
        </w:rPr>
        <w:t>C</w:t>
      </w:r>
      <w:r>
        <w:rPr>
          <w:sz w:val="28"/>
          <w:szCs w:val="28"/>
        </w:rPr>
        <w:t>]</w:t>
      </w:r>
      <w:r w:rsidR="00E96E53">
        <w:rPr>
          <w:sz w:val="28"/>
          <w:szCs w:val="28"/>
        </w:rPr>
        <w:t xml:space="preserve">onduct educational programs regarding substantive law, best practices, </w:t>
      </w:r>
      <w:proofErr w:type="gramStart"/>
      <w:r w:rsidR="00E96E53">
        <w:rPr>
          <w:sz w:val="28"/>
          <w:szCs w:val="28"/>
        </w:rPr>
        <w:t>procedure</w:t>
      </w:r>
      <w:proofErr w:type="gramEnd"/>
      <w:r w:rsidR="00E96E53">
        <w:rPr>
          <w:sz w:val="28"/>
          <w:szCs w:val="28"/>
        </w:rPr>
        <w:t xml:space="preserve"> and ethics; provide forums for the discussion of subjects pertaining to the administration of justice, the practice of law, and the science of jurisprudence; and report its recommendations to this Court concerning these subjects. </w:t>
      </w:r>
    </w:p>
    <w:p w14:paraId="2F05236D" w14:textId="77777777" w:rsidR="00A60984" w:rsidRDefault="00A60984" w:rsidP="000C77BA">
      <w:pPr>
        <w:pStyle w:val="Body"/>
        <w:widowControl w:val="0"/>
        <w:spacing w:line="240" w:lineRule="auto"/>
        <w:ind w:left="720" w:right="720" w:firstLine="0"/>
        <w:jc w:val="both"/>
        <w:rPr>
          <w:sz w:val="28"/>
          <w:szCs w:val="28"/>
        </w:rPr>
      </w:pPr>
    </w:p>
    <w:p w14:paraId="1BDA3DE5" w14:textId="573842AB" w:rsidR="00E458E0" w:rsidRDefault="00E96E53" w:rsidP="00E96E53">
      <w:pPr>
        <w:pStyle w:val="Body"/>
        <w:widowControl w:val="0"/>
        <w:spacing w:line="480" w:lineRule="auto"/>
        <w:ind w:firstLine="0"/>
        <w:jc w:val="both"/>
        <w:rPr>
          <w:sz w:val="28"/>
          <w:szCs w:val="28"/>
        </w:rPr>
      </w:pPr>
      <w:r>
        <w:rPr>
          <w:sz w:val="28"/>
          <w:szCs w:val="28"/>
        </w:rPr>
        <w:tab/>
        <w:t>Petitioners’ proposal</w:t>
      </w:r>
      <w:r w:rsidR="00A115E9">
        <w:rPr>
          <w:sz w:val="28"/>
          <w:szCs w:val="28"/>
        </w:rPr>
        <w:t xml:space="preserve"> presumably</w:t>
      </w:r>
      <w:r>
        <w:rPr>
          <w:sz w:val="28"/>
          <w:szCs w:val="28"/>
        </w:rPr>
        <w:t xml:space="preserve"> asks that the Court cut funding to support </w:t>
      </w:r>
      <w:r w:rsidR="00A115E9">
        <w:rPr>
          <w:sz w:val="28"/>
          <w:szCs w:val="28"/>
        </w:rPr>
        <w:t xml:space="preserve">the State Bar’s delivery of CLE, administration of practice area committees, and support to the Court on </w:t>
      </w:r>
      <w:r w:rsidR="008D6C97">
        <w:rPr>
          <w:sz w:val="28"/>
          <w:szCs w:val="28"/>
        </w:rPr>
        <w:t>matters</w:t>
      </w:r>
      <w:r w:rsidR="00A115E9">
        <w:rPr>
          <w:sz w:val="28"/>
          <w:szCs w:val="28"/>
        </w:rPr>
        <w:t xml:space="preserve"> like proposed rule changes. State Bar committees </w:t>
      </w:r>
      <w:r w:rsidR="00A115E9">
        <w:rPr>
          <w:sz w:val="28"/>
          <w:szCs w:val="28"/>
        </w:rPr>
        <w:lastRenderedPageBreak/>
        <w:t>and staff play</w:t>
      </w:r>
      <w:r w:rsidR="008D6C97">
        <w:rPr>
          <w:sz w:val="28"/>
          <w:szCs w:val="28"/>
        </w:rPr>
        <w:t xml:space="preserve"> a vital role</w:t>
      </w:r>
      <w:r w:rsidR="00A115E9">
        <w:rPr>
          <w:sz w:val="28"/>
          <w:szCs w:val="28"/>
        </w:rPr>
        <w:t xml:space="preserve"> in helping practitioners and the Court i</w:t>
      </w:r>
      <w:r w:rsidR="00140034">
        <w:rPr>
          <w:sz w:val="28"/>
          <w:szCs w:val="28"/>
        </w:rPr>
        <w:t xml:space="preserve">n this respect. For example, </w:t>
      </w:r>
      <w:r w:rsidR="00E458E0">
        <w:rPr>
          <w:sz w:val="28"/>
          <w:szCs w:val="28"/>
        </w:rPr>
        <w:t xml:space="preserve">Arizona Revised Statute § 12-110(A) provides: </w:t>
      </w:r>
    </w:p>
    <w:p w14:paraId="2316E408" w14:textId="71567C12" w:rsidR="00140034" w:rsidRDefault="00E458E0" w:rsidP="00E458E0">
      <w:pPr>
        <w:pStyle w:val="Body"/>
        <w:widowControl w:val="0"/>
        <w:spacing w:line="240" w:lineRule="auto"/>
        <w:ind w:left="720" w:right="720" w:firstLine="0"/>
        <w:jc w:val="both"/>
        <w:rPr>
          <w:sz w:val="28"/>
          <w:szCs w:val="28"/>
        </w:rPr>
      </w:pPr>
      <w:r w:rsidRPr="00E458E0">
        <w:rPr>
          <w:sz w:val="28"/>
          <w:szCs w:val="28"/>
        </w:rPr>
        <w:t xml:space="preserve">The state bar, or a representative group selected by the bar, shall act as an advisory board and shall either voluntarily or upon request of </w:t>
      </w:r>
      <w:proofErr w:type="gramStart"/>
      <w:r w:rsidRPr="00E458E0">
        <w:rPr>
          <w:sz w:val="28"/>
          <w:szCs w:val="28"/>
        </w:rPr>
        <w:t>a majority of</w:t>
      </w:r>
      <w:proofErr w:type="gramEnd"/>
      <w:r w:rsidRPr="00E458E0">
        <w:rPr>
          <w:sz w:val="28"/>
          <w:szCs w:val="28"/>
        </w:rPr>
        <w:t xml:space="preserve"> the judges of the supreme court, consult with, recommend to or advise the court on any matter dealt with or proposed to be dealt with in the rules.</w:t>
      </w:r>
    </w:p>
    <w:p w14:paraId="1DE2AC89" w14:textId="77777777" w:rsidR="00E458E0" w:rsidRDefault="00E458E0" w:rsidP="00E458E0">
      <w:pPr>
        <w:pStyle w:val="Body"/>
        <w:widowControl w:val="0"/>
        <w:spacing w:line="240" w:lineRule="auto"/>
        <w:ind w:left="720" w:right="720" w:firstLine="0"/>
        <w:jc w:val="both"/>
        <w:rPr>
          <w:sz w:val="28"/>
          <w:szCs w:val="28"/>
        </w:rPr>
      </w:pPr>
    </w:p>
    <w:p w14:paraId="7CFC263C" w14:textId="049CEC74" w:rsidR="00E458E0" w:rsidRDefault="00E458E0" w:rsidP="00E96E53">
      <w:pPr>
        <w:pStyle w:val="Body"/>
        <w:widowControl w:val="0"/>
        <w:spacing w:line="480" w:lineRule="auto"/>
        <w:ind w:firstLine="0"/>
        <w:jc w:val="both"/>
        <w:rPr>
          <w:sz w:val="28"/>
          <w:szCs w:val="28"/>
        </w:rPr>
      </w:pPr>
      <w:r>
        <w:rPr>
          <w:sz w:val="28"/>
          <w:szCs w:val="28"/>
        </w:rPr>
        <w:tab/>
        <w:t xml:space="preserve">The State Bar’s practice area </w:t>
      </w:r>
      <w:r w:rsidR="0034222F">
        <w:rPr>
          <w:sz w:val="28"/>
          <w:szCs w:val="28"/>
        </w:rPr>
        <w:t xml:space="preserve">standing </w:t>
      </w:r>
      <w:r>
        <w:rPr>
          <w:sz w:val="28"/>
          <w:szCs w:val="28"/>
        </w:rPr>
        <w:t>committees</w:t>
      </w:r>
      <w:r w:rsidR="00026B5C">
        <w:rPr>
          <w:sz w:val="28"/>
          <w:szCs w:val="28"/>
        </w:rPr>
        <w:t>, each year, engage in thoughtful study and discussion of rules related to their respective practice areas.</w:t>
      </w:r>
      <w:r w:rsidR="004A4323">
        <w:rPr>
          <w:sz w:val="28"/>
          <w:szCs w:val="28"/>
        </w:rPr>
        <w:t xml:space="preserve"> In coordination with these standing committees</w:t>
      </w:r>
      <w:r w:rsidR="00026B5C">
        <w:rPr>
          <w:sz w:val="28"/>
          <w:szCs w:val="28"/>
        </w:rPr>
        <w:t>, the State B</w:t>
      </w:r>
      <w:r w:rsidR="0034222F">
        <w:rPr>
          <w:sz w:val="28"/>
          <w:szCs w:val="28"/>
        </w:rPr>
        <w:t>ar proposes</w:t>
      </w:r>
      <w:r w:rsidR="00026B5C">
        <w:rPr>
          <w:sz w:val="28"/>
          <w:szCs w:val="28"/>
        </w:rPr>
        <w:t xml:space="preserve"> rule changes and comments to rule changes</w:t>
      </w:r>
      <w:r w:rsidR="004A4323">
        <w:rPr>
          <w:sz w:val="28"/>
          <w:szCs w:val="28"/>
        </w:rPr>
        <w:t xml:space="preserve"> for the Court’s consideration. </w:t>
      </w:r>
    </w:p>
    <w:p w14:paraId="29D4A9B9" w14:textId="276537AD" w:rsidR="00595E68" w:rsidRDefault="00595E68" w:rsidP="00E96E53">
      <w:pPr>
        <w:pStyle w:val="Body"/>
        <w:widowControl w:val="0"/>
        <w:spacing w:line="480" w:lineRule="auto"/>
        <w:ind w:firstLine="0"/>
        <w:jc w:val="both"/>
        <w:rPr>
          <w:sz w:val="28"/>
          <w:szCs w:val="28"/>
        </w:rPr>
      </w:pPr>
      <w:r>
        <w:rPr>
          <w:sz w:val="28"/>
          <w:szCs w:val="28"/>
        </w:rPr>
        <w:tab/>
      </w:r>
      <w:r w:rsidR="00354E2A">
        <w:rPr>
          <w:sz w:val="28"/>
          <w:szCs w:val="28"/>
        </w:rPr>
        <w:t>Additionally, t</w:t>
      </w:r>
      <w:r>
        <w:rPr>
          <w:sz w:val="28"/>
          <w:szCs w:val="28"/>
        </w:rPr>
        <w:t xml:space="preserve">he State Bar also administers both the civil and criminal Jury Instructions Committee, which, under established guidelines, </w:t>
      </w:r>
      <w:r w:rsidR="000C77BA">
        <w:rPr>
          <w:sz w:val="28"/>
          <w:szCs w:val="28"/>
        </w:rPr>
        <w:t>update,</w:t>
      </w:r>
      <w:r>
        <w:rPr>
          <w:sz w:val="28"/>
          <w:szCs w:val="28"/>
        </w:rPr>
        <w:t xml:space="preserve"> and revise jury instructions to ensure that such instructions are current, </w:t>
      </w:r>
      <w:r w:rsidR="000C77BA">
        <w:rPr>
          <w:sz w:val="28"/>
          <w:szCs w:val="28"/>
        </w:rPr>
        <w:t>correct,</w:t>
      </w:r>
      <w:r>
        <w:rPr>
          <w:sz w:val="28"/>
          <w:szCs w:val="28"/>
        </w:rPr>
        <w:t xml:space="preserve"> and concise. </w:t>
      </w:r>
    </w:p>
    <w:p w14:paraId="6E65BD13" w14:textId="7981A980" w:rsidR="00354E2A" w:rsidRPr="00CC6E97" w:rsidRDefault="00354E2A" w:rsidP="00E96E53">
      <w:pPr>
        <w:pStyle w:val="Body"/>
        <w:widowControl w:val="0"/>
        <w:spacing w:line="480" w:lineRule="auto"/>
        <w:ind w:firstLine="0"/>
        <w:jc w:val="both"/>
        <w:rPr>
          <w:sz w:val="28"/>
          <w:szCs w:val="28"/>
        </w:rPr>
      </w:pPr>
      <w:r>
        <w:rPr>
          <w:sz w:val="28"/>
          <w:szCs w:val="28"/>
        </w:rPr>
        <w:tab/>
        <w:t>These practice area committees, including the Civil Practice and Procedure, Criminal Practice and Procedure, Family Law</w:t>
      </w:r>
      <w:r w:rsidR="001A3D47">
        <w:rPr>
          <w:sz w:val="28"/>
          <w:szCs w:val="28"/>
        </w:rPr>
        <w:t xml:space="preserve"> Practice and Procedure</w:t>
      </w:r>
      <w:r>
        <w:rPr>
          <w:sz w:val="28"/>
          <w:szCs w:val="28"/>
        </w:rPr>
        <w:t>, and Jury Instruction Committees</w:t>
      </w:r>
      <w:r w:rsidR="00F75E4A">
        <w:rPr>
          <w:sz w:val="28"/>
          <w:szCs w:val="28"/>
        </w:rPr>
        <w:t>,</w:t>
      </w:r>
      <w:r>
        <w:rPr>
          <w:sz w:val="28"/>
          <w:szCs w:val="28"/>
        </w:rPr>
        <w:t xml:space="preserve"> </w:t>
      </w:r>
      <w:r w:rsidR="00CF16E7">
        <w:rPr>
          <w:sz w:val="28"/>
          <w:szCs w:val="28"/>
        </w:rPr>
        <w:t xml:space="preserve">provide a </w:t>
      </w:r>
      <w:r>
        <w:rPr>
          <w:sz w:val="28"/>
          <w:szCs w:val="28"/>
        </w:rPr>
        <w:t>tremendous amount of value to practitioners and the bench through their study and work to update and refine the</w:t>
      </w:r>
      <w:r w:rsidR="004A4323">
        <w:rPr>
          <w:sz w:val="28"/>
          <w:szCs w:val="28"/>
        </w:rPr>
        <w:t xml:space="preserve"> rules</w:t>
      </w:r>
      <w:r>
        <w:rPr>
          <w:sz w:val="28"/>
          <w:szCs w:val="28"/>
        </w:rPr>
        <w:t xml:space="preserve"> and</w:t>
      </w:r>
      <w:r w:rsidR="004A4323">
        <w:rPr>
          <w:sz w:val="28"/>
          <w:szCs w:val="28"/>
        </w:rPr>
        <w:t xml:space="preserve"> practice procedures</w:t>
      </w:r>
      <w:r>
        <w:rPr>
          <w:sz w:val="28"/>
          <w:szCs w:val="28"/>
        </w:rPr>
        <w:t>. The State Bar, as a member-funded organization, provide</w:t>
      </w:r>
      <w:r w:rsidR="00A01DFD">
        <w:rPr>
          <w:sz w:val="28"/>
          <w:szCs w:val="28"/>
        </w:rPr>
        <w:t>s</w:t>
      </w:r>
      <w:r>
        <w:rPr>
          <w:sz w:val="28"/>
          <w:szCs w:val="28"/>
        </w:rPr>
        <w:t xml:space="preserve"> the forum for this contribution to our legal system</w:t>
      </w:r>
      <w:r w:rsidR="00B93F7C">
        <w:rPr>
          <w:sz w:val="28"/>
          <w:szCs w:val="28"/>
        </w:rPr>
        <w:t xml:space="preserve">. </w:t>
      </w:r>
    </w:p>
    <w:p w14:paraId="48DA6F19" w14:textId="68F05557" w:rsidR="00365D40" w:rsidRPr="003F4F00" w:rsidRDefault="00341114" w:rsidP="003F4F00">
      <w:pPr>
        <w:pStyle w:val="Body"/>
        <w:widowControl w:val="0"/>
        <w:numPr>
          <w:ilvl w:val="0"/>
          <w:numId w:val="17"/>
        </w:numPr>
        <w:spacing w:line="240" w:lineRule="auto"/>
        <w:jc w:val="both"/>
        <w:rPr>
          <w:b/>
          <w:bCs/>
          <w:i/>
          <w:iCs/>
          <w:sz w:val="28"/>
          <w:szCs w:val="28"/>
        </w:rPr>
      </w:pPr>
      <w:r>
        <w:rPr>
          <w:b/>
          <w:bCs/>
          <w:sz w:val="28"/>
          <w:szCs w:val="28"/>
        </w:rPr>
        <w:t xml:space="preserve">The Supreme Court Has Not Overruled </w:t>
      </w:r>
      <w:r w:rsidRPr="00CA6237">
        <w:rPr>
          <w:b/>
          <w:bCs/>
          <w:i/>
          <w:iCs/>
          <w:sz w:val="28"/>
          <w:szCs w:val="28"/>
        </w:rPr>
        <w:t xml:space="preserve">Keller </w:t>
      </w:r>
      <w:r w:rsidR="00CA6237" w:rsidRPr="00CA6237">
        <w:rPr>
          <w:b/>
          <w:bCs/>
          <w:i/>
          <w:iCs/>
          <w:sz w:val="28"/>
          <w:szCs w:val="28"/>
        </w:rPr>
        <w:t>v. State Bar of California</w:t>
      </w:r>
      <w:r w:rsidR="00CA6237">
        <w:rPr>
          <w:b/>
          <w:bCs/>
          <w:sz w:val="28"/>
          <w:szCs w:val="28"/>
        </w:rPr>
        <w:t>; and the Two-Pronged Germane Standard is Still the</w:t>
      </w:r>
      <w:r w:rsidR="006332C0">
        <w:rPr>
          <w:b/>
          <w:bCs/>
          <w:sz w:val="28"/>
          <w:szCs w:val="28"/>
        </w:rPr>
        <w:t xml:space="preserve"> Controlling</w:t>
      </w:r>
      <w:r w:rsidR="00CA6237">
        <w:rPr>
          <w:b/>
          <w:bCs/>
          <w:sz w:val="28"/>
          <w:szCs w:val="28"/>
        </w:rPr>
        <w:t xml:space="preserve"> Legal Standard for the State Bar’s </w:t>
      </w:r>
      <w:r w:rsidR="00D65EF9">
        <w:rPr>
          <w:b/>
          <w:bCs/>
          <w:sz w:val="28"/>
          <w:szCs w:val="28"/>
        </w:rPr>
        <w:t>E</w:t>
      </w:r>
      <w:r w:rsidR="00CA6237">
        <w:rPr>
          <w:b/>
          <w:bCs/>
          <w:sz w:val="28"/>
          <w:szCs w:val="28"/>
        </w:rPr>
        <w:t xml:space="preserve">xpenditures. </w:t>
      </w:r>
    </w:p>
    <w:p w14:paraId="09BC2B06" w14:textId="77777777" w:rsidR="003F4F00" w:rsidRPr="00CA6237" w:rsidRDefault="003F4F00" w:rsidP="003F4F00">
      <w:pPr>
        <w:pStyle w:val="Body"/>
        <w:widowControl w:val="0"/>
        <w:spacing w:line="240" w:lineRule="auto"/>
        <w:ind w:left="1080" w:firstLine="0"/>
        <w:jc w:val="both"/>
        <w:rPr>
          <w:b/>
          <w:bCs/>
          <w:i/>
          <w:iCs/>
          <w:sz w:val="28"/>
          <w:szCs w:val="28"/>
        </w:rPr>
      </w:pPr>
    </w:p>
    <w:p w14:paraId="238012E1" w14:textId="2744CD3F" w:rsidR="00B803FF" w:rsidRPr="003F6406" w:rsidRDefault="00595E68" w:rsidP="006332C0">
      <w:pPr>
        <w:pStyle w:val="Body"/>
        <w:widowControl w:val="0"/>
        <w:spacing w:line="480" w:lineRule="auto"/>
        <w:ind w:firstLine="720"/>
        <w:jc w:val="both"/>
        <w:rPr>
          <w:sz w:val="28"/>
          <w:szCs w:val="28"/>
        </w:rPr>
      </w:pPr>
      <w:r>
        <w:rPr>
          <w:sz w:val="28"/>
          <w:szCs w:val="28"/>
        </w:rPr>
        <w:t>The Petition mischaracterizes the current state of the law by asserting</w:t>
      </w:r>
      <w:r w:rsidR="00EF482F">
        <w:rPr>
          <w:sz w:val="28"/>
          <w:szCs w:val="28"/>
        </w:rPr>
        <w:t xml:space="preserve"> that Petitioners’ proposed revisions to Rule 32 would “bring Rule 32 in compliance with First Amendment precedent</w:t>
      </w:r>
      <w:r w:rsidR="00CA6237">
        <w:rPr>
          <w:sz w:val="28"/>
          <w:szCs w:val="28"/>
        </w:rPr>
        <w:t>.</w:t>
      </w:r>
      <w:r w:rsidR="00EF482F">
        <w:rPr>
          <w:sz w:val="28"/>
          <w:szCs w:val="28"/>
        </w:rPr>
        <w:t>” (Pet. at 2)</w:t>
      </w:r>
      <w:r w:rsidR="00CA6237">
        <w:rPr>
          <w:sz w:val="28"/>
          <w:szCs w:val="28"/>
        </w:rPr>
        <w:t xml:space="preserve"> </w:t>
      </w:r>
      <w:r w:rsidR="00B803FF">
        <w:rPr>
          <w:sz w:val="28"/>
          <w:szCs w:val="28"/>
        </w:rPr>
        <w:t xml:space="preserve">The Keller standard remains upheld; the State Bar can permissibly fund activities related to lawyer regulation </w:t>
      </w:r>
      <w:r w:rsidR="00B803FF" w:rsidRPr="00EF482F">
        <w:rPr>
          <w:i/>
          <w:iCs/>
          <w:sz w:val="28"/>
          <w:szCs w:val="28"/>
        </w:rPr>
        <w:t>and</w:t>
      </w:r>
      <w:r w:rsidR="00B803FF">
        <w:rPr>
          <w:sz w:val="28"/>
          <w:szCs w:val="28"/>
        </w:rPr>
        <w:t xml:space="preserve"> improving the quality of legal services. Keller has not been over</w:t>
      </w:r>
      <w:r w:rsidR="00B93F7C">
        <w:rPr>
          <w:sz w:val="28"/>
          <w:szCs w:val="28"/>
        </w:rPr>
        <w:t>turned</w:t>
      </w:r>
      <w:r w:rsidR="00B803FF">
        <w:rPr>
          <w:sz w:val="28"/>
          <w:szCs w:val="28"/>
        </w:rPr>
        <w:t xml:space="preserve"> or interpreted by any circuit court decision to mean that </w:t>
      </w:r>
      <w:r w:rsidR="003F6406">
        <w:rPr>
          <w:sz w:val="28"/>
          <w:szCs w:val="28"/>
        </w:rPr>
        <w:t>s</w:t>
      </w:r>
      <w:r w:rsidR="00B803FF">
        <w:rPr>
          <w:sz w:val="28"/>
          <w:szCs w:val="28"/>
        </w:rPr>
        <w:t xml:space="preserve">tate </w:t>
      </w:r>
      <w:r w:rsidR="003F6406">
        <w:rPr>
          <w:sz w:val="28"/>
          <w:szCs w:val="28"/>
        </w:rPr>
        <w:t>b</w:t>
      </w:r>
      <w:r w:rsidR="00B803FF">
        <w:rPr>
          <w:sz w:val="28"/>
          <w:szCs w:val="28"/>
        </w:rPr>
        <w:t xml:space="preserve">ars may </w:t>
      </w:r>
      <w:r w:rsidR="00B803FF" w:rsidRPr="003F6406">
        <w:rPr>
          <w:sz w:val="28"/>
          <w:szCs w:val="28"/>
          <w:u w:val="single"/>
        </w:rPr>
        <w:t>only</w:t>
      </w:r>
      <w:r w:rsidR="00B803FF">
        <w:rPr>
          <w:sz w:val="28"/>
          <w:szCs w:val="28"/>
        </w:rPr>
        <w:t xml:space="preserve"> use member fees for lawyer regulation as Petitioners advocate for in the Petition. </w:t>
      </w:r>
      <w:r w:rsidR="003763E1">
        <w:rPr>
          <w:sz w:val="28"/>
          <w:szCs w:val="28"/>
        </w:rPr>
        <w:t xml:space="preserve"> </w:t>
      </w:r>
      <w:r w:rsidR="003F6406">
        <w:rPr>
          <w:i/>
          <w:iCs/>
          <w:sz w:val="28"/>
          <w:szCs w:val="28"/>
        </w:rPr>
        <w:t>See Schell v. Chief Justs. of Okla. Sup. Ct.</w:t>
      </w:r>
      <w:r w:rsidR="003F6406">
        <w:rPr>
          <w:sz w:val="28"/>
          <w:szCs w:val="28"/>
        </w:rPr>
        <w:t>, 11 F.4</w:t>
      </w:r>
      <w:r w:rsidR="003F6406" w:rsidRPr="003F6406">
        <w:rPr>
          <w:sz w:val="28"/>
          <w:szCs w:val="28"/>
          <w:vertAlign w:val="superscript"/>
        </w:rPr>
        <w:t>th</w:t>
      </w:r>
      <w:r w:rsidR="003F6406">
        <w:rPr>
          <w:sz w:val="28"/>
          <w:szCs w:val="28"/>
        </w:rPr>
        <w:t xml:space="preserve"> 1178, 1190-1191 (10</w:t>
      </w:r>
      <w:r w:rsidR="003F6406" w:rsidRPr="003F6406">
        <w:rPr>
          <w:sz w:val="28"/>
          <w:szCs w:val="28"/>
          <w:vertAlign w:val="superscript"/>
        </w:rPr>
        <w:t>th</w:t>
      </w:r>
      <w:r w:rsidR="003F6406">
        <w:rPr>
          <w:sz w:val="28"/>
          <w:szCs w:val="28"/>
        </w:rPr>
        <w:t xml:space="preserve"> Cir. 2021). </w:t>
      </w:r>
    </w:p>
    <w:p w14:paraId="23983145" w14:textId="6B7E5191" w:rsidR="001C69D5" w:rsidRPr="001C69D5" w:rsidRDefault="00B803FF" w:rsidP="006332C0">
      <w:pPr>
        <w:pStyle w:val="Body"/>
        <w:widowControl w:val="0"/>
        <w:spacing w:line="480" w:lineRule="auto"/>
        <w:ind w:firstLine="720"/>
        <w:jc w:val="both"/>
        <w:rPr>
          <w:sz w:val="28"/>
          <w:szCs w:val="28"/>
        </w:rPr>
      </w:pPr>
      <w:r>
        <w:rPr>
          <w:sz w:val="28"/>
          <w:szCs w:val="28"/>
        </w:rPr>
        <w:t xml:space="preserve">The Petition asserts </w:t>
      </w:r>
      <w:r w:rsidR="000B356F">
        <w:rPr>
          <w:sz w:val="28"/>
          <w:szCs w:val="28"/>
        </w:rPr>
        <w:t>inaccurate</w:t>
      </w:r>
      <w:r>
        <w:rPr>
          <w:sz w:val="28"/>
          <w:szCs w:val="28"/>
        </w:rPr>
        <w:t xml:space="preserve"> legal conclusions. For example, i</w:t>
      </w:r>
      <w:r w:rsidR="0040647A">
        <w:rPr>
          <w:sz w:val="28"/>
          <w:szCs w:val="28"/>
        </w:rPr>
        <w:t>n the second paragraph of page 12 of the Petition, Petitioners asse</w:t>
      </w:r>
      <w:r w:rsidR="007E2440">
        <w:rPr>
          <w:sz w:val="28"/>
          <w:szCs w:val="28"/>
        </w:rPr>
        <w:t>r</w:t>
      </w:r>
      <w:r w:rsidR="0040647A">
        <w:rPr>
          <w:sz w:val="28"/>
          <w:szCs w:val="28"/>
        </w:rPr>
        <w:t xml:space="preserve">t “the State Bar cannot fund non-germane activities </w:t>
      </w:r>
      <w:r w:rsidR="0040647A" w:rsidRPr="003A1415">
        <w:rPr>
          <w:i/>
          <w:iCs/>
          <w:sz w:val="28"/>
          <w:szCs w:val="28"/>
        </w:rPr>
        <w:t>or those of an ideologic nature, period</w:t>
      </w:r>
      <w:r w:rsidR="0040647A">
        <w:rPr>
          <w:sz w:val="28"/>
          <w:szCs w:val="28"/>
        </w:rPr>
        <w:t>.”</w:t>
      </w:r>
      <w:r w:rsidR="003A1415">
        <w:rPr>
          <w:sz w:val="28"/>
          <w:szCs w:val="28"/>
        </w:rPr>
        <w:t xml:space="preserve"> [Emphasis added.]</w:t>
      </w:r>
      <w:r w:rsidR="0040647A">
        <w:rPr>
          <w:sz w:val="28"/>
          <w:szCs w:val="28"/>
        </w:rPr>
        <w:t xml:space="preserve"> </w:t>
      </w:r>
      <w:r w:rsidR="003763E1">
        <w:rPr>
          <w:sz w:val="28"/>
          <w:szCs w:val="28"/>
        </w:rPr>
        <w:t>Th</w:t>
      </w:r>
      <w:r w:rsidR="009427EE">
        <w:rPr>
          <w:sz w:val="28"/>
          <w:szCs w:val="28"/>
        </w:rPr>
        <w:t>is statement</w:t>
      </w:r>
      <w:r w:rsidR="003A1415">
        <w:rPr>
          <w:sz w:val="28"/>
          <w:szCs w:val="28"/>
        </w:rPr>
        <w:t xml:space="preserve"> is inaccurate. The</w:t>
      </w:r>
      <w:r w:rsidR="003763E1">
        <w:rPr>
          <w:sz w:val="28"/>
          <w:szCs w:val="28"/>
        </w:rPr>
        <w:t xml:space="preserve"> State Bar can, in fact, permissibly fund activities of an ideological nature, so long as those activities are germane to regulating the legal profession and</w:t>
      </w:r>
      <w:r w:rsidR="00EF482F">
        <w:rPr>
          <w:sz w:val="28"/>
          <w:szCs w:val="28"/>
        </w:rPr>
        <w:t>/or</w:t>
      </w:r>
      <w:r w:rsidR="003763E1">
        <w:rPr>
          <w:sz w:val="28"/>
          <w:szCs w:val="28"/>
        </w:rPr>
        <w:t xml:space="preserve"> improving the quality of legal services</w:t>
      </w:r>
      <w:r w:rsidR="006410D8">
        <w:rPr>
          <w:sz w:val="28"/>
          <w:szCs w:val="28"/>
        </w:rPr>
        <w:t>.</w:t>
      </w:r>
      <w:r w:rsidR="003763E1">
        <w:rPr>
          <w:sz w:val="28"/>
          <w:szCs w:val="28"/>
        </w:rPr>
        <w:t xml:space="preserve"> </w:t>
      </w:r>
      <w:r w:rsidR="003F6406" w:rsidRPr="003F6406">
        <w:rPr>
          <w:i/>
          <w:iCs/>
          <w:sz w:val="28"/>
          <w:szCs w:val="28"/>
        </w:rPr>
        <w:t>Keller,</w:t>
      </w:r>
      <w:r w:rsidR="003F6406">
        <w:rPr>
          <w:sz w:val="28"/>
          <w:szCs w:val="28"/>
        </w:rPr>
        <w:t xml:space="preserve"> 496 U.S. at 3</w:t>
      </w:r>
      <w:r w:rsidR="00B93F7C">
        <w:rPr>
          <w:sz w:val="28"/>
          <w:szCs w:val="28"/>
        </w:rPr>
        <w:t xml:space="preserve">. </w:t>
      </w:r>
      <w:r w:rsidR="001C69D5">
        <w:rPr>
          <w:sz w:val="28"/>
          <w:szCs w:val="28"/>
        </w:rPr>
        <w:t>Even if an activity is controversial or ideological, like a diversity program</w:t>
      </w:r>
      <w:r w:rsidR="008D6C97">
        <w:rPr>
          <w:sz w:val="28"/>
          <w:szCs w:val="28"/>
        </w:rPr>
        <w:t xml:space="preserve"> may be to some</w:t>
      </w:r>
      <w:r w:rsidR="001C69D5">
        <w:rPr>
          <w:sz w:val="28"/>
          <w:szCs w:val="28"/>
        </w:rPr>
        <w:t xml:space="preserve">, it is germane if the activity is an improvement to the quality of legal services. </w:t>
      </w:r>
      <w:r w:rsidR="001C69D5">
        <w:rPr>
          <w:i/>
          <w:iCs/>
          <w:sz w:val="28"/>
          <w:szCs w:val="28"/>
        </w:rPr>
        <w:t xml:space="preserve">McDonald v. Longely, </w:t>
      </w:r>
      <w:r w:rsidR="001C69D5">
        <w:rPr>
          <w:sz w:val="28"/>
          <w:szCs w:val="28"/>
        </w:rPr>
        <w:t>4 F.4</w:t>
      </w:r>
      <w:r w:rsidR="001C69D5" w:rsidRPr="001C69D5">
        <w:rPr>
          <w:sz w:val="28"/>
          <w:szCs w:val="28"/>
          <w:vertAlign w:val="superscript"/>
        </w:rPr>
        <w:t>th</w:t>
      </w:r>
      <w:r w:rsidR="001C69D5">
        <w:rPr>
          <w:sz w:val="28"/>
          <w:szCs w:val="28"/>
        </w:rPr>
        <w:t xml:space="preserve"> 229 (5</w:t>
      </w:r>
      <w:r w:rsidR="001C69D5" w:rsidRPr="001C69D5">
        <w:rPr>
          <w:sz w:val="28"/>
          <w:szCs w:val="28"/>
          <w:vertAlign w:val="superscript"/>
        </w:rPr>
        <w:t>th</w:t>
      </w:r>
      <w:r w:rsidR="001C69D5">
        <w:rPr>
          <w:sz w:val="28"/>
          <w:szCs w:val="28"/>
        </w:rPr>
        <w:t xml:space="preserve"> Cir. 2021)</w:t>
      </w:r>
      <w:r w:rsidR="00562A4B">
        <w:rPr>
          <w:sz w:val="28"/>
          <w:szCs w:val="28"/>
        </w:rPr>
        <w:t xml:space="preserve"> (</w:t>
      </w:r>
      <w:r w:rsidR="001C69D5">
        <w:rPr>
          <w:sz w:val="28"/>
          <w:szCs w:val="28"/>
        </w:rPr>
        <w:t>“</w:t>
      </w:r>
      <w:r w:rsidR="001C69D5" w:rsidRPr="001C69D5">
        <w:rPr>
          <w:sz w:val="28"/>
          <w:szCs w:val="28"/>
        </w:rPr>
        <w:t>The germaneness test does not require that there be unanimity on the Bar’s position on what best regulates the legal profession—that is typically for the Bar to decide</w:t>
      </w:r>
      <w:r w:rsidR="001C69D5">
        <w:rPr>
          <w:sz w:val="28"/>
          <w:szCs w:val="28"/>
        </w:rPr>
        <w:t>”</w:t>
      </w:r>
      <w:r w:rsidR="00562A4B">
        <w:rPr>
          <w:sz w:val="28"/>
          <w:szCs w:val="28"/>
        </w:rPr>
        <w:t>).</w:t>
      </w:r>
      <w:r w:rsidR="001C69D5">
        <w:rPr>
          <w:sz w:val="28"/>
          <w:szCs w:val="28"/>
        </w:rPr>
        <w:t xml:space="preserve"> </w:t>
      </w:r>
    </w:p>
    <w:p w14:paraId="0AD2AD4D" w14:textId="6B364A0D" w:rsidR="00595E68" w:rsidRPr="008460CC" w:rsidRDefault="003763E1" w:rsidP="00A27EEB">
      <w:pPr>
        <w:pStyle w:val="Body"/>
        <w:widowControl w:val="0"/>
        <w:spacing w:line="480" w:lineRule="auto"/>
        <w:ind w:firstLine="720"/>
        <w:jc w:val="both"/>
        <w:rPr>
          <w:sz w:val="28"/>
          <w:szCs w:val="28"/>
        </w:rPr>
      </w:pPr>
      <w:r>
        <w:rPr>
          <w:sz w:val="28"/>
          <w:szCs w:val="28"/>
        </w:rPr>
        <w:lastRenderedPageBreak/>
        <w:t>Examples of permissible ideological advocacy include this Comment, lobbying activity with respect to the law on the practice of law in Arizona, an amicus brief</w:t>
      </w:r>
      <w:r w:rsidR="003A1415">
        <w:rPr>
          <w:sz w:val="28"/>
          <w:szCs w:val="28"/>
        </w:rPr>
        <w:t xml:space="preserve"> supporting o</w:t>
      </w:r>
      <w:r w:rsidR="00EF482F">
        <w:rPr>
          <w:sz w:val="28"/>
          <w:szCs w:val="28"/>
        </w:rPr>
        <w:t>u</w:t>
      </w:r>
      <w:r w:rsidR="003A1415">
        <w:rPr>
          <w:sz w:val="28"/>
          <w:szCs w:val="28"/>
        </w:rPr>
        <w:t>r position on the integrated bar model to the</w:t>
      </w:r>
      <w:r>
        <w:rPr>
          <w:sz w:val="28"/>
          <w:szCs w:val="28"/>
        </w:rPr>
        <w:t xml:space="preserve"> Ninth Circuit</w:t>
      </w:r>
      <w:r w:rsidR="003A1415">
        <w:rPr>
          <w:sz w:val="28"/>
          <w:szCs w:val="28"/>
        </w:rPr>
        <w:t>—litigation of which</w:t>
      </w:r>
      <w:r>
        <w:rPr>
          <w:sz w:val="28"/>
          <w:szCs w:val="28"/>
        </w:rPr>
        <w:t xml:space="preserve"> could have a direct impact on how the State Bar can or cannot regulate lawyers in this state. The </w:t>
      </w:r>
      <w:r w:rsidR="0099473F">
        <w:rPr>
          <w:sz w:val="28"/>
          <w:szCs w:val="28"/>
        </w:rPr>
        <w:t>recent circuit court decision</w:t>
      </w:r>
      <w:r w:rsidR="00FC661E">
        <w:rPr>
          <w:sz w:val="28"/>
          <w:szCs w:val="28"/>
        </w:rPr>
        <w:t>s</w:t>
      </w:r>
      <w:r w:rsidR="0099473F">
        <w:rPr>
          <w:sz w:val="28"/>
          <w:szCs w:val="28"/>
        </w:rPr>
        <w:t xml:space="preserve"> on the constitutionality of the integrated bar model </w:t>
      </w:r>
      <w:r>
        <w:rPr>
          <w:sz w:val="28"/>
          <w:szCs w:val="28"/>
        </w:rPr>
        <w:t>cited in the Petition</w:t>
      </w:r>
      <w:r w:rsidR="003A1415">
        <w:rPr>
          <w:sz w:val="28"/>
          <w:szCs w:val="28"/>
        </w:rPr>
        <w:t xml:space="preserve">, when provided in proper context, </w:t>
      </w:r>
      <w:r>
        <w:rPr>
          <w:sz w:val="28"/>
          <w:szCs w:val="28"/>
        </w:rPr>
        <w:t xml:space="preserve">all support the </w:t>
      </w:r>
      <w:proofErr w:type="gramStart"/>
      <w:r>
        <w:rPr>
          <w:sz w:val="28"/>
          <w:szCs w:val="28"/>
        </w:rPr>
        <w:t>aforementioned activities</w:t>
      </w:r>
      <w:proofErr w:type="gramEnd"/>
      <w:r>
        <w:rPr>
          <w:sz w:val="28"/>
          <w:szCs w:val="28"/>
        </w:rPr>
        <w:t xml:space="preserve"> as </w:t>
      </w:r>
      <w:r w:rsidRPr="0099473F">
        <w:rPr>
          <w:i/>
          <w:iCs/>
          <w:sz w:val="28"/>
          <w:szCs w:val="28"/>
        </w:rPr>
        <w:t>Keller</w:t>
      </w:r>
      <w:r>
        <w:rPr>
          <w:sz w:val="28"/>
          <w:szCs w:val="28"/>
        </w:rPr>
        <w:t xml:space="preserve">-permissible, germane activity. </w:t>
      </w:r>
      <w:r w:rsidR="00A27EEB" w:rsidRPr="0099473F">
        <w:rPr>
          <w:i/>
          <w:iCs/>
          <w:sz w:val="28"/>
          <w:szCs w:val="28"/>
        </w:rPr>
        <w:t>See Boudreaux v. La. State Bar Ass’</w:t>
      </w:r>
      <w:r w:rsidR="007E2440" w:rsidRPr="0099473F">
        <w:rPr>
          <w:i/>
          <w:iCs/>
          <w:sz w:val="28"/>
          <w:szCs w:val="28"/>
        </w:rPr>
        <w:t>n</w:t>
      </w:r>
      <w:r w:rsidR="00EF482F" w:rsidRPr="0099473F">
        <w:rPr>
          <w:sz w:val="28"/>
          <w:szCs w:val="28"/>
        </w:rPr>
        <w:t>,</w:t>
      </w:r>
      <w:r w:rsidR="00A27EEB" w:rsidRPr="0099473F">
        <w:rPr>
          <w:sz w:val="28"/>
          <w:szCs w:val="28"/>
        </w:rPr>
        <w:t xml:space="preserve"> 86 F.4</w:t>
      </w:r>
      <w:r w:rsidR="00A27EEB" w:rsidRPr="0099473F">
        <w:rPr>
          <w:sz w:val="28"/>
          <w:szCs w:val="28"/>
          <w:vertAlign w:val="superscript"/>
        </w:rPr>
        <w:t>th</w:t>
      </w:r>
      <w:r w:rsidR="00A27EEB" w:rsidRPr="0099473F">
        <w:rPr>
          <w:sz w:val="28"/>
          <w:szCs w:val="28"/>
        </w:rPr>
        <w:t xml:space="preserve"> 620</w:t>
      </w:r>
      <w:r w:rsidR="0099473F">
        <w:rPr>
          <w:sz w:val="28"/>
          <w:szCs w:val="28"/>
        </w:rPr>
        <w:t>, 631-632</w:t>
      </w:r>
      <w:r w:rsidR="00EF482F" w:rsidRPr="0099473F">
        <w:rPr>
          <w:sz w:val="28"/>
          <w:szCs w:val="28"/>
        </w:rPr>
        <w:t xml:space="preserve"> (5</w:t>
      </w:r>
      <w:r w:rsidR="00EF482F" w:rsidRPr="0099473F">
        <w:rPr>
          <w:sz w:val="28"/>
          <w:szCs w:val="28"/>
          <w:vertAlign w:val="superscript"/>
        </w:rPr>
        <w:t>th</w:t>
      </w:r>
      <w:r w:rsidR="00EF482F" w:rsidRPr="0099473F">
        <w:rPr>
          <w:sz w:val="28"/>
          <w:szCs w:val="28"/>
        </w:rPr>
        <w:t xml:space="preserve"> Cir. 2023)</w:t>
      </w:r>
      <w:r w:rsidR="00A27EEB" w:rsidRPr="0099473F">
        <w:rPr>
          <w:sz w:val="28"/>
          <w:szCs w:val="28"/>
        </w:rPr>
        <w:t xml:space="preserve"> (citing to Keller, affirming that advocacy regarding activities related to lawyer discipline were “obviously germane”); </w:t>
      </w:r>
      <w:r w:rsidR="008460CC">
        <w:rPr>
          <w:i/>
          <w:iCs/>
          <w:sz w:val="28"/>
          <w:szCs w:val="28"/>
        </w:rPr>
        <w:t xml:space="preserve">McDonald </w:t>
      </w:r>
      <w:r w:rsidR="008460CC">
        <w:rPr>
          <w:sz w:val="28"/>
          <w:szCs w:val="28"/>
        </w:rPr>
        <w:t>4 F.4</w:t>
      </w:r>
      <w:r w:rsidR="008460CC" w:rsidRPr="008460CC">
        <w:rPr>
          <w:sz w:val="28"/>
          <w:szCs w:val="28"/>
          <w:vertAlign w:val="superscript"/>
        </w:rPr>
        <w:t>th</w:t>
      </w:r>
      <w:r w:rsidR="008460CC">
        <w:rPr>
          <w:sz w:val="28"/>
          <w:szCs w:val="28"/>
        </w:rPr>
        <w:t xml:space="preserve"> at 247-248 (“</w:t>
      </w:r>
      <w:r w:rsidR="008460CC" w:rsidRPr="008460CC">
        <w:rPr>
          <w:sz w:val="28"/>
          <w:szCs w:val="28"/>
        </w:rPr>
        <w:t>Lobbying for legislation regarding the functioning of the state's courts or legal system writ large, on the other hand, is germane. So too is advocating for laws governing the activities of lawyers </w:t>
      </w:r>
      <w:r w:rsidR="008460CC" w:rsidRPr="008460CC">
        <w:rPr>
          <w:i/>
          <w:iCs/>
          <w:sz w:val="28"/>
          <w:szCs w:val="28"/>
        </w:rPr>
        <w:t>qua</w:t>
      </w:r>
      <w:r w:rsidR="008460CC" w:rsidRPr="008460CC">
        <w:rPr>
          <w:sz w:val="28"/>
          <w:szCs w:val="28"/>
        </w:rPr>
        <w:t> lawyers</w:t>
      </w:r>
      <w:r w:rsidR="008460CC">
        <w:rPr>
          <w:sz w:val="28"/>
          <w:szCs w:val="28"/>
        </w:rPr>
        <w:t>”)</w:t>
      </w:r>
      <w:r w:rsidR="00B93F7C">
        <w:rPr>
          <w:sz w:val="28"/>
          <w:szCs w:val="28"/>
        </w:rPr>
        <w:t xml:space="preserve">. </w:t>
      </w:r>
    </w:p>
    <w:p w14:paraId="24AFEF0D" w14:textId="67ADB9D1" w:rsidR="003763E1" w:rsidRDefault="00944EA4" w:rsidP="006332C0">
      <w:pPr>
        <w:pStyle w:val="Body"/>
        <w:widowControl w:val="0"/>
        <w:spacing w:line="480" w:lineRule="auto"/>
        <w:ind w:firstLine="720"/>
        <w:jc w:val="both"/>
        <w:rPr>
          <w:sz w:val="28"/>
          <w:szCs w:val="28"/>
        </w:rPr>
      </w:pPr>
      <w:r>
        <w:rPr>
          <w:sz w:val="28"/>
          <w:szCs w:val="28"/>
        </w:rPr>
        <w:t>While t</w:t>
      </w:r>
      <w:r w:rsidR="000D667B">
        <w:rPr>
          <w:sz w:val="28"/>
          <w:szCs w:val="28"/>
        </w:rPr>
        <w:t xml:space="preserve">his Court </w:t>
      </w:r>
      <w:r w:rsidR="00A27EEB">
        <w:rPr>
          <w:sz w:val="28"/>
          <w:szCs w:val="28"/>
        </w:rPr>
        <w:t xml:space="preserve">has the authority to </w:t>
      </w:r>
      <w:r w:rsidR="000D667B">
        <w:rPr>
          <w:sz w:val="28"/>
          <w:szCs w:val="28"/>
        </w:rPr>
        <w:t xml:space="preserve">decide </w:t>
      </w:r>
      <w:r>
        <w:rPr>
          <w:sz w:val="28"/>
          <w:szCs w:val="28"/>
        </w:rPr>
        <w:t>changes to the</w:t>
      </w:r>
      <w:r w:rsidR="000D667B">
        <w:rPr>
          <w:sz w:val="28"/>
          <w:szCs w:val="28"/>
        </w:rPr>
        <w:t xml:space="preserve"> structure</w:t>
      </w:r>
      <w:r>
        <w:rPr>
          <w:sz w:val="28"/>
          <w:szCs w:val="28"/>
        </w:rPr>
        <w:t xml:space="preserve">, </w:t>
      </w:r>
      <w:proofErr w:type="gramStart"/>
      <w:r>
        <w:rPr>
          <w:sz w:val="28"/>
          <w:szCs w:val="28"/>
        </w:rPr>
        <w:t>mission</w:t>
      </w:r>
      <w:proofErr w:type="gramEnd"/>
      <w:r>
        <w:rPr>
          <w:sz w:val="28"/>
          <w:szCs w:val="28"/>
        </w:rPr>
        <w:t xml:space="preserve"> and scope of the State Bar’s activities</w:t>
      </w:r>
      <w:r w:rsidR="00B117F1">
        <w:rPr>
          <w:sz w:val="28"/>
          <w:szCs w:val="28"/>
        </w:rPr>
        <w:t xml:space="preserve">, </w:t>
      </w:r>
      <w:r>
        <w:rPr>
          <w:sz w:val="28"/>
          <w:szCs w:val="28"/>
        </w:rPr>
        <w:t>whether or not Keller is someday over</w:t>
      </w:r>
      <w:r w:rsidR="00A27EEB">
        <w:rPr>
          <w:sz w:val="28"/>
          <w:szCs w:val="28"/>
        </w:rPr>
        <w:t>turned</w:t>
      </w:r>
      <w:r>
        <w:rPr>
          <w:sz w:val="28"/>
          <w:szCs w:val="28"/>
        </w:rPr>
        <w:t xml:space="preserve">, it is worth noting because Petitioners put so much emphasis on the proliferation of anti-integrated bar litigation, that the United States Supreme Court has rejected such attempts to review and overturn </w:t>
      </w:r>
      <w:r w:rsidRPr="00D84EFF">
        <w:rPr>
          <w:i/>
          <w:iCs/>
          <w:sz w:val="28"/>
          <w:szCs w:val="28"/>
        </w:rPr>
        <w:t>Keller</w:t>
      </w:r>
      <w:r>
        <w:rPr>
          <w:sz w:val="28"/>
          <w:szCs w:val="28"/>
        </w:rPr>
        <w:t xml:space="preserve"> six times in the last four years.</w:t>
      </w:r>
      <w:r w:rsidR="008460CC">
        <w:rPr>
          <w:sz w:val="28"/>
          <w:szCs w:val="28"/>
        </w:rPr>
        <w:t xml:space="preserve"> </w:t>
      </w:r>
      <w:r w:rsidR="00A418F4">
        <w:rPr>
          <w:i/>
          <w:iCs/>
          <w:sz w:val="28"/>
          <w:szCs w:val="28"/>
        </w:rPr>
        <w:t>See Fleck v. Wetch</w:t>
      </w:r>
      <w:r w:rsidR="00A418F4">
        <w:rPr>
          <w:sz w:val="28"/>
          <w:szCs w:val="28"/>
        </w:rPr>
        <w:t xml:space="preserve">, 140 S.Ct. 1294 (2020); </w:t>
      </w:r>
      <w:bookmarkStart w:id="3" w:name="_Hlk158128481"/>
      <w:r w:rsidR="00A418F4" w:rsidRPr="00A418F4">
        <w:rPr>
          <w:i/>
          <w:iCs/>
          <w:sz w:val="28"/>
          <w:szCs w:val="28"/>
        </w:rPr>
        <w:t>Gruber v. Oregon State Bar</w:t>
      </w:r>
      <w:r w:rsidR="00A418F4">
        <w:rPr>
          <w:sz w:val="28"/>
          <w:szCs w:val="28"/>
        </w:rPr>
        <w:t>, 142 S.Ct. 78</w:t>
      </w:r>
      <w:bookmarkEnd w:id="3"/>
      <w:r w:rsidR="00A418F4">
        <w:rPr>
          <w:sz w:val="28"/>
          <w:szCs w:val="28"/>
        </w:rPr>
        <w:t xml:space="preserve"> (2021);</w:t>
      </w:r>
      <w:r>
        <w:rPr>
          <w:sz w:val="28"/>
          <w:szCs w:val="28"/>
        </w:rPr>
        <w:t xml:space="preserve"> </w:t>
      </w:r>
      <w:bookmarkStart w:id="4" w:name="_Hlk157687416"/>
      <w:r w:rsidR="00A418F4" w:rsidRPr="00A418F4">
        <w:rPr>
          <w:i/>
          <w:iCs/>
          <w:sz w:val="28"/>
          <w:szCs w:val="28"/>
        </w:rPr>
        <w:t>Crowe v. Oregon State Bar</w:t>
      </w:r>
      <w:r w:rsidR="00A418F4">
        <w:rPr>
          <w:sz w:val="28"/>
          <w:szCs w:val="28"/>
        </w:rPr>
        <w:t xml:space="preserve">, 142 S.Ct. 79 (2021); </w:t>
      </w:r>
      <w:r w:rsidR="00A418F4">
        <w:rPr>
          <w:i/>
          <w:iCs/>
          <w:sz w:val="28"/>
          <w:szCs w:val="28"/>
        </w:rPr>
        <w:t>Schell v. Darby</w:t>
      </w:r>
      <w:r w:rsidR="00A418F4">
        <w:rPr>
          <w:sz w:val="28"/>
          <w:szCs w:val="28"/>
        </w:rPr>
        <w:t xml:space="preserve">, 142 S. Ct. 1440 </w:t>
      </w:r>
      <w:r w:rsidR="00A418F4">
        <w:rPr>
          <w:sz w:val="28"/>
          <w:szCs w:val="28"/>
        </w:rPr>
        <w:lastRenderedPageBreak/>
        <w:t xml:space="preserve">(2022); </w:t>
      </w:r>
      <w:r w:rsidR="00A418F4">
        <w:rPr>
          <w:i/>
          <w:iCs/>
          <w:sz w:val="28"/>
          <w:szCs w:val="28"/>
        </w:rPr>
        <w:t>McDonald v. Firth</w:t>
      </w:r>
      <w:r w:rsidR="00A418F4">
        <w:rPr>
          <w:sz w:val="28"/>
          <w:szCs w:val="28"/>
        </w:rPr>
        <w:t xml:space="preserve">, 142 S. Ct. 1442 (2022); </w:t>
      </w:r>
      <w:r w:rsidR="00A418F4">
        <w:rPr>
          <w:i/>
          <w:iCs/>
          <w:sz w:val="28"/>
          <w:szCs w:val="28"/>
        </w:rPr>
        <w:t>Taylor v. Heath</w:t>
      </w:r>
      <w:r w:rsidR="00A418F4">
        <w:rPr>
          <w:sz w:val="28"/>
          <w:szCs w:val="28"/>
        </w:rPr>
        <w:t xml:space="preserve">, 142 S.Ct. 1441 (2022); and </w:t>
      </w:r>
      <w:r w:rsidR="00A418F4">
        <w:rPr>
          <w:i/>
          <w:iCs/>
          <w:sz w:val="28"/>
          <w:szCs w:val="28"/>
        </w:rPr>
        <w:t>File v. Hickey</w:t>
      </w:r>
      <w:r w:rsidR="00A418F4">
        <w:rPr>
          <w:sz w:val="28"/>
          <w:szCs w:val="28"/>
        </w:rPr>
        <w:t xml:space="preserve">, 143 S. Ct. 745 (2023).  </w:t>
      </w:r>
      <w:bookmarkEnd w:id="4"/>
    </w:p>
    <w:p w14:paraId="67F6725D" w14:textId="6754B4BF" w:rsidR="00341114" w:rsidRDefault="003F4F00" w:rsidP="00334284">
      <w:pPr>
        <w:pStyle w:val="Body"/>
        <w:widowControl w:val="0"/>
        <w:numPr>
          <w:ilvl w:val="0"/>
          <w:numId w:val="17"/>
        </w:numPr>
        <w:spacing w:line="480" w:lineRule="auto"/>
        <w:jc w:val="both"/>
        <w:rPr>
          <w:b/>
          <w:bCs/>
          <w:sz w:val="28"/>
          <w:szCs w:val="28"/>
        </w:rPr>
      </w:pPr>
      <w:r>
        <w:rPr>
          <w:b/>
          <w:bCs/>
          <w:sz w:val="28"/>
          <w:szCs w:val="28"/>
        </w:rPr>
        <w:t>The State Bar is not a Labor Union</w:t>
      </w:r>
      <w:r w:rsidR="00B76323">
        <w:rPr>
          <w:b/>
          <w:bCs/>
          <w:sz w:val="28"/>
          <w:szCs w:val="28"/>
        </w:rPr>
        <w:t>.</w:t>
      </w:r>
    </w:p>
    <w:p w14:paraId="23A6F68C" w14:textId="51751E36" w:rsidR="003F4F00" w:rsidRDefault="003F4F00" w:rsidP="001A3D47">
      <w:pPr>
        <w:pStyle w:val="Body"/>
        <w:widowControl w:val="0"/>
        <w:spacing w:line="480" w:lineRule="auto"/>
        <w:ind w:firstLine="720"/>
        <w:jc w:val="both"/>
        <w:rPr>
          <w:sz w:val="28"/>
          <w:szCs w:val="28"/>
        </w:rPr>
      </w:pPr>
      <w:r>
        <w:rPr>
          <w:sz w:val="28"/>
          <w:szCs w:val="28"/>
        </w:rPr>
        <w:t xml:space="preserve">Petitioners also misrepresent the applicability of </w:t>
      </w:r>
      <w:r w:rsidR="00B673C3">
        <w:rPr>
          <w:sz w:val="28"/>
          <w:szCs w:val="28"/>
        </w:rPr>
        <w:t>Article 25 of the Arizona Constitution, which reads:</w:t>
      </w:r>
    </w:p>
    <w:p w14:paraId="318BE1C3" w14:textId="6AD10D50" w:rsidR="00B673C3" w:rsidRDefault="00B673C3" w:rsidP="000C77BA">
      <w:pPr>
        <w:pStyle w:val="Body"/>
        <w:widowControl w:val="0"/>
        <w:spacing w:line="240" w:lineRule="auto"/>
        <w:ind w:left="720" w:right="720" w:firstLine="0"/>
        <w:jc w:val="both"/>
        <w:rPr>
          <w:sz w:val="28"/>
          <w:szCs w:val="28"/>
        </w:rPr>
      </w:pPr>
      <w:r w:rsidRPr="00B673C3">
        <w:rPr>
          <w:sz w:val="28"/>
          <w:szCs w:val="28"/>
        </w:rPr>
        <w:t>No person shall be denied the opportunity to obtain or retain employment because of non-membership in a</w:t>
      </w:r>
      <w:r w:rsidRPr="00B673C3">
        <w:rPr>
          <w:b/>
          <w:bCs/>
          <w:sz w:val="28"/>
          <w:szCs w:val="28"/>
        </w:rPr>
        <w:t xml:space="preserve"> </w:t>
      </w:r>
      <w:r w:rsidRPr="00B673C3">
        <w:rPr>
          <w:sz w:val="28"/>
          <w:szCs w:val="28"/>
        </w:rPr>
        <w:t>labor organization, nor shall the State or any subdivision thereof, or any corporation, individual or association of any kind enter into any agreement, written or oral, which excludes any person from employment or continuation of employment because of non-membership in a labor organization.</w:t>
      </w:r>
    </w:p>
    <w:p w14:paraId="0FF6A625" w14:textId="77777777" w:rsidR="000C77BA" w:rsidRPr="000C77BA" w:rsidRDefault="000C77BA" w:rsidP="000C77BA">
      <w:pPr>
        <w:pStyle w:val="Body"/>
        <w:widowControl w:val="0"/>
        <w:spacing w:line="240" w:lineRule="auto"/>
        <w:ind w:left="720" w:right="720" w:firstLine="0"/>
        <w:jc w:val="both"/>
        <w:rPr>
          <w:sz w:val="28"/>
          <w:szCs w:val="28"/>
        </w:rPr>
      </w:pPr>
    </w:p>
    <w:p w14:paraId="0803C1AA" w14:textId="7A55D5FE" w:rsidR="00B673C3" w:rsidRDefault="00B673C3" w:rsidP="00B673C3">
      <w:pPr>
        <w:pStyle w:val="Body"/>
        <w:widowControl w:val="0"/>
        <w:spacing w:line="480" w:lineRule="auto"/>
        <w:ind w:firstLine="0"/>
        <w:jc w:val="both"/>
        <w:rPr>
          <w:sz w:val="28"/>
          <w:szCs w:val="28"/>
        </w:rPr>
      </w:pPr>
      <w:r>
        <w:rPr>
          <w:b/>
          <w:bCs/>
          <w:sz w:val="28"/>
          <w:szCs w:val="28"/>
        </w:rPr>
        <w:tab/>
      </w:r>
      <w:r>
        <w:rPr>
          <w:sz w:val="28"/>
          <w:szCs w:val="28"/>
        </w:rPr>
        <w:t xml:space="preserve">Petitioners </w:t>
      </w:r>
      <w:r w:rsidR="00FF6AA9">
        <w:rPr>
          <w:sz w:val="28"/>
          <w:szCs w:val="28"/>
        </w:rPr>
        <w:t>assert that</w:t>
      </w:r>
      <w:r>
        <w:rPr>
          <w:sz w:val="28"/>
          <w:szCs w:val="28"/>
        </w:rPr>
        <w:t xml:space="preserve"> this state constitutional provision </w:t>
      </w:r>
      <w:r w:rsidR="00FF6AA9">
        <w:rPr>
          <w:sz w:val="28"/>
          <w:szCs w:val="28"/>
        </w:rPr>
        <w:t>addresses</w:t>
      </w:r>
      <w:r>
        <w:rPr>
          <w:sz w:val="28"/>
          <w:szCs w:val="28"/>
        </w:rPr>
        <w:t xml:space="preserve"> </w:t>
      </w:r>
      <w:r w:rsidR="00287F0B">
        <w:rPr>
          <w:sz w:val="28"/>
          <w:szCs w:val="28"/>
        </w:rPr>
        <w:t>a lawyer’s right to practice without being a member of the State Bar</w:t>
      </w:r>
      <w:r>
        <w:rPr>
          <w:sz w:val="28"/>
          <w:szCs w:val="28"/>
        </w:rPr>
        <w:t>. (Pet. at 4) This constitutional provision</w:t>
      </w:r>
      <w:r w:rsidR="00287F0B">
        <w:rPr>
          <w:sz w:val="28"/>
          <w:szCs w:val="28"/>
        </w:rPr>
        <w:t xml:space="preserve"> has nothing to do with the State Bar. The clause</w:t>
      </w:r>
      <w:r>
        <w:rPr>
          <w:sz w:val="28"/>
          <w:szCs w:val="28"/>
        </w:rPr>
        <w:t xml:space="preserve"> is silent on professional associations and does not prohibit this Court exercising its authority to require lawyers to belong to the State Bar as a condition to practice law in this state. </w:t>
      </w:r>
    </w:p>
    <w:p w14:paraId="7452F364" w14:textId="04508906" w:rsidR="00287F0B" w:rsidRPr="0081005F" w:rsidRDefault="00B673C3" w:rsidP="000C77BA">
      <w:pPr>
        <w:pStyle w:val="Body"/>
        <w:widowControl w:val="0"/>
        <w:spacing w:line="480" w:lineRule="auto"/>
        <w:ind w:firstLine="720"/>
        <w:jc w:val="both"/>
        <w:rPr>
          <w:sz w:val="28"/>
          <w:szCs w:val="28"/>
        </w:rPr>
      </w:pPr>
      <w:r>
        <w:rPr>
          <w:sz w:val="28"/>
          <w:szCs w:val="28"/>
        </w:rPr>
        <w:t>The State Bar is not a labor organization</w:t>
      </w:r>
      <w:r w:rsidR="00B93F7C">
        <w:rPr>
          <w:sz w:val="28"/>
          <w:szCs w:val="28"/>
        </w:rPr>
        <w:t xml:space="preserve">. </w:t>
      </w:r>
      <w:r>
        <w:rPr>
          <w:sz w:val="28"/>
          <w:szCs w:val="28"/>
        </w:rPr>
        <w:t>Labor organizations exist primarily to bargain with employers for the benefit of the organization’s members</w:t>
      </w:r>
      <w:r w:rsidR="00537B78">
        <w:rPr>
          <w:sz w:val="28"/>
          <w:szCs w:val="28"/>
        </w:rPr>
        <w:t xml:space="preserve"> on things such as working conditions, benefits, and compensation</w:t>
      </w:r>
      <w:r w:rsidR="0081005F">
        <w:rPr>
          <w:sz w:val="28"/>
          <w:szCs w:val="28"/>
        </w:rPr>
        <w:t>.</w:t>
      </w:r>
      <w:r>
        <w:rPr>
          <w:sz w:val="28"/>
          <w:szCs w:val="28"/>
        </w:rPr>
        <w:t xml:space="preserve"> </w:t>
      </w:r>
      <w:r w:rsidR="00537B78">
        <w:rPr>
          <w:sz w:val="28"/>
          <w:szCs w:val="28"/>
        </w:rPr>
        <w:t xml:space="preserve">By contrast, the State Bar does not engage in union-type advocacy on behalf of our members, </w:t>
      </w:r>
      <w:r w:rsidR="007E2440">
        <w:rPr>
          <w:sz w:val="28"/>
          <w:szCs w:val="28"/>
        </w:rPr>
        <w:t xml:space="preserve">nor </w:t>
      </w:r>
      <w:r w:rsidR="00537B78">
        <w:rPr>
          <w:sz w:val="28"/>
          <w:szCs w:val="28"/>
        </w:rPr>
        <w:t>does t</w:t>
      </w:r>
      <w:r>
        <w:rPr>
          <w:sz w:val="28"/>
          <w:szCs w:val="28"/>
        </w:rPr>
        <w:t>he State Bar</w:t>
      </w:r>
      <w:r w:rsidR="0081005F">
        <w:rPr>
          <w:sz w:val="28"/>
          <w:szCs w:val="28"/>
        </w:rPr>
        <w:t xml:space="preserve"> purport to</w:t>
      </w:r>
      <w:r>
        <w:rPr>
          <w:sz w:val="28"/>
          <w:szCs w:val="28"/>
        </w:rPr>
        <w:t xml:space="preserve"> speak in a unified voice on behalf of our membership. </w:t>
      </w:r>
      <w:r w:rsidR="0081005F">
        <w:rPr>
          <w:sz w:val="28"/>
          <w:szCs w:val="28"/>
        </w:rPr>
        <w:t>Rather, t</w:t>
      </w:r>
      <w:r>
        <w:rPr>
          <w:sz w:val="28"/>
          <w:szCs w:val="28"/>
        </w:rPr>
        <w:t xml:space="preserve">he State Bar is empowered by this Court to organize and promote activities that </w:t>
      </w:r>
      <w:r>
        <w:rPr>
          <w:sz w:val="28"/>
          <w:szCs w:val="28"/>
        </w:rPr>
        <w:lastRenderedPageBreak/>
        <w:t xml:space="preserve">fulfill the responsibilities of the legal profession; to promote access to justice; to aid in the administration of justice; to assist in the regulation and discipline of attorneys; to conduct educational programs; and to provide forums for the discussion of subjects pertaining to the practice of law. </w:t>
      </w:r>
      <w:r w:rsidR="0081005F">
        <w:rPr>
          <w:iCs/>
          <w:sz w:val="28"/>
          <w:szCs w:val="28"/>
        </w:rPr>
        <w:t xml:space="preserve">Rule 32(a)(2). </w:t>
      </w:r>
      <w:r>
        <w:rPr>
          <w:sz w:val="28"/>
          <w:szCs w:val="28"/>
        </w:rPr>
        <w:t>The charges from the Court to the State Bar, as spelled out in Rule 32, do not require the State Bar to heed the political or ideological dispositions of our members or to speak as a voice for our members. Instead, the State Bar’s functions are performed under the guiding centerpiece of protection of the public, in conformity with Rule 32.</w:t>
      </w:r>
    </w:p>
    <w:p w14:paraId="28ADB4D3" w14:textId="4AF4A637" w:rsidR="00B2069C" w:rsidRDefault="00B2069C" w:rsidP="000C77BA">
      <w:pPr>
        <w:pStyle w:val="Body"/>
        <w:widowControl w:val="0"/>
        <w:numPr>
          <w:ilvl w:val="0"/>
          <w:numId w:val="17"/>
        </w:numPr>
        <w:spacing w:line="240" w:lineRule="auto"/>
        <w:jc w:val="both"/>
        <w:rPr>
          <w:b/>
          <w:sz w:val="28"/>
          <w:szCs w:val="28"/>
        </w:rPr>
      </w:pPr>
      <w:r>
        <w:rPr>
          <w:b/>
          <w:sz w:val="28"/>
          <w:szCs w:val="28"/>
        </w:rPr>
        <w:t>The State Bar</w:t>
      </w:r>
      <w:r w:rsidR="001C69D5">
        <w:rPr>
          <w:b/>
          <w:sz w:val="28"/>
          <w:szCs w:val="28"/>
        </w:rPr>
        <w:t xml:space="preserve"> C</w:t>
      </w:r>
      <w:r>
        <w:rPr>
          <w:b/>
          <w:sz w:val="28"/>
          <w:szCs w:val="28"/>
        </w:rPr>
        <w:t xml:space="preserve">arries </w:t>
      </w:r>
      <w:r w:rsidR="001C69D5">
        <w:rPr>
          <w:b/>
          <w:sz w:val="28"/>
          <w:szCs w:val="28"/>
        </w:rPr>
        <w:t>O</w:t>
      </w:r>
      <w:r>
        <w:rPr>
          <w:b/>
          <w:sz w:val="28"/>
          <w:szCs w:val="28"/>
        </w:rPr>
        <w:t xml:space="preserve">ut </w:t>
      </w:r>
      <w:r w:rsidR="001C69D5">
        <w:rPr>
          <w:b/>
          <w:sz w:val="28"/>
          <w:szCs w:val="28"/>
        </w:rPr>
        <w:t>I</w:t>
      </w:r>
      <w:r>
        <w:rPr>
          <w:b/>
          <w:sz w:val="28"/>
          <w:szCs w:val="28"/>
        </w:rPr>
        <w:t xml:space="preserve">ts </w:t>
      </w:r>
      <w:r w:rsidR="001C69D5">
        <w:rPr>
          <w:b/>
          <w:sz w:val="28"/>
          <w:szCs w:val="28"/>
        </w:rPr>
        <w:t>M</w:t>
      </w:r>
      <w:r>
        <w:rPr>
          <w:b/>
          <w:sz w:val="28"/>
          <w:szCs w:val="28"/>
        </w:rPr>
        <w:t xml:space="preserve">ission and </w:t>
      </w:r>
      <w:r w:rsidR="001C69D5">
        <w:rPr>
          <w:b/>
          <w:sz w:val="28"/>
          <w:szCs w:val="28"/>
        </w:rPr>
        <w:t>A</w:t>
      </w:r>
      <w:r>
        <w:rPr>
          <w:b/>
          <w:sz w:val="28"/>
          <w:szCs w:val="28"/>
        </w:rPr>
        <w:t xml:space="preserve">ctivities in </w:t>
      </w:r>
      <w:r w:rsidR="001C69D5">
        <w:rPr>
          <w:b/>
          <w:sz w:val="28"/>
          <w:szCs w:val="28"/>
        </w:rPr>
        <w:t>C</w:t>
      </w:r>
      <w:r>
        <w:rPr>
          <w:b/>
          <w:sz w:val="28"/>
          <w:szCs w:val="28"/>
        </w:rPr>
        <w:t xml:space="preserve">onformity </w:t>
      </w:r>
      <w:r w:rsidR="001A3D47">
        <w:rPr>
          <w:b/>
          <w:sz w:val="28"/>
          <w:szCs w:val="28"/>
        </w:rPr>
        <w:t>with</w:t>
      </w:r>
      <w:r>
        <w:rPr>
          <w:b/>
          <w:sz w:val="28"/>
          <w:szCs w:val="28"/>
        </w:rPr>
        <w:t xml:space="preserve"> </w:t>
      </w:r>
      <w:r>
        <w:rPr>
          <w:b/>
          <w:i/>
          <w:sz w:val="28"/>
          <w:szCs w:val="28"/>
        </w:rPr>
        <w:t>Keller</w:t>
      </w:r>
      <w:r>
        <w:rPr>
          <w:b/>
          <w:sz w:val="28"/>
          <w:szCs w:val="28"/>
        </w:rPr>
        <w:t xml:space="preserve">, </w:t>
      </w:r>
      <w:r w:rsidR="001C69D5">
        <w:rPr>
          <w:b/>
          <w:sz w:val="28"/>
          <w:szCs w:val="28"/>
        </w:rPr>
        <w:t>W</w:t>
      </w:r>
      <w:r>
        <w:rPr>
          <w:b/>
          <w:sz w:val="28"/>
          <w:szCs w:val="28"/>
        </w:rPr>
        <w:t xml:space="preserve">ith a </w:t>
      </w:r>
      <w:r w:rsidR="001C69D5">
        <w:rPr>
          <w:b/>
          <w:sz w:val="28"/>
          <w:szCs w:val="28"/>
        </w:rPr>
        <w:t>F</w:t>
      </w:r>
      <w:r>
        <w:rPr>
          <w:b/>
          <w:sz w:val="28"/>
          <w:szCs w:val="28"/>
        </w:rPr>
        <w:t>ocus on</w:t>
      </w:r>
      <w:r w:rsidR="001C69D5">
        <w:rPr>
          <w:b/>
          <w:sz w:val="28"/>
          <w:szCs w:val="28"/>
        </w:rPr>
        <w:t xml:space="preserve"> P</w:t>
      </w:r>
      <w:r>
        <w:rPr>
          <w:b/>
          <w:sz w:val="28"/>
          <w:szCs w:val="28"/>
        </w:rPr>
        <w:t xml:space="preserve">rotection of the </w:t>
      </w:r>
      <w:r w:rsidR="001C69D5">
        <w:rPr>
          <w:b/>
          <w:sz w:val="28"/>
          <w:szCs w:val="28"/>
        </w:rPr>
        <w:t>P</w:t>
      </w:r>
      <w:r>
        <w:rPr>
          <w:b/>
          <w:sz w:val="28"/>
          <w:szCs w:val="28"/>
        </w:rPr>
        <w:t xml:space="preserve">ublic. </w:t>
      </w:r>
    </w:p>
    <w:p w14:paraId="498A13E7" w14:textId="77777777" w:rsidR="000C77BA" w:rsidRPr="000C77BA" w:rsidRDefault="000C77BA" w:rsidP="000C77BA">
      <w:pPr>
        <w:pStyle w:val="Body"/>
        <w:widowControl w:val="0"/>
        <w:spacing w:line="240" w:lineRule="auto"/>
        <w:ind w:left="1080" w:firstLine="0"/>
        <w:jc w:val="both"/>
        <w:rPr>
          <w:b/>
          <w:sz w:val="28"/>
          <w:szCs w:val="28"/>
        </w:rPr>
      </w:pPr>
    </w:p>
    <w:p w14:paraId="09693D15" w14:textId="2D503CA3" w:rsidR="00B2069C" w:rsidRDefault="00B2069C" w:rsidP="00354E2A">
      <w:pPr>
        <w:pStyle w:val="Body"/>
        <w:widowControl w:val="0"/>
        <w:spacing w:line="480" w:lineRule="auto"/>
        <w:ind w:firstLine="720"/>
        <w:jc w:val="both"/>
        <w:rPr>
          <w:sz w:val="28"/>
          <w:szCs w:val="28"/>
        </w:rPr>
      </w:pPr>
      <w:r>
        <w:rPr>
          <w:sz w:val="28"/>
          <w:szCs w:val="28"/>
        </w:rPr>
        <w:t>The State Bar follows a “</w:t>
      </w:r>
      <w:r w:rsidRPr="00E36428">
        <w:rPr>
          <w:i/>
          <w:sz w:val="28"/>
          <w:szCs w:val="28"/>
        </w:rPr>
        <w:t>Keller</w:t>
      </w:r>
      <w:r>
        <w:rPr>
          <w:sz w:val="28"/>
          <w:szCs w:val="28"/>
        </w:rPr>
        <w:t xml:space="preserve">-pure” policy and does not use membership fees to fund activities of a political or ideological nature that are not reasonably related to the legal profession or improving the quality of legal services. This mandate is explicitly set forth in Rule 32(c)(9). Even though the State Bar uses annual fees only for </w:t>
      </w:r>
      <w:r w:rsidRPr="002F2369">
        <w:rPr>
          <w:i/>
          <w:sz w:val="28"/>
          <w:szCs w:val="28"/>
        </w:rPr>
        <w:t>Keller</w:t>
      </w:r>
      <w:r>
        <w:rPr>
          <w:sz w:val="28"/>
          <w:szCs w:val="28"/>
        </w:rPr>
        <w:t xml:space="preserve">-pure lobbying activities, under Rule 32, a member may still object to and receive a refund of the annual fee allocable to those activities. </w:t>
      </w:r>
      <w:r w:rsidRPr="002F2369">
        <w:rPr>
          <w:i/>
          <w:sz w:val="28"/>
          <w:szCs w:val="28"/>
        </w:rPr>
        <w:t>See</w:t>
      </w:r>
      <w:r>
        <w:rPr>
          <w:sz w:val="28"/>
          <w:szCs w:val="28"/>
        </w:rPr>
        <w:t xml:space="preserve"> Rule 32(c)(9).</w:t>
      </w:r>
    </w:p>
    <w:p w14:paraId="7A33160C" w14:textId="321835D7" w:rsidR="00287F0B" w:rsidRPr="00354E2A" w:rsidRDefault="00287F0B" w:rsidP="00354E2A">
      <w:pPr>
        <w:pStyle w:val="Body"/>
        <w:widowControl w:val="0"/>
        <w:spacing w:line="480" w:lineRule="auto"/>
        <w:ind w:firstLine="720"/>
        <w:jc w:val="both"/>
        <w:rPr>
          <w:sz w:val="28"/>
          <w:szCs w:val="28"/>
        </w:rPr>
      </w:pPr>
      <w:r>
        <w:rPr>
          <w:sz w:val="28"/>
          <w:szCs w:val="28"/>
        </w:rPr>
        <w:t xml:space="preserve">If the Court wishes to further restrict the State Bar’s lobbying activities beyond what it has instructed in Rule 32, the Court has the authority to do so without having to </w:t>
      </w:r>
      <w:r w:rsidR="007E2440">
        <w:rPr>
          <w:sz w:val="28"/>
          <w:szCs w:val="28"/>
        </w:rPr>
        <w:t xml:space="preserve">institute </w:t>
      </w:r>
      <w:r>
        <w:rPr>
          <w:sz w:val="28"/>
          <w:szCs w:val="28"/>
        </w:rPr>
        <w:t>the amendments proposed in the Petition.</w:t>
      </w:r>
    </w:p>
    <w:p w14:paraId="16C5D242" w14:textId="0C3EEED1" w:rsidR="00341114" w:rsidRDefault="00B76323" w:rsidP="009C33E3">
      <w:pPr>
        <w:pStyle w:val="Body"/>
        <w:widowControl w:val="0"/>
        <w:numPr>
          <w:ilvl w:val="0"/>
          <w:numId w:val="17"/>
        </w:numPr>
        <w:spacing w:line="240" w:lineRule="auto"/>
        <w:jc w:val="both"/>
        <w:rPr>
          <w:b/>
          <w:bCs/>
          <w:sz w:val="28"/>
          <w:szCs w:val="28"/>
        </w:rPr>
      </w:pPr>
      <w:r>
        <w:rPr>
          <w:b/>
          <w:bCs/>
          <w:sz w:val="28"/>
          <w:szCs w:val="28"/>
        </w:rPr>
        <w:lastRenderedPageBreak/>
        <w:t xml:space="preserve">The Petition </w:t>
      </w:r>
      <w:r w:rsidR="000F3CBD">
        <w:rPr>
          <w:b/>
          <w:bCs/>
          <w:sz w:val="28"/>
          <w:szCs w:val="28"/>
        </w:rPr>
        <w:t>Discounts</w:t>
      </w:r>
      <w:r>
        <w:rPr>
          <w:b/>
          <w:bCs/>
          <w:sz w:val="28"/>
          <w:szCs w:val="28"/>
        </w:rPr>
        <w:t xml:space="preserve"> the Important Role and Activities the State Bar Engages in to Support the Court and Protect the Public. </w:t>
      </w:r>
    </w:p>
    <w:p w14:paraId="6D1F9357" w14:textId="77777777" w:rsidR="00287F0B" w:rsidRDefault="00287F0B" w:rsidP="00287F0B">
      <w:pPr>
        <w:pStyle w:val="Body"/>
        <w:widowControl w:val="0"/>
        <w:spacing w:line="240" w:lineRule="auto"/>
        <w:ind w:left="1080" w:firstLine="0"/>
        <w:jc w:val="both"/>
        <w:rPr>
          <w:b/>
          <w:bCs/>
          <w:sz w:val="28"/>
          <w:szCs w:val="28"/>
        </w:rPr>
      </w:pPr>
    </w:p>
    <w:p w14:paraId="16CF8798" w14:textId="3540BD83" w:rsidR="00B76323" w:rsidRPr="00B76323" w:rsidRDefault="00B76323" w:rsidP="00B76323">
      <w:pPr>
        <w:pStyle w:val="Body"/>
        <w:widowControl w:val="0"/>
        <w:spacing w:line="480" w:lineRule="auto"/>
        <w:ind w:firstLine="720"/>
        <w:jc w:val="both"/>
        <w:rPr>
          <w:sz w:val="28"/>
          <w:szCs w:val="28"/>
        </w:rPr>
      </w:pPr>
      <w:r>
        <w:rPr>
          <w:sz w:val="28"/>
          <w:szCs w:val="28"/>
        </w:rPr>
        <w:t xml:space="preserve">The Petition dedicates pages 14-17 to set forth a list of activities that Petitioners assert are non-germane, in addition to lobbying. First, the State Bar engages </w:t>
      </w:r>
      <w:r w:rsidR="007E2440">
        <w:rPr>
          <w:sz w:val="28"/>
          <w:szCs w:val="28"/>
        </w:rPr>
        <w:t xml:space="preserve">in </w:t>
      </w:r>
      <w:r>
        <w:rPr>
          <w:sz w:val="28"/>
          <w:szCs w:val="28"/>
        </w:rPr>
        <w:t>very little lobbying</w:t>
      </w:r>
      <w:r w:rsidR="00DA78E9">
        <w:rPr>
          <w:sz w:val="28"/>
          <w:szCs w:val="28"/>
        </w:rPr>
        <w:t>,</w:t>
      </w:r>
      <w:r w:rsidR="009C33E3">
        <w:rPr>
          <w:sz w:val="28"/>
          <w:szCs w:val="28"/>
        </w:rPr>
        <w:t xml:space="preserve"> </w:t>
      </w:r>
      <w:r w:rsidR="00CF16E7">
        <w:rPr>
          <w:sz w:val="28"/>
          <w:szCs w:val="28"/>
        </w:rPr>
        <w:t xml:space="preserve">primarily </w:t>
      </w:r>
      <w:r>
        <w:rPr>
          <w:sz w:val="28"/>
          <w:szCs w:val="28"/>
        </w:rPr>
        <w:t xml:space="preserve">lobbying against bills brought in the legislature to deunify the State Bar. A position on whether a state should have an integrated bar or not is clearly </w:t>
      </w:r>
      <w:r w:rsidR="000F3CBD">
        <w:rPr>
          <w:sz w:val="28"/>
          <w:szCs w:val="28"/>
        </w:rPr>
        <w:t>intertwined with</w:t>
      </w:r>
      <w:r>
        <w:rPr>
          <w:sz w:val="28"/>
          <w:szCs w:val="28"/>
        </w:rPr>
        <w:t xml:space="preserve"> lawyer regulation and the practice of law</w:t>
      </w:r>
      <w:r w:rsidR="000F3CBD">
        <w:rPr>
          <w:sz w:val="28"/>
          <w:szCs w:val="28"/>
        </w:rPr>
        <w:t>.</w:t>
      </w:r>
      <w:r w:rsidR="008C32DC">
        <w:rPr>
          <w:sz w:val="28"/>
          <w:szCs w:val="28"/>
        </w:rPr>
        <w:t xml:space="preserve"> </w:t>
      </w:r>
      <w:r>
        <w:rPr>
          <w:sz w:val="28"/>
          <w:szCs w:val="28"/>
        </w:rPr>
        <w:t xml:space="preserve">This is </w:t>
      </w:r>
      <w:r w:rsidRPr="000B22CB">
        <w:rPr>
          <w:i/>
          <w:iCs/>
          <w:sz w:val="28"/>
          <w:szCs w:val="28"/>
        </w:rPr>
        <w:t>Keller</w:t>
      </w:r>
      <w:r>
        <w:rPr>
          <w:sz w:val="28"/>
          <w:szCs w:val="28"/>
        </w:rPr>
        <w:t xml:space="preserve"> permissible lobbying activity. Furthermore, if the Court </w:t>
      </w:r>
      <w:r w:rsidR="000B22CB">
        <w:rPr>
          <w:sz w:val="28"/>
          <w:szCs w:val="28"/>
        </w:rPr>
        <w:t xml:space="preserve">wishes to set further restrictions on what the Court believes to be permissible lobbying beyond what is held in </w:t>
      </w:r>
      <w:r w:rsidR="000B22CB" w:rsidRPr="000B22CB">
        <w:rPr>
          <w:i/>
          <w:iCs/>
          <w:sz w:val="28"/>
          <w:szCs w:val="28"/>
        </w:rPr>
        <w:t>Keller,</w:t>
      </w:r>
      <w:r w:rsidR="000B22CB">
        <w:rPr>
          <w:sz w:val="28"/>
          <w:szCs w:val="28"/>
        </w:rPr>
        <w:t xml:space="preserve"> the Court can certainly do so and </w:t>
      </w:r>
      <w:r w:rsidR="00DA78E9">
        <w:rPr>
          <w:sz w:val="28"/>
          <w:szCs w:val="28"/>
        </w:rPr>
        <w:t>modify</w:t>
      </w:r>
      <w:r w:rsidR="000B22CB">
        <w:rPr>
          <w:sz w:val="28"/>
          <w:szCs w:val="28"/>
        </w:rPr>
        <w:t xml:space="preserve"> that mandate to the State Bar without reducing funding to other essential programs and activities described in this comment. </w:t>
      </w:r>
    </w:p>
    <w:p w14:paraId="1131B6B5" w14:textId="3FB5D69B" w:rsidR="00F30CB2" w:rsidRPr="006F63FD" w:rsidRDefault="009C33E3" w:rsidP="00B76323">
      <w:pPr>
        <w:pStyle w:val="Body"/>
        <w:widowControl w:val="0"/>
        <w:spacing w:line="480" w:lineRule="auto"/>
        <w:ind w:firstLine="0"/>
        <w:jc w:val="both"/>
        <w:rPr>
          <w:rStyle w:val="BodyTextChar"/>
          <w:sz w:val="28"/>
          <w:szCs w:val="28"/>
        </w:rPr>
      </w:pPr>
      <w:r>
        <w:rPr>
          <w:rStyle w:val="BodyTextChar"/>
          <w:sz w:val="28"/>
          <w:szCs w:val="28"/>
        </w:rPr>
        <w:tab/>
      </w:r>
      <w:r w:rsidR="002A3853">
        <w:rPr>
          <w:rStyle w:val="BodyTextChar"/>
          <w:sz w:val="28"/>
          <w:szCs w:val="28"/>
        </w:rPr>
        <w:t xml:space="preserve">When taking a broader look at </w:t>
      </w:r>
      <w:r w:rsidR="007E2440">
        <w:rPr>
          <w:rStyle w:val="BodyTextChar"/>
          <w:sz w:val="28"/>
          <w:szCs w:val="28"/>
        </w:rPr>
        <w:t xml:space="preserve">the </w:t>
      </w:r>
      <w:r w:rsidR="002A3853">
        <w:rPr>
          <w:rStyle w:val="BodyTextChar"/>
          <w:sz w:val="28"/>
          <w:szCs w:val="28"/>
        </w:rPr>
        <w:t xml:space="preserve">important role that the State Bar serves in this state and the important information it communicates to our members, </w:t>
      </w:r>
      <w:r w:rsidR="00DA78E9">
        <w:rPr>
          <w:rStyle w:val="BodyTextChar"/>
          <w:sz w:val="28"/>
          <w:szCs w:val="28"/>
        </w:rPr>
        <w:t xml:space="preserve">the Petitioners’ </w:t>
      </w:r>
      <w:r w:rsidR="00770082">
        <w:rPr>
          <w:rStyle w:val="BodyTextChar"/>
          <w:sz w:val="28"/>
          <w:szCs w:val="28"/>
        </w:rPr>
        <w:t>focus on</w:t>
      </w:r>
      <w:r w:rsidR="002A3853">
        <w:rPr>
          <w:rStyle w:val="BodyTextChar"/>
          <w:sz w:val="28"/>
          <w:szCs w:val="28"/>
        </w:rPr>
        <w:t xml:space="preserve"> social media posts or</w:t>
      </w:r>
      <w:r w:rsidR="00DA78E9">
        <w:rPr>
          <w:rStyle w:val="BodyTextChar"/>
          <w:sz w:val="28"/>
          <w:szCs w:val="28"/>
        </w:rPr>
        <w:t xml:space="preserve"> magazine articles </w:t>
      </w:r>
      <w:r w:rsidR="00770082">
        <w:rPr>
          <w:rStyle w:val="BodyTextChar"/>
          <w:sz w:val="28"/>
          <w:szCs w:val="28"/>
        </w:rPr>
        <w:t>minimize</w:t>
      </w:r>
      <w:r w:rsidR="002572CC">
        <w:rPr>
          <w:rStyle w:val="BodyTextChar"/>
          <w:sz w:val="28"/>
          <w:szCs w:val="28"/>
        </w:rPr>
        <w:t>s</w:t>
      </w:r>
      <w:r w:rsidR="002A3853">
        <w:rPr>
          <w:rStyle w:val="BodyTextChar"/>
          <w:sz w:val="28"/>
          <w:szCs w:val="28"/>
        </w:rPr>
        <w:t xml:space="preserve"> what Petitioners are asking the Court to d</w:t>
      </w:r>
      <w:r w:rsidR="00DA78E9">
        <w:rPr>
          <w:rStyle w:val="BodyTextChar"/>
          <w:sz w:val="28"/>
          <w:szCs w:val="28"/>
        </w:rPr>
        <w:t xml:space="preserve">o, which is to </w:t>
      </w:r>
      <w:r w:rsidR="002A3853">
        <w:rPr>
          <w:rStyle w:val="BodyTextChar"/>
          <w:sz w:val="28"/>
          <w:szCs w:val="28"/>
        </w:rPr>
        <w:t xml:space="preserve">defund all the </w:t>
      </w:r>
      <w:r w:rsidR="00726C30">
        <w:rPr>
          <w:rStyle w:val="BodyTextChar"/>
          <w:sz w:val="28"/>
          <w:szCs w:val="28"/>
        </w:rPr>
        <w:t xml:space="preserve">important </w:t>
      </w:r>
      <w:r w:rsidR="00D64F8C">
        <w:rPr>
          <w:rStyle w:val="BodyTextChar"/>
          <w:sz w:val="28"/>
          <w:szCs w:val="28"/>
        </w:rPr>
        <w:t xml:space="preserve">programs and services the State Bar provides, except lawyer regulation. </w:t>
      </w:r>
      <w:r w:rsidR="007E297B">
        <w:rPr>
          <w:rStyle w:val="BodyTextChar"/>
          <w:sz w:val="28"/>
          <w:szCs w:val="28"/>
        </w:rPr>
        <w:t xml:space="preserve">The State Bar believes that it operates as a </w:t>
      </w:r>
      <w:r w:rsidR="007E297B" w:rsidRPr="007E297B">
        <w:rPr>
          <w:rStyle w:val="BodyTextChar"/>
          <w:i/>
          <w:iCs/>
          <w:sz w:val="28"/>
          <w:szCs w:val="28"/>
        </w:rPr>
        <w:t>Keller</w:t>
      </w:r>
      <w:r w:rsidR="007E297B">
        <w:rPr>
          <w:rStyle w:val="BodyTextChar"/>
          <w:sz w:val="28"/>
          <w:szCs w:val="28"/>
        </w:rPr>
        <w:t xml:space="preserve">-pure organization—however, the Court in </w:t>
      </w:r>
      <w:r w:rsidR="007E297B" w:rsidRPr="007E297B">
        <w:rPr>
          <w:rStyle w:val="BodyTextChar"/>
          <w:i/>
          <w:iCs/>
          <w:sz w:val="28"/>
          <w:szCs w:val="28"/>
        </w:rPr>
        <w:t>Keller</w:t>
      </w:r>
      <w:r w:rsidR="007E297B">
        <w:rPr>
          <w:rStyle w:val="BodyTextChar"/>
          <w:sz w:val="28"/>
          <w:szCs w:val="28"/>
        </w:rPr>
        <w:t xml:space="preserve"> acknowledge</w:t>
      </w:r>
      <w:r w:rsidR="00713764">
        <w:rPr>
          <w:rStyle w:val="BodyTextChar"/>
          <w:sz w:val="28"/>
          <w:szCs w:val="28"/>
        </w:rPr>
        <w:t>d</w:t>
      </w:r>
      <w:r w:rsidR="007E297B">
        <w:rPr>
          <w:rStyle w:val="BodyTextChar"/>
          <w:sz w:val="28"/>
          <w:szCs w:val="28"/>
        </w:rPr>
        <w:t xml:space="preserve"> that it set somewhat of an amorphous standard with respect to permissible and impermissible dues-financed activities. </w:t>
      </w:r>
      <w:r w:rsidR="007E297B" w:rsidRPr="007E297B">
        <w:rPr>
          <w:rStyle w:val="BodyTextChar"/>
          <w:i/>
          <w:iCs/>
          <w:sz w:val="28"/>
          <w:szCs w:val="28"/>
        </w:rPr>
        <w:t>Keller</w:t>
      </w:r>
      <w:r w:rsidR="007E297B">
        <w:rPr>
          <w:rStyle w:val="BodyTextChar"/>
          <w:sz w:val="28"/>
          <w:szCs w:val="28"/>
        </w:rPr>
        <w:t xml:space="preserve"> </w:t>
      </w:r>
      <w:r w:rsidR="00713764">
        <w:rPr>
          <w:rStyle w:val="BodyTextChar"/>
          <w:sz w:val="28"/>
          <w:szCs w:val="28"/>
        </w:rPr>
        <w:t>469 U.S. at 3</w:t>
      </w:r>
      <w:r w:rsidR="007E297B">
        <w:rPr>
          <w:rStyle w:val="BodyTextChar"/>
          <w:sz w:val="28"/>
          <w:szCs w:val="28"/>
        </w:rPr>
        <w:t xml:space="preserve">. </w:t>
      </w:r>
      <w:r w:rsidR="007E297B">
        <w:rPr>
          <w:rStyle w:val="BodyTextChar"/>
          <w:sz w:val="28"/>
          <w:szCs w:val="28"/>
        </w:rPr>
        <w:lastRenderedPageBreak/>
        <w:t xml:space="preserve">Recognizing that this Court may have its own ideas of what activities should </w:t>
      </w:r>
      <w:r w:rsidR="00713764">
        <w:rPr>
          <w:rStyle w:val="BodyTextChar"/>
          <w:sz w:val="28"/>
          <w:szCs w:val="28"/>
        </w:rPr>
        <w:t>deemed</w:t>
      </w:r>
      <w:r w:rsidR="007E297B">
        <w:rPr>
          <w:rStyle w:val="BodyTextChar"/>
          <w:sz w:val="28"/>
          <w:szCs w:val="28"/>
        </w:rPr>
        <w:t xml:space="preserve"> permissible or impermissibl</w:t>
      </w:r>
      <w:r w:rsidR="00713764">
        <w:rPr>
          <w:rStyle w:val="BodyTextChar"/>
          <w:sz w:val="28"/>
          <w:szCs w:val="28"/>
        </w:rPr>
        <w:t>e</w:t>
      </w:r>
      <w:r w:rsidR="007E297B">
        <w:rPr>
          <w:rStyle w:val="BodyTextChar"/>
          <w:sz w:val="28"/>
          <w:szCs w:val="28"/>
        </w:rPr>
        <w:t xml:space="preserve">, the State Bar submits that the Court can give directives to the State Bar in that respect. </w:t>
      </w:r>
      <w:r w:rsidR="00713764">
        <w:rPr>
          <w:rStyle w:val="BodyTextChar"/>
          <w:sz w:val="28"/>
          <w:szCs w:val="28"/>
        </w:rPr>
        <w:t>To date, t</w:t>
      </w:r>
      <w:r w:rsidR="007E297B">
        <w:rPr>
          <w:rStyle w:val="BodyTextChar"/>
          <w:sz w:val="28"/>
          <w:szCs w:val="28"/>
        </w:rPr>
        <w:t>he Court ha</w:t>
      </w:r>
      <w:r w:rsidR="00713764">
        <w:rPr>
          <w:rStyle w:val="BodyTextChar"/>
          <w:sz w:val="28"/>
          <w:szCs w:val="28"/>
        </w:rPr>
        <w:t>s provided the specific mandate that</w:t>
      </w:r>
      <w:r w:rsidR="007E297B">
        <w:rPr>
          <w:rStyle w:val="BodyTextChar"/>
          <w:sz w:val="28"/>
          <w:szCs w:val="28"/>
        </w:rPr>
        <w:t xml:space="preserve"> </w:t>
      </w:r>
      <w:r w:rsidR="001A3D47">
        <w:rPr>
          <w:rStyle w:val="BodyTextChar"/>
          <w:sz w:val="28"/>
          <w:szCs w:val="28"/>
        </w:rPr>
        <w:t>all</w:t>
      </w:r>
      <w:r w:rsidR="00713764">
        <w:rPr>
          <w:rStyle w:val="BodyTextChar"/>
          <w:sz w:val="28"/>
          <w:szCs w:val="28"/>
        </w:rPr>
        <w:t xml:space="preserve"> </w:t>
      </w:r>
      <w:r w:rsidR="007E297B">
        <w:rPr>
          <w:rStyle w:val="BodyTextChar"/>
          <w:sz w:val="28"/>
          <w:szCs w:val="28"/>
        </w:rPr>
        <w:t xml:space="preserve">the State Bar’s lobbying </w:t>
      </w:r>
      <w:r w:rsidR="00713764">
        <w:rPr>
          <w:rStyle w:val="BodyTextChar"/>
          <w:sz w:val="28"/>
          <w:szCs w:val="28"/>
        </w:rPr>
        <w:t>must</w:t>
      </w:r>
      <w:r w:rsidR="007E297B">
        <w:rPr>
          <w:rStyle w:val="BodyTextChar"/>
          <w:sz w:val="28"/>
          <w:szCs w:val="28"/>
        </w:rPr>
        <w:t xml:space="preserve"> </w:t>
      </w:r>
      <w:proofErr w:type="gramStart"/>
      <w:r w:rsidR="007E297B">
        <w:rPr>
          <w:rStyle w:val="BodyTextChar"/>
          <w:sz w:val="28"/>
          <w:szCs w:val="28"/>
        </w:rPr>
        <w:t>be in compliance with</w:t>
      </w:r>
      <w:proofErr w:type="gramEnd"/>
      <w:r w:rsidR="007E297B">
        <w:rPr>
          <w:rStyle w:val="BodyTextChar"/>
          <w:sz w:val="28"/>
          <w:szCs w:val="28"/>
        </w:rPr>
        <w:t xml:space="preserve"> </w:t>
      </w:r>
      <w:r w:rsidR="007E297B">
        <w:rPr>
          <w:rStyle w:val="BodyTextChar"/>
          <w:i/>
          <w:iCs/>
          <w:sz w:val="28"/>
          <w:szCs w:val="28"/>
        </w:rPr>
        <w:t>Keller</w:t>
      </w:r>
      <w:r w:rsidR="007E297B">
        <w:rPr>
          <w:rStyle w:val="BodyTextChar"/>
          <w:sz w:val="28"/>
          <w:szCs w:val="28"/>
        </w:rPr>
        <w:t xml:space="preserve">. Rule 32(c)(9). </w:t>
      </w:r>
      <w:r w:rsidR="00F30CB2">
        <w:rPr>
          <w:rStyle w:val="BodyTextChar"/>
          <w:sz w:val="28"/>
          <w:szCs w:val="28"/>
        </w:rPr>
        <w:t xml:space="preserve">If this Court wishes to provide </w:t>
      </w:r>
      <w:r w:rsidR="007E297B">
        <w:rPr>
          <w:rStyle w:val="BodyTextChar"/>
          <w:sz w:val="28"/>
          <w:szCs w:val="28"/>
        </w:rPr>
        <w:t xml:space="preserve">further </w:t>
      </w:r>
      <w:r w:rsidR="00F30CB2">
        <w:rPr>
          <w:rStyle w:val="BodyTextChar"/>
          <w:sz w:val="28"/>
          <w:szCs w:val="28"/>
        </w:rPr>
        <w:t xml:space="preserve">directives to the State Bar regarding activities such as advertising, social media posts, and what awards can be given by the State Bar, the Court can certainly provide </w:t>
      </w:r>
      <w:r w:rsidR="00713764">
        <w:rPr>
          <w:rStyle w:val="BodyTextChar"/>
          <w:sz w:val="28"/>
          <w:szCs w:val="28"/>
        </w:rPr>
        <w:t>further</w:t>
      </w:r>
      <w:r w:rsidR="00F30CB2">
        <w:rPr>
          <w:rStyle w:val="BodyTextChar"/>
          <w:sz w:val="28"/>
          <w:szCs w:val="28"/>
        </w:rPr>
        <w:t xml:space="preserve"> mandate</w:t>
      </w:r>
      <w:r w:rsidR="00713764">
        <w:rPr>
          <w:rStyle w:val="BodyTextChar"/>
          <w:sz w:val="28"/>
          <w:szCs w:val="28"/>
        </w:rPr>
        <w:t>s to the State Bar</w:t>
      </w:r>
      <w:r w:rsidR="00F30CB2">
        <w:rPr>
          <w:rStyle w:val="BodyTextChar"/>
          <w:sz w:val="28"/>
          <w:szCs w:val="28"/>
        </w:rPr>
        <w:t xml:space="preserve"> short of upending the State Bar’s entire financial structure. </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5162E876" w:rsidR="000F7C13" w:rsidRPr="006F63FD" w:rsidRDefault="000C48A9" w:rsidP="00D751F6">
      <w:pPr>
        <w:pStyle w:val="Body"/>
        <w:widowControl w:val="0"/>
        <w:tabs>
          <w:tab w:val="left" w:pos="720"/>
        </w:tabs>
        <w:spacing w:line="480" w:lineRule="auto"/>
        <w:ind w:firstLine="0"/>
        <w:jc w:val="both"/>
        <w:rPr>
          <w:spacing w:val="-3"/>
          <w:sz w:val="28"/>
          <w:szCs w:val="28"/>
        </w:rPr>
      </w:pPr>
      <w:r w:rsidRPr="006F63FD">
        <w:rPr>
          <w:sz w:val="28"/>
          <w:szCs w:val="28"/>
        </w:rPr>
        <w:tab/>
      </w:r>
      <w:r w:rsidR="00B2069C" w:rsidRPr="00B2069C">
        <w:rPr>
          <w:sz w:val="28"/>
          <w:szCs w:val="28"/>
        </w:rPr>
        <w:t>The State Bar agrees with Petitioner</w:t>
      </w:r>
      <w:r w:rsidR="00B2069C">
        <w:rPr>
          <w:sz w:val="28"/>
          <w:szCs w:val="28"/>
        </w:rPr>
        <w:t>s</w:t>
      </w:r>
      <w:r w:rsidR="00B2069C" w:rsidRPr="00B2069C">
        <w:rPr>
          <w:sz w:val="28"/>
          <w:szCs w:val="28"/>
        </w:rPr>
        <w:t xml:space="preserve"> that this Court is the proper forum to decide the mission, structure, and governance of the State Bar. However, the State Bar </w:t>
      </w:r>
      <w:r w:rsidR="00B2069C">
        <w:rPr>
          <w:sz w:val="28"/>
          <w:szCs w:val="28"/>
        </w:rPr>
        <w:t>opposes the Petition in all other respects</w:t>
      </w:r>
      <w:r w:rsidR="00B2069C" w:rsidRPr="00B2069C">
        <w:rPr>
          <w:sz w:val="28"/>
          <w:szCs w:val="28"/>
        </w:rPr>
        <w:t>.  For the reasons s</w:t>
      </w:r>
      <w:r w:rsidR="00B2069C">
        <w:rPr>
          <w:sz w:val="28"/>
          <w:szCs w:val="28"/>
        </w:rPr>
        <w:t>et forth</w:t>
      </w:r>
      <w:r w:rsidR="00B2069C" w:rsidRPr="00B2069C">
        <w:rPr>
          <w:sz w:val="28"/>
          <w:szCs w:val="28"/>
        </w:rPr>
        <w:t xml:space="preserve"> in this Comment, the State Ba</w:t>
      </w:r>
      <w:r w:rsidR="00B2069C">
        <w:rPr>
          <w:sz w:val="28"/>
          <w:szCs w:val="28"/>
        </w:rPr>
        <w:t>r</w:t>
      </w:r>
      <w:r w:rsidR="00B2069C" w:rsidRPr="00B2069C">
        <w:rPr>
          <w:sz w:val="28"/>
          <w:szCs w:val="28"/>
        </w:rPr>
        <w:t xml:space="preserve"> respectfully requests that the Court deny</w:t>
      </w:r>
      <w:r w:rsidR="00B2069C">
        <w:rPr>
          <w:sz w:val="28"/>
          <w:szCs w:val="28"/>
        </w:rPr>
        <w:t xml:space="preserve"> the Petition. </w:t>
      </w:r>
    </w:p>
    <w:p w14:paraId="446B636D" w14:textId="77777777" w:rsidR="00405DAC" w:rsidRPr="006F63FD" w:rsidRDefault="00405DAC" w:rsidP="00405DAC">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66D225AF" w14:textId="77777777" w:rsidR="00405DAC" w:rsidRPr="000F7A7F" w:rsidRDefault="00405DAC" w:rsidP="00405DAC">
      <w:pPr>
        <w:pStyle w:val="Body"/>
        <w:widowControl w:val="0"/>
        <w:tabs>
          <w:tab w:val="left" w:pos="720"/>
        </w:tabs>
        <w:ind w:firstLine="0"/>
        <w:rPr>
          <w:szCs w:val="26"/>
        </w:rPr>
      </w:pPr>
    </w:p>
    <w:p w14:paraId="26FCA9A8" w14:textId="77777777" w:rsidR="00405DAC" w:rsidRPr="000F7A7F" w:rsidRDefault="00405DAC" w:rsidP="00405DAC">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6A248F4A" wp14:editId="179A03CB">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460547E8" w14:textId="77777777" w:rsidR="00405DAC" w:rsidRPr="006F63FD" w:rsidRDefault="00405DAC" w:rsidP="00405DAC">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53A459C2" w14:textId="77777777" w:rsidR="00405DAC" w:rsidRPr="006F63FD" w:rsidRDefault="00405DAC" w:rsidP="00405DAC">
      <w:pPr>
        <w:pStyle w:val="PleadingSignature"/>
        <w:keepNext w:val="0"/>
        <w:keepLines w:val="0"/>
        <w:spacing w:line="240" w:lineRule="auto"/>
        <w:ind w:left="5070"/>
        <w:rPr>
          <w:sz w:val="28"/>
          <w:szCs w:val="28"/>
        </w:rPr>
      </w:pPr>
      <w:r w:rsidRPr="006F63FD">
        <w:rPr>
          <w:sz w:val="28"/>
          <w:szCs w:val="28"/>
        </w:rPr>
        <w:t>General Counsel</w:t>
      </w:r>
    </w:p>
    <w:p w14:paraId="63145672" w14:textId="77777777" w:rsidR="00405DAC" w:rsidRPr="000F7A7F" w:rsidRDefault="00405DAC" w:rsidP="00405DAC">
      <w:pPr>
        <w:pStyle w:val="PleadingSignature"/>
        <w:keepNext w:val="0"/>
        <w:keepLines w:val="0"/>
        <w:spacing w:line="240" w:lineRule="auto"/>
        <w:ind w:left="5070"/>
        <w:rPr>
          <w:szCs w:val="26"/>
        </w:rPr>
      </w:pPr>
    </w:p>
    <w:p w14:paraId="61F276E2" w14:textId="77777777" w:rsidR="00405DAC" w:rsidRPr="00C52E56" w:rsidRDefault="00405DAC" w:rsidP="00405DAC">
      <w:pPr>
        <w:widowControl w:val="0"/>
        <w:spacing w:line="240" w:lineRule="auto"/>
        <w:ind w:right="4140"/>
        <w:rPr>
          <w:sz w:val="28"/>
          <w:szCs w:val="28"/>
        </w:rPr>
      </w:pPr>
      <w:r w:rsidRPr="00C52E56">
        <w:rPr>
          <w:sz w:val="28"/>
          <w:szCs w:val="28"/>
        </w:rPr>
        <w:t>Electronic copy filed with the</w:t>
      </w:r>
    </w:p>
    <w:p w14:paraId="2DC79C9C" w14:textId="77777777" w:rsidR="00405DAC" w:rsidRPr="00C52E56" w:rsidRDefault="00405DAC" w:rsidP="00405DAC">
      <w:pPr>
        <w:spacing w:line="240" w:lineRule="auto"/>
        <w:ind w:right="4140"/>
        <w:rPr>
          <w:sz w:val="28"/>
          <w:szCs w:val="28"/>
        </w:rPr>
      </w:pPr>
      <w:r w:rsidRPr="00C52E56">
        <w:rPr>
          <w:sz w:val="28"/>
          <w:szCs w:val="28"/>
        </w:rPr>
        <w:t xml:space="preserve">Clerk of the </w:t>
      </w:r>
      <w:r>
        <w:rPr>
          <w:sz w:val="28"/>
          <w:szCs w:val="28"/>
        </w:rPr>
        <w:t>Supreme Court of Arizona</w:t>
      </w:r>
    </w:p>
    <w:p w14:paraId="5DCFE4B6" w14:textId="77777777" w:rsidR="00405DAC" w:rsidRPr="00C52E56" w:rsidRDefault="00405DAC" w:rsidP="00405DAC">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0B86045E" w14:textId="77777777" w:rsidR="00405DAC" w:rsidRPr="00C52E56" w:rsidRDefault="00405DAC" w:rsidP="00405DAC">
      <w:pPr>
        <w:spacing w:line="240" w:lineRule="auto"/>
        <w:ind w:right="4572"/>
        <w:rPr>
          <w:sz w:val="28"/>
          <w:szCs w:val="28"/>
        </w:rPr>
      </w:pPr>
    </w:p>
    <w:p w14:paraId="4A07E8A6" w14:textId="2D366F38" w:rsidR="00052372" w:rsidRPr="00405DAC" w:rsidRDefault="00405DAC" w:rsidP="00405DAC">
      <w:pPr>
        <w:spacing w:line="240" w:lineRule="auto"/>
        <w:ind w:right="4572"/>
        <w:rPr>
          <w:sz w:val="28"/>
          <w:szCs w:val="28"/>
        </w:rPr>
      </w:pPr>
      <w:r w:rsidRPr="00C52E56">
        <w:rPr>
          <w:sz w:val="28"/>
          <w:szCs w:val="28"/>
        </w:rPr>
        <w:t xml:space="preserve">by: </w:t>
      </w:r>
      <w:r>
        <w:rPr>
          <w:sz w:val="28"/>
          <w:szCs w:val="28"/>
          <w:u w:val="single"/>
        </w:rPr>
        <w:t>PSeguin</w:t>
      </w:r>
    </w:p>
    <w:sectPr w:rsidR="00052372" w:rsidRPr="00405DAC" w:rsidSect="006F63FD">
      <w:headerReference w:type="even" r:id="rId14"/>
      <w:headerReference w:type="default" r:id="rId15"/>
      <w:footerReference w:type="even" r:id="rId16"/>
      <w:footerReference w:type="default" r:id="rId17"/>
      <w:headerReference w:type="first" r:id="rId18"/>
      <w:footerReference w:type="first" r:id="rId19"/>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0BC88" w14:textId="77777777" w:rsidR="00BE5462" w:rsidRDefault="00BE5462">
      <w:r>
        <w:separator/>
      </w:r>
    </w:p>
  </w:endnote>
  <w:endnote w:type="continuationSeparator" w:id="0">
    <w:p w14:paraId="4F4AD017" w14:textId="77777777" w:rsidR="00BE5462" w:rsidRDefault="00BE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003E" w14:textId="77777777" w:rsidR="00AD2A3D" w:rsidRDefault="00AD2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E2C5" w14:textId="77777777" w:rsidR="00BE5462" w:rsidRDefault="00BE5462">
      <w:r>
        <w:separator/>
      </w:r>
    </w:p>
  </w:footnote>
  <w:footnote w:type="continuationSeparator" w:id="0">
    <w:p w14:paraId="2C5382AE" w14:textId="77777777" w:rsidR="00BE5462" w:rsidRDefault="00BE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5E4F" w14:textId="77777777" w:rsidR="00AD2A3D" w:rsidRDefault="00AD2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6513816E" w:rsidR="007870CB" w:rsidRDefault="000C48A9">
    <w:pPr>
      <w:pStyle w:val="Header"/>
    </w:pPr>
    <w:r>
      <w:rPr>
        <w:noProof/>
      </w:rPr>
      <mc:AlternateContent>
        <mc:Choice Requires="wps">
          <w:drawing>
            <wp:anchor distT="0" distB="0" distL="114300" distR="114300" simplePos="0" relativeHeight="251657728"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E04CC" id="RightBorder"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B5217" id="LeftBorder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F4C82"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8752"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3886" w14:textId="77777777" w:rsidR="00AD2A3D" w:rsidRDefault="00AD2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BB9"/>
    <w:multiLevelType w:val="hybridMultilevel"/>
    <w:tmpl w:val="3CFAA69E"/>
    <w:lvl w:ilvl="0" w:tplc="A1DA9E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A0145"/>
    <w:multiLevelType w:val="hybridMultilevel"/>
    <w:tmpl w:val="A23658D4"/>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49488F"/>
    <w:multiLevelType w:val="hybridMultilevel"/>
    <w:tmpl w:val="2ABCF94A"/>
    <w:lvl w:ilvl="0" w:tplc="481A81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B8F259B"/>
    <w:multiLevelType w:val="hybridMultilevel"/>
    <w:tmpl w:val="43E4E84E"/>
    <w:lvl w:ilvl="0" w:tplc="91225D9E">
      <w:start w:val="1"/>
      <w:numFmt w:val="upp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F26740"/>
    <w:multiLevelType w:val="hybridMultilevel"/>
    <w:tmpl w:val="8B662D98"/>
    <w:lvl w:ilvl="0" w:tplc="ADE6DA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6656467">
    <w:abstractNumId w:val="14"/>
  </w:num>
  <w:num w:numId="2" w16cid:durableId="1154566703">
    <w:abstractNumId w:val="15"/>
  </w:num>
  <w:num w:numId="3" w16cid:durableId="1647197062">
    <w:abstractNumId w:val="1"/>
  </w:num>
  <w:num w:numId="4" w16cid:durableId="638387173">
    <w:abstractNumId w:val="6"/>
  </w:num>
  <w:num w:numId="5" w16cid:durableId="1253079668">
    <w:abstractNumId w:val="9"/>
  </w:num>
  <w:num w:numId="6" w16cid:durableId="1037390029">
    <w:abstractNumId w:val="10"/>
  </w:num>
  <w:num w:numId="7" w16cid:durableId="573585453">
    <w:abstractNumId w:val="2"/>
  </w:num>
  <w:num w:numId="8" w16cid:durableId="254411661">
    <w:abstractNumId w:val="18"/>
  </w:num>
  <w:num w:numId="9" w16cid:durableId="1559709547">
    <w:abstractNumId w:val="11"/>
  </w:num>
  <w:num w:numId="10" w16cid:durableId="103119457">
    <w:abstractNumId w:val="13"/>
  </w:num>
  <w:num w:numId="11" w16cid:durableId="963199198">
    <w:abstractNumId w:val="12"/>
  </w:num>
  <w:num w:numId="12" w16cid:durableId="862018039">
    <w:abstractNumId w:val="8"/>
  </w:num>
  <w:num w:numId="13" w16cid:durableId="352654520">
    <w:abstractNumId w:val="4"/>
  </w:num>
  <w:num w:numId="14" w16cid:durableId="306208326">
    <w:abstractNumId w:val="5"/>
  </w:num>
  <w:num w:numId="15" w16cid:durableId="587884520">
    <w:abstractNumId w:val="17"/>
  </w:num>
  <w:num w:numId="16" w16cid:durableId="1374693107">
    <w:abstractNumId w:val="3"/>
  </w:num>
  <w:num w:numId="17" w16cid:durableId="2113210064">
    <w:abstractNumId w:val="16"/>
  </w:num>
  <w:num w:numId="18" w16cid:durableId="633488289">
    <w:abstractNumId w:val="7"/>
  </w:num>
  <w:num w:numId="19" w16cid:durableId="200856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yN7EwMTMxtzQzNjdS0lEKTi0uzszPAykwrAUA5B+lQywAAAA="/>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248E4"/>
    <w:rsid w:val="00026B5C"/>
    <w:rsid w:val="000410B3"/>
    <w:rsid w:val="00043D4D"/>
    <w:rsid w:val="00052372"/>
    <w:rsid w:val="000666D1"/>
    <w:rsid w:val="00071755"/>
    <w:rsid w:val="0008003D"/>
    <w:rsid w:val="000917C0"/>
    <w:rsid w:val="000A1D6B"/>
    <w:rsid w:val="000B22CB"/>
    <w:rsid w:val="000B356F"/>
    <w:rsid w:val="000C48A9"/>
    <w:rsid w:val="000C77BA"/>
    <w:rsid w:val="000D667B"/>
    <w:rsid w:val="000E1232"/>
    <w:rsid w:val="000F3CBD"/>
    <w:rsid w:val="000F7A7F"/>
    <w:rsid w:val="000F7C13"/>
    <w:rsid w:val="0010221E"/>
    <w:rsid w:val="00126654"/>
    <w:rsid w:val="00134D43"/>
    <w:rsid w:val="00135326"/>
    <w:rsid w:val="00140034"/>
    <w:rsid w:val="0015487E"/>
    <w:rsid w:val="001A2520"/>
    <w:rsid w:val="001A358A"/>
    <w:rsid w:val="001A3D47"/>
    <w:rsid w:val="001B260F"/>
    <w:rsid w:val="001B7C1A"/>
    <w:rsid w:val="001C13F4"/>
    <w:rsid w:val="001C69D5"/>
    <w:rsid w:val="001E6FBA"/>
    <w:rsid w:val="001F591C"/>
    <w:rsid w:val="002020DD"/>
    <w:rsid w:val="00207336"/>
    <w:rsid w:val="0021314B"/>
    <w:rsid w:val="00233D54"/>
    <w:rsid w:val="002572CC"/>
    <w:rsid w:val="00264F0B"/>
    <w:rsid w:val="00270DA6"/>
    <w:rsid w:val="00274D6A"/>
    <w:rsid w:val="00287F0B"/>
    <w:rsid w:val="002A3853"/>
    <w:rsid w:val="002A4DC7"/>
    <w:rsid w:val="002D4D2D"/>
    <w:rsid w:val="00334284"/>
    <w:rsid w:val="00334B42"/>
    <w:rsid w:val="003403FF"/>
    <w:rsid w:val="00341114"/>
    <w:rsid w:val="0034222E"/>
    <w:rsid w:val="0034222F"/>
    <w:rsid w:val="00352347"/>
    <w:rsid w:val="00354E2A"/>
    <w:rsid w:val="003566D6"/>
    <w:rsid w:val="00357F4D"/>
    <w:rsid w:val="003617D1"/>
    <w:rsid w:val="00365D40"/>
    <w:rsid w:val="003763E1"/>
    <w:rsid w:val="00377199"/>
    <w:rsid w:val="0038499B"/>
    <w:rsid w:val="003A1415"/>
    <w:rsid w:val="003A28AC"/>
    <w:rsid w:val="003A3B62"/>
    <w:rsid w:val="003D4772"/>
    <w:rsid w:val="003D622D"/>
    <w:rsid w:val="003F4F00"/>
    <w:rsid w:val="003F6406"/>
    <w:rsid w:val="00405DAC"/>
    <w:rsid w:val="0040647A"/>
    <w:rsid w:val="00407E2D"/>
    <w:rsid w:val="0042411E"/>
    <w:rsid w:val="004331B2"/>
    <w:rsid w:val="00440E4C"/>
    <w:rsid w:val="00441209"/>
    <w:rsid w:val="00463734"/>
    <w:rsid w:val="00494BDF"/>
    <w:rsid w:val="004A4323"/>
    <w:rsid w:val="004C3AE3"/>
    <w:rsid w:val="004D3F0D"/>
    <w:rsid w:val="004F49CF"/>
    <w:rsid w:val="00500AEB"/>
    <w:rsid w:val="00504E1E"/>
    <w:rsid w:val="00506859"/>
    <w:rsid w:val="0052068B"/>
    <w:rsid w:val="00520F93"/>
    <w:rsid w:val="00531268"/>
    <w:rsid w:val="00537B78"/>
    <w:rsid w:val="00542E7C"/>
    <w:rsid w:val="0055039A"/>
    <w:rsid w:val="00562A4B"/>
    <w:rsid w:val="005652A5"/>
    <w:rsid w:val="00566856"/>
    <w:rsid w:val="005845AE"/>
    <w:rsid w:val="00595E68"/>
    <w:rsid w:val="005A1A83"/>
    <w:rsid w:val="005A21B0"/>
    <w:rsid w:val="005B1FFB"/>
    <w:rsid w:val="005B5161"/>
    <w:rsid w:val="005D6AD4"/>
    <w:rsid w:val="006332C0"/>
    <w:rsid w:val="006338C1"/>
    <w:rsid w:val="00633E9C"/>
    <w:rsid w:val="006340D8"/>
    <w:rsid w:val="00636F5E"/>
    <w:rsid w:val="006410D8"/>
    <w:rsid w:val="00650E98"/>
    <w:rsid w:val="00665CCF"/>
    <w:rsid w:val="006666D1"/>
    <w:rsid w:val="006721EC"/>
    <w:rsid w:val="00676312"/>
    <w:rsid w:val="006766BF"/>
    <w:rsid w:val="00677623"/>
    <w:rsid w:val="006824D9"/>
    <w:rsid w:val="00692391"/>
    <w:rsid w:val="006932BA"/>
    <w:rsid w:val="00694A31"/>
    <w:rsid w:val="0069761C"/>
    <w:rsid w:val="006B4F9A"/>
    <w:rsid w:val="006C4918"/>
    <w:rsid w:val="006E4770"/>
    <w:rsid w:val="006F63FD"/>
    <w:rsid w:val="007114A1"/>
    <w:rsid w:val="00713764"/>
    <w:rsid w:val="00723E7D"/>
    <w:rsid w:val="00726C30"/>
    <w:rsid w:val="00732169"/>
    <w:rsid w:val="00732AEF"/>
    <w:rsid w:val="00735659"/>
    <w:rsid w:val="007427C6"/>
    <w:rsid w:val="00770082"/>
    <w:rsid w:val="0077110E"/>
    <w:rsid w:val="007870CB"/>
    <w:rsid w:val="007A033C"/>
    <w:rsid w:val="007A3F0F"/>
    <w:rsid w:val="007A4F4F"/>
    <w:rsid w:val="007B2B70"/>
    <w:rsid w:val="007C47E9"/>
    <w:rsid w:val="007C65CA"/>
    <w:rsid w:val="007D4D5F"/>
    <w:rsid w:val="007D5C49"/>
    <w:rsid w:val="007D73FF"/>
    <w:rsid w:val="007E0621"/>
    <w:rsid w:val="007E2440"/>
    <w:rsid w:val="007E297B"/>
    <w:rsid w:val="007E3CCB"/>
    <w:rsid w:val="007F77FB"/>
    <w:rsid w:val="008006ED"/>
    <w:rsid w:val="0081005F"/>
    <w:rsid w:val="00817985"/>
    <w:rsid w:val="00822598"/>
    <w:rsid w:val="008237E3"/>
    <w:rsid w:val="008360A1"/>
    <w:rsid w:val="008363E5"/>
    <w:rsid w:val="00844C2F"/>
    <w:rsid w:val="008450C7"/>
    <w:rsid w:val="008460CC"/>
    <w:rsid w:val="00861563"/>
    <w:rsid w:val="00871AAA"/>
    <w:rsid w:val="00876F57"/>
    <w:rsid w:val="00891AAA"/>
    <w:rsid w:val="00894792"/>
    <w:rsid w:val="008A4EB3"/>
    <w:rsid w:val="008C32DC"/>
    <w:rsid w:val="008D6C97"/>
    <w:rsid w:val="008E1A35"/>
    <w:rsid w:val="00933EA1"/>
    <w:rsid w:val="009427EE"/>
    <w:rsid w:val="00942F7C"/>
    <w:rsid w:val="00944EA4"/>
    <w:rsid w:val="00951416"/>
    <w:rsid w:val="00954A5E"/>
    <w:rsid w:val="00960D21"/>
    <w:rsid w:val="00981D29"/>
    <w:rsid w:val="00981E11"/>
    <w:rsid w:val="0099473F"/>
    <w:rsid w:val="009C33E3"/>
    <w:rsid w:val="009F3703"/>
    <w:rsid w:val="00A01DFD"/>
    <w:rsid w:val="00A115E9"/>
    <w:rsid w:val="00A1564B"/>
    <w:rsid w:val="00A27EEB"/>
    <w:rsid w:val="00A36348"/>
    <w:rsid w:val="00A418F4"/>
    <w:rsid w:val="00A4249C"/>
    <w:rsid w:val="00A5194F"/>
    <w:rsid w:val="00A60984"/>
    <w:rsid w:val="00A732AB"/>
    <w:rsid w:val="00A8063B"/>
    <w:rsid w:val="00A80D63"/>
    <w:rsid w:val="00A871D6"/>
    <w:rsid w:val="00A93A7C"/>
    <w:rsid w:val="00AB0AA9"/>
    <w:rsid w:val="00AC4B2E"/>
    <w:rsid w:val="00AD2A3D"/>
    <w:rsid w:val="00AD3BFF"/>
    <w:rsid w:val="00AF282C"/>
    <w:rsid w:val="00AF3FF7"/>
    <w:rsid w:val="00B06A38"/>
    <w:rsid w:val="00B117F1"/>
    <w:rsid w:val="00B1491D"/>
    <w:rsid w:val="00B2069C"/>
    <w:rsid w:val="00B47B7D"/>
    <w:rsid w:val="00B673C3"/>
    <w:rsid w:val="00B67D33"/>
    <w:rsid w:val="00B76323"/>
    <w:rsid w:val="00B803FF"/>
    <w:rsid w:val="00B91A68"/>
    <w:rsid w:val="00B93F7C"/>
    <w:rsid w:val="00BA4D94"/>
    <w:rsid w:val="00BC2706"/>
    <w:rsid w:val="00BC2F3B"/>
    <w:rsid w:val="00BE5462"/>
    <w:rsid w:val="00BF5976"/>
    <w:rsid w:val="00C03E0F"/>
    <w:rsid w:val="00C07590"/>
    <w:rsid w:val="00C27531"/>
    <w:rsid w:val="00C30B2E"/>
    <w:rsid w:val="00C52E56"/>
    <w:rsid w:val="00C5407A"/>
    <w:rsid w:val="00C662B0"/>
    <w:rsid w:val="00C713F6"/>
    <w:rsid w:val="00C84FD4"/>
    <w:rsid w:val="00C958EE"/>
    <w:rsid w:val="00CA6237"/>
    <w:rsid w:val="00CC6E97"/>
    <w:rsid w:val="00CD21FB"/>
    <w:rsid w:val="00CE2AAE"/>
    <w:rsid w:val="00CF16E7"/>
    <w:rsid w:val="00D11311"/>
    <w:rsid w:val="00D37CC3"/>
    <w:rsid w:val="00D423FE"/>
    <w:rsid w:val="00D442D9"/>
    <w:rsid w:val="00D442E4"/>
    <w:rsid w:val="00D60D9B"/>
    <w:rsid w:val="00D64F8C"/>
    <w:rsid w:val="00D65EF9"/>
    <w:rsid w:val="00D751F6"/>
    <w:rsid w:val="00D80EDC"/>
    <w:rsid w:val="00D84EFF"/>
    <w:rsid w:val="00DA4EDB"/>
    <w:rsid w:val="00DA78E9"/>
    <w:rsid w:val="00DC0445"/>
    <w:rsid w:val="00DD26CD"/>
    <w:rsid w:val="00DD3791"/>
    <w:rsid w:val="00DF4F15"/>
    <w:rsid w:val="00E047D3"/>
    <w:rsid w:val="00E201CB"/>
    <w:rsid w:val="00E25C52"/>
    <w:rsid w:val="00E266B7"/>
    <w:rsid w:val="00E27BC3"/>
    <w:rsid w:val="00E321C5"/>
    <w:rsid w:val="00E41F77"/>
    <w:rsid w:val="00E42A3C"/>
    <w:rsid w:val="00E458E0"/>
    <w:rsid w:val="00E5772B"/>
    <w:rsid w:val="00E67511"/>
    <w:rsid w:val="00E81026"/>
    <w:rsid w:val="00E82D0F"/>
    <w:rsid w:val="00E950B5"/>
    <w:rsid w:val="00E96E53"/>
    <w:rsid w:val="00EA6264"/>
    <w:rsid w:val="00EF482F"/>
    <w:rsid w:val="00F05879"/>
    <w:rsid w:val="00F06F5B"/>
    <w:rsid w:val="00F20A7D"/>
    <w:rsid w:val="00F2485D"/>
    <w:rsid w:val="00F30CB2"/>
    <w:rsid w:val="00F33926"/>
    <w:rsid w:val="00F464DE"/>
    <w:rsid w:val="00F53A4D"/>
    <w:rsid w:val="00F60C61"/>
    <w:rsid w:val="00F64B52"/>
    <w:rsid w:val="00F65998"/>
    <w:rsid w:val="00F75E4A"/>
    <w:rsid w:val="00F850BE"/>
    <w:rsid w:val="00FB5291"/>
    <w:rsid w:val="00FB5E84"/>
    <w:rsid w:val="00FC661E"/>
    <w:rsid w:val="00FD2A8A"/>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UnresolvedMention">
    <w:name w:val="Unresolved Mention"/>
    <w:basedOn w:val="DefaultParagraphFont"/>
    <w:uiPriority w:val="99"/>
    <w:semiHidden/>
    <w:unhideWhenUsed/>
    <w:rsid w:val="00365D40"/>
    <w:rPr>
      <w:color w:val="605E5C"/>
      <w:shd w:val="clear" w:color="auto" w:fill="E1DFDD"/>
    </w:rPr>
  </w:style>
  <w:style w:type="character" w:styleId="CommentReference">
    <w:name w:val="annotation reference"/>
    <w:basedOn w:val="DefaultParagraphFont"/>
    <w:rsid w:val="003403FF"/>
    <w:rPr>
      <w:sz w:val="16"/>
      <w:szCs w:val="16"/>
    </w:rPr>
  </w:style>
  <w:style w:type="paragraph" w:styleId="CommentText">
    <w:name w:val="annotation text"/>
    <w:basedOn w:val="Normal"/>
    <w:link w:val="CommentTextChar"/>
    <w:rsid w:val="003403FF"/>
    <w:pPr>
      <w:spacing w:line="240" w:lineRule="auto"/>
    </w:pPr>
  </w:style>
  <w:style w:type="character" w:customStyle="1" w:styleId="CommentTextChar">
    <w:name w:val="Comment Text Char"/>
    <w:basedOn w:val="DefaultParagraphFont"/>
    <w:link w:val="CommentText"/>
    <w:rsid w:val="003403FF"/>
  </w:style>
  <w:style w:type="paragraph" w:styleId="CommentSubject">
    <w:name w:val="annotation subject"/>
    <w:basedOn w:val="CommentText"/>
    <w:next w:val="CommentText"/>
    <w:link w:val="CommentSubjectChar"/>
    <w:rsid w:val="003403FF"/>
    <w:rPr>
      <w:b/>
      <w:bCs/>
    </w:rPr>
  </w:style>
  <w:style w:type="character" w:customStyle="1" w:styleId="CommentSubjectChar">
    <w:name w:val="Comment Subject Char"/>
    <w:basedOn w:val="CommentTextChar"/>
    <w:link w:val="CommentSubject"/>
    <w:rsid w:val="003403FF"/>
    <w:rPr>
      <w:b/>
      <w:bCs/>
    </w:rPr>
  </w:style>
  <w:style w:type="paragraph" w:styleId="Revision">
    <w:name w:val="Revision"/>
    <w:hidden/>
    <w:uiPriority w:val="99"/>
    <w:semiHidden/>
    <w:rsid w:val="0038499B"/>
  </w:style>
  <w:style w:type="character" w:styleId="FollowedHyperlink">
    <w:name w:val="FollowedHyperlink"/>
    <w:basedOn w:val="DefaultParagraphFont"/>
    <w:rsid w:val="00DC04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6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Portals/74/GOV/REPORT/WebFINALMandGReport%2008312015.pdf" TargetMode="External"/><Relationship Id="rId13" Type="http://schemas.openxmlformats.org/officeDocument/2006/relationships/image" Target="media/image1.gi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zcourts.gov/Portals/0/Communications/JusticeForTheFuture.pdf?ver=2019-06-28-165330-88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courts.gov/Portals/0/Communications/JusticeForTheFuture.pdf?ver=2019-06-28-165330-88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zcourts.gov/Portals/22/admorder/Orders18/2018-67.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zcourts.gov/Portals/22/admorder/Orders16/2016-52.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942A-E7BB-4B96-B613-46288C57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75</TotalTime>
  <Pages>15</Pages>
  <Words>3478</Words>
  <Characters>19178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lisa.panahi@staff.azbar.org</cp:lastModifiedBy>
  <cp:revision>10</cp:revision>
  <cp:lastPrinted>2024-02-01T15:31:00Z</cp:lastPrinted>
  <dcterms:created xsi:type="dcterms:W3CDTF">2024-04-23T19:07:00Z</dcterms:created>
  <dcterms:modified xsi:type="dcterms:W3CDTF">2024-04-30T20:36:00Z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