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D4406" w14:textId="77777777"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KRISTIN K. MAYES </w:t>
      </w:r>
    </w:p>
    <w:p w14:paraId="1A477EA9" w14:textId="77777777" w:rsidR="002530A4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Arizona Attorney General </w:t>
      </w:r>
    </w:p>
    <w:p w14:paraId="43D2E320" w14:textId="77777777" w:rsidR="00193248" w:rsidRDefault="00193248" w:rsidP="002A6F4E">
      <w:pPr>
        <w:spacing w:line="240" w:lineRule="auto"/>
        <w:rPr>
          <w:szCs w:val="28"/>
        </w:rPr>
      </w:pPr>
      <w:r>
        <w:rPr>
          <w:szCs w:val="28"/>
        </w:rPr>
        <w:t xml:space="preserve">(Firm State Bar No. </w:t>
      </w:r>
      <w:r w:rsidRPr="005C2B37">
        <w:rPr>
          <w:kern w:val="2"/>
          <w:szCs w:val="26"/>
        </w:rPr>
        <w:t>14000</w:t>
      </w:r>
      <w:r>
        <w:rPr>
          <w:kern w:val="2"/>
          <w:szCs w:val="26"/>
        </w:rPr>
        <w:t xml:space="preserve">) </w:t>
      </w:r>
    </w:p>
    <w:p w14:paraId="0C601247" w14:textId="77777777" w:rsidR="00193248" w:rsidRDefault="00193248" w:rsidP="002A6F4E">
      <w:pPr>
        <w:spacing w:line="240" w:lineRule="auto"/>
        <w:rPr>
          <w:szCs w:val="28"/>
        </w:rPr>
      </w:pPr>
    </w:p>
    <w:p w14:paraId="5CA9E47D" w14:textId="456BB45D" w:rsidR="00193248" w:rsidRPr="00845760" w:rsidRDefault="00845760" w:rsidP="002A6F4E">
      <w:pPr>
        <w:spacing w:line="240" w:lineRule="auto"/>
        <w:rPr>
          <w:szCs w:val="28"/>
        </w:rPr>
      </w:pPr>
      <w:r w:rsidRPr="00845760">
        <w:rPr>
          <w:szCs w:val="28"/>
        </w:rPr>
        <w:t>Alice Jones</w:t>
      </w:r>
    </w:p>
    <w:p w14:paraId="7CAF802D" w14:textId="1C901498" w:rsidR="00193248" w:rsidRPr="00845760" w:rsidRDefault="00193248" w:rsidP="002A6F4E">
      <w:pPr>
        <w:spacing w:line="240" w:lineRule="auto"/>
        <w:rPr>
          <w:szCs w:val="28"/>
        </w:rPr>
      </w:pPr>
      <w:r w:rsidRPr="00845760">
        <w:rPr>
          <w:szCs w:val="28"/>
        </w:rPr>
        <w:t xml:space="preserve">State Bar No. </w:t>
      </w:r>
      <w:r w:rsidR="00845760" w:rsidRPr="00845760">
        <w:rPr>
          <w:szCs w:val="28"/>
        </w:rPr>
        <w:t>028062</w:t>
      </w:r>
    </w:p>
    <w:p w14:paraId="73D52658" w14:textId="395C4170" w:rsidR="00193248" w:rsidRPr="00845760" w:rsidRDefault="00845760" w:rsidP="002A6F4E">
      <w:pPr>
        <w:spacing w:line="240" w:lineRule="auto"/>
        <w:rPr>
          <w:szCs w:val="28"/>
        </w:rPr>
      </w:pPr>
      <w:r w:rsidRPr="00845760">
        <w:rPr>
          <w:szCs w:val="28"/>
        </w:rPr>
        <w:t>Deputy Solicitor General/Chief Counsel Criminal Appeals Section</w:t>
      </w:r>
    </w:p>
    <w:p w14:paraId="532D02AA" w14:textId="77777777" w:rsidR="002A6F4E" w:rsidRPr="00845760" w:rsidRDefault="002A6F4E" w:rsidP="002A6F4E">
      <w:pPr>
        <w:spacing w:line="240" w:lineRule="auto"/>
        <w:rPr>
          <w:szCs w:val="28"/>
        </w:rPr>
      </w:pPr>
      <w:r w:rsidRPr="00845760">
        <w:rPr>
          <w:szCs w:val="28"/>
        </w:rPr>
        <w:t xml:space="preserve">2005 </w:t>
      </w:r>
      <w:r w:rsidR="00193248" w:rsidRPr="00845760">
        <w:rPr>
          <w:szCs w:val="28"/>
        </w:rPr>
        <w:t xml:space="preserve">North Central Avenue </w:t>
      </w:r>
    </w:p>
    <w:p w14:paraId="00CC27FA" w14:textId="77777777" w:rsidR="002A6F4E" w:rsidRPr="00845760" w:rsidRDefault="002A6F4E" w:rsidP="002A6F4E">
      <w:pPr>
        <w:spacing w:line="240" w:lineRule="auto"/>
        <w:rPr>
          <w:szCs w:val="28"/>
        </w:rPr>
      </w:pPr>
      <w:r w:rsidRPr="00845760">
        <w:rPr>
          <w:szCs w:val="28"/>
        </w:rPr>
        <w:t xml:space="preserve">Phoenix, </w:t>
      </w:r>
      <w:r w:rsidR="00193248" w:rsidRPr="00845760">
        <w:rPr>
          <w:szCs w:val="28"/>
        </w:rPr>
        <w:t xml:space="preserve">Arizona 85004 </w:t>
      </w:r>
    </w:p>
    <w:p w14:paraId="33264ABB" w14:textId="22D224CA" w:rsidR="00DE29CC" w:rsidRPr="00845760" w:rsidRDefault="00193248" w:rsidP="002A6F4E">
      <w:pPr>
        <w:spacing w:line="240" w:lineRule="auto"/>
        <w:rPr>
          <w:kern w:val="2"/>
          <w:szCs w:val="26"/>
        </w:rPr>
      </w:pPr>
      <w:r w:rsidRPr="00845760">
        <w:rPr>
          <w:szCs w:val="28"/>
        </w:rPr>
        <w:t xml:space="preserve">Telephone: </w:t>
      </w:r>
      <w:r w:rsidR="00224F21">
        <w:rPr>
          <w:kern w:val="2"/>
          <w:szCs w:val="26"/>
        </w:rPr>
        <w:t xml:space="preserve">(602) </w:t>
      </w:r>
      <w:bookmarkStart w:id="0" w:name="_GoBack"/>
      <w:bookmarkEnd w:id="0"/>
      <w:r w:rsidRPr="00845760">
        <w:rPr>
          <w:kern w:val="2"/>
          <w:szCs w:val="26"/>
        </w:rPr>
        <w:t>542-</w:t>
      </w:r>
      <w:r w:rsidR="00845760" w:rsidRPr="00845760">
        <w:rPr>
          <w:kern w:val="2"/>
          <w:szCs w:val="26"/>
        </w:rPr>
        <w:t>8587</w:t>
      </w:r>
    </w:p>
    <w:p w14:paraId="5F0DC884" w14:textId="4B298025" w:rsidR="00193248" w:rsidRPr="00DE29CC" w:rsidRDefault="00845760" w:rsidP="002A6F4E">
      <w:pPr>
        <w:spacing w:line="240" w:lineRule="auto"/>
        <w:rPr>
          <w:kern w:val="2"/>
          <w:szCs w:val="26"/>
        </w:rPr>
      </w:pPr>
      <w:r w:rsidRPr="00845760">
        <w:rPr>
          <w:kern w:val="2"/>
          <w:szCs w:val="26"/>
        </w:rPr>
        <w:t>Alice.Jones</w:t>
      </w:r>
      <w:r w:rsidR="00193248" w:rsidRPr="00845760">
        <w:rPr>
          <w:kern w:val="2"/>
          <w:szCs w:val="26"/>
        </w:rPr>
        <w:t>@azag.gov</w:t>
      </w:r>
    </w:p>
    <w:p w14:paraId="2ED25A77" w14:textId="77777777" w:rsidR="002A6F4E" w:rsidRDefault="002A6F4E" w:rsidP="002A6F4E">
      <w:pPr>
        <w:spacing w:line="240" w:lineRule="auto"/>
        <w:rPr>
          <w:szCs w:val="28"/>
        </w:rPr>
      </w:pPr>
    </w:p>
    <w:p w14:paraId="56E5559B" w14:textId="77777777" w:rsidR="002A6F4E" w:rsidRPr="002A6F4E" w:rsidRDefault="002A6F4E" w:rsidP="002A6F4E">
      <w:pPr>
        <w:spacing w:line="240" w:lineRule="auto"/>
        <w:rPr>
          <w:szCs w:val="28"/>
        </w:rPr>
      </w:pPr>
    </w:p>
    <w:p w14:paraId="3711F500" w14:textId="77777777" w:rsidR="00E6265D" w:rsidRPr="002A6F4E" w:rsidRDefault="00E6265D">
      <w:pPr>
        <w:spacing w:line="200" w:lineRule="exact"/>
        <w:rPr>
          <w:szCs w:val="28"/>
        </w:rPr>
      </w:pPr>
    </w:p>
    <w:p w14:paraId="46F0C4BC" w14:textId="77777777" w:rsidR="00E6265D" w:rsidRPr="003B087D" w:rsidRDefault="00E6265D">
      <w:pPr>
        <w:spacing w:line="200" w:lineRule="exact"/>
        <w:rPr>
          <w:szCs w:val="28"/>
        </w:rPr>
      </w:pPr>
    </w:p>
    <w:p w14:paraId="1DB841EE" w14:textId="77777777" w:rsidR="002530A4" w:rsidRPr="002A6F4E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b/>
          <w:bCs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IN THE SUPREME COURT</w:t>
      </w:r>
    </w:p>
    <w:p w14:paraId="40C614F0" w14:textId="77777777" w:rsidR="00E6265D" w:rsidRPr="003B087D" w:rsidRDefault="00E6265D" w:rsidP="00E6265D">
      <w:pPr>
        <w:spacing w:line="241" w:lineRule="auto"/>
        <w:ind w:left="3403" w:right="1600" w:hanging="358"/>
        <w:jc w:val="center"/>
        <w:rPr>
          <w:rFonts w:eastAsia="Times New Roman" w:cs="Times New Roman"/>
          <w:szCs w:val="28"/>
        </w:rPr>
      </w:pPr>
      <w:r w:rsidRPr="002A6F4E">
        <w:rPr>
          <w:rFonts w:eastAsia="Times New Roman" w:cs="Times New Roman"/>
          <w:b/>
          <w:bCs/>
          <w:szCs w:val="28"/>
        </w:rPr>
        <w:t>STATE OF ARIZONA</w:t>
      </w:r>
    </w:p>
    <w:p w14:paraId="0A1E0DFD" w14:textId="77777777" w:rsidR="002530A4" w:rsidRPr="003B087D" w:rsidRDefault="002530A4">
      <w:pPr>
        <w:spacing w:before="9" w:line="130" w:lineRule="exact"/>
        <w:rPr>
          <w:szCs w:val="28"/>
        </w:rPr>
      </w:pPr>
    </w:p>
    <w:p w14:paraId="3E0B4B5F" w14:textId="77777777" w:rsidR="002530A4" w:rsidRPr="003B087D" w:rsidRDefault="002530A4">
      <w:pPr>
        <w:spacing w:line="200" w:lineRule="exact"/>
        <w:rPr>
          <w:szCs w:val="28"/>
        </w:rPr>
      </w:pPr>
    </w:p>
    <w:p w14:paraId="525758A6" w14:textId="77777777" w:rsidR="002530A4" w:rsidRPr="003B087D" w:rsidRDefault="002530A4" w:rsidP="002D1365">
      <w:pPr>
        <w:spacing w:line="200" w:lineRule="exact"/>
        <w:rPr>
          <w:szCs w:val="28"/>
        </w:rPr>
      </w:pPr>
    </w:p>
    <w:tbl>
      <w:tblPr>
        <w:tblW w:w="10440" w:type="dxa"/>
        <w:tblLayout w:type="fixed"/>
        <w:tblLook w:val="04A0" w:firstRow="1" w:lastRow="0" w:firstColumn="1" w:lastColumn="0" w:noHBand="0" w:noVBand="1"/>
      </w:tblPr>
      <w:tblGrid>
        <w:gridCol w:w="4990"/>
        <w:gridCol w:w="262"/>
        <w:gridCol w:w="5188"/>
      </w:tblGrid>
      <w:tr w:rsidR="002D1365" w:rsidRPr="003B087D" w14:paraId="77372A79" w14:textId="77777777" w:rsidTr="002A5F82">
        <w:trPr>
          <w:trHeight w:val="1539"/>
        </w:trPr>
        <w:tc>
          <w:tcPr>
            <w:tcW w:w="4990" w:type="dxa"/>
          </w:tcPr>
          <w:p w14:paraId="7BF0A9AC" w14:textId="77777777" w:rsidR="002D1365" w:rsidRPr="003B087D" w:rsidRDefault="00734A6E" w:rsidP="003B087D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In the Matter of:</w:t>
            </w:r>
          </w:p>
          <w:p w14:paraId="5AAA35BA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4EDBFF5B" w14:textId="20EDCC02" w:rsidR="002D1365" w:rsidRPr="00DF1767" w:rsidRDefault="003B087D">
            <w:pPr>
              <w:pStyle w:val="Normal10"/>
              <w:rPr>
                <w:rFonts w:ascii="Times New Roman" w:hAnsi="Times New Roman"/>
                <w:b/>
                <w:spacing w:val="-2"/>
                <w:sz w:val="28"/>
                <w:szCs w:val="28"/>
              </w:rPr>
            </w:pPr>
            <w:r w:rsidRPr="00DF1767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PETITION TO AMEND </w:t>
            </w:r>
            <w:r w:rsidR="002A5F82" w:rsidRPr="002A5F82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RULE </w:t>
            </w:r>
            <w:r w:rsidR="00845760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 xml:space="preserve">31.2(a)(2)(A) </w:t>
            </w:r>
            <w:r w:rsidR="002A5F82" w:rsidRPr="002A5F82">
              <w:rPr>
                <w:rFonts w:ascii="Times New Roman" w:hAnsi="Times New Roman"/>
                <w:b/>
                <w:spacing w:val="-2"/>
                <w:sz w:val="28"/>
                <w:szCs w:val="28"/>
              </w:rPr>
              <w:t>OF THE ARIZONA RULES OF CRIMINAL PROCEDURE</w:t>
            </w:r>
          </w:p>
          <w:p w14:paraId="68E01747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14:paraId="77E9FB19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))))))</w:t>
            </w:r>
          </w:p>
        </w:tc>
        <w:tc>
          <w:tcPr>
            <w:tcW w:w="5188" w:type="dxa"/>
          </w:tcPr>
          <w:p w14:paraId="6652D508" w14:textId="14DF5D9F" w:rsidR="002A5F82" w:rsidRPr="003B087D" w:rsidRDefault="002A5F82" w:rsidP="002A5F82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Supreme Court No. R-24-</w:t>
            </w:r>
            <w:r w:rsidRPr="002A5F82">
              <w:rPr>
                <w:rFonts w:ascii="Times New Roman" w:hAnsi="Times New Roman"/>
                <w:spacing w:val="-2"/>
                <w:sz w:val="28"/>
                <w:szCs w:val="28"/>
              </w:rPr>
              <w:t>00</w:t>
            </w:r>
            <w:r w:rsidR="00845760">
              <w:rPr>
                <w:rFonts w:ascii="Times New Roman" w:hAnsi="Times New Roman"/>
                <w:spacing w:val="-2"/>
                <w:sz w:val="28"/>
                <w:szCs w:val="28"/>
              </w:rPr>
              <w:t>07</w:t>
            </w:r>
          </w:p>
          <w:p w14:paraId="12C383ED" w14:textId="77777777" w:rsidR="002A5F82" w:rsidRDefault="002A5F82" w:rsidP="002A5F82">
            <w:pPr>
              <w:pStyle w:val="Normal1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  <w:p w14:paraId="71A8E3C7" w14:textId="7987F036" w:rsidR="002D1365" w:rsidRPr="003B087D" w:rsidRDefault="002A5F82" w:rsidP="002A5F82">
            <w:pPr>
              <w:pStyle w:val="Normal10"/>
              <w:ind w:right="75"/>
              <w:jc w:val="left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b/>
                <w:sz w:val="28"/>
                <w:szCs w:val="28"/>
              </w:rPr>
              <w:t xml:space="preserve">COMMENT </w:t>
            </w:r>
            <w:r w:rsidR="00DC1751">
              <w:rPr>
                <w:rFonts w:ascii="Times New Roman" w:hAnsi="Times New Roman"/>
                <w:b/>
                <w:sz w:val="28"/>
                <w:szCs w:val="28"/>
              </w:rPr>
              <w:t>REGARDING PETITION TO AMEND RULE 31.2(a)(2)(A) OF THE ARIZONA RULES OF CRIMINAL PROCEDURE</w:t>
            </w:r>
          </w:p>
        </w:tc>
      </w:tr>
      <w:tr w:rsidR="002D1365" w:rsidRPr="003B087D" w14:paraId="62669FD9" w14:textId="77777777" w:rsidTr="002A5F82">
        <w:trPr>
          <w:trHeight w:val="902"/>
        </w:trPr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65546D" w14:textId="77777777" w:rsidR="002D1365" w:rsidRPr="003B087D" w:rsidRDefault="002D1365" w:rsidP="003B087D">
            <w:pPr>
              <w:pStyle w:val="Normal10"/>
              <w:tabs>
                <w:tab w:val="left" w:pos="3240"/>
              </w:tabs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62" w:type="dxa"/>
            <w:hideMark/>
          </w:tcPr>
          <w:p w14:paraId="3C64A5CD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3B087D">
              <w:rPr>
                <w:rFonts w:ascii="Times New Roman" w:hAnsi="Times New Roman"/>
                <w:spacing w:val="-2"/>
                <w:sz w:val="28"/>
                <w:szCs w:val="28"/>
              </w:rPr>
              <w:t>)))</w:t>
            </w:r>
          </w:p>
        </w:tc>
        <w:tc>
          <w:tcPr>
            <w:tcW w:w="5188" w:type="dxa"/>
          </w:tcPr>
          <w:p w14:paraId="7C3978E5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43DFD7B6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14:paraId="7D6337F5" w14:textId="77777777" w:rsidR="002D1365" w:rsidRPr="003B087D" w:rsidRDefault="002D1365">
            <w:pPr>
              <w:pStyle w:val="Normal10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14:paraId="160F2CC3" w14:textId="77777777" w:rsidR="002530A4" w:rsidRPr="003B087D" w:rsidRDefault="002530A4" w:rsidP="002D1365">
      <w:pPr>
        <w:spacing w:before="6" w:line="130" w:lineRule="exact"/>
        <w:rPr>
          <w:szCs w:val="28"/>
        </w:rPr>
      </w:pPr>
    </w:p>
    <w:p w14:paraId="5F350204" w14:textId="77777777" w:rsidR="002530A4" w:rsidRPr="003B087D" w:rsidRDefault="002530A4">
      <w:pPr>
        <w:spacing w:before="6" w:line="120" w:lineRule="exact"/>
        <w:rPr>
          <w:szCs w:val="28"/>
        </w:rPr>
      </w:pPr>
    </w:p>
    <w:p w14:paraId="377975F0" w14:textId="6D594BC8" w:rsidR="00DC1751" w:rsidRPr="00DC1751" w:rsidRDefault="00DC1751" w:rsidP="00DC1751">
      <w:pPr>
        <w:ind w:firstLine="720"/>
        <w:jc w:val="both"/>
        <w:rPr>
          <w:rFonts w:cs="Times New Roman"/>
        </w:rPr>
      </w:pPr>
      <w:r w:rsidRPr="00DC1751">
        <w:rPr>
          <w:rFonts w:cs="Times New Roman"/>
        </w:rPr>
        <w:t xml:space="preserve">An amendment to Arizona Rule of Criminal Procedure 31.2(a)(2)(A) is no longer necessary.  Although the Arizona Court of Appeals’ opinion in </w:t>
      </w:r>
      <w:r w:rsidRPr="00DC1751">
        <w:rPr>
          <w:rFonts w:cs="Times New Roman"/>
          <w:i/>
          <w:iCs/>
        </w:rPr>
        <w:t>State v. Sanchez</w:t>
      </w:r>
      <w:r w:rsidRPr="00DC1751">
        <w:rPr>
          <w:rFonts w:cs="Times New Roman"/>
        </w:rPr>
        <w:t xml:space="preserve">, 256 Ariz. 273 (App. 2023), created confusion in the law by misreading the rule, this Court has remedied that confusion by its subsequent decision order in that case.  </w:t>
      </w:r>
      <w:r w:rsidRPr="00DC1751">
        <w:rPr>
          <w:rFonts w:cs="Times New Roman"/>
          <w:i/>
          <w:iCs/>
        </w:rPr>
        <w:t>See State v. Sanchez</w:t>
      </w:r>
      <w:r w:rsidRPr="00DC1751">
        <w:rPr>
          <w:rFonts w:cs="Times New Roman"/>
        </w:rPr>
        <w:t xml:space="preserve">, No. CR-23-0270-PR, 2024 WL 938080 (Ariz. March 5, 2024).  The Arizona Attorney General’s Office agrees that a separate appeal is </w:t>
      </w:r>
      <w:r w:rsidRPr="00DC1751">
        <w:rPr>
          <w:rFonts w:cs="Times New Roman"/>
        </w:rPr>
        <w:lastRenderedPageBreak/>
        <w:t xml:space="preserve">unnecessary for a pre-judgment and pre-sentence denial of a motion for new trial, and argued that point consistently in </w:t>
      </w:r>
      <w:r w:rsidRPr="00DC1751">
        <w:rPr>
          <w:rFonts w:cs="Times New Roman"/>
          <w:i/>
          <w:iCs/>
        </w:rPr>
        <w:t>Sanchez</w:t>
      </w:r>
      <w:r w:rsidRPr="00DC1751">
        <w:rPr>
          <w:rFonts w:cs="Times New Roman"/>
        </w:rPr>
        <w:t xml:space="preserve">.  As this Court’s decision clarified, the notice of appeal filed pursuant to Rule 31.2(a)(2)(A) from a judgment of conviction and imposition of sentence “logically endows the court of appeals with jurisdiction to address all pre-judgment rulings or orders necessarily affecting that judgment.”  </w:t>
      </w:r>
      <w:r w:rsidRPr="00DC1751">
        <w:rPr>
          <w:rFonts w:cs="Times New Roman"/>
          <w:i/>
          <w:iCs/>
        </w:rPr>
        <w:t>Sanchez</w:t>
      </w:r>
      <w:r w:rsidRPr="00DC1751">
        <w:rPr>
          <w:rFonts w:cs="Times New Roman"/>
        </w:rPr>
        <w:t xml:space="preserve">, 2024 WL 938080, at *1.  Accordingly, in light of this Court’s reversal in </w:t>
      </w:r>
      <w:r w:rsidRPr="00DC1751">
        <w:rPr>
          <w:rFonts w:cs="Times New Roman"/>
          <w:i/>
          <w:iCs/>
        </w:rPr>
        <w:t>Sanchez</w:t>
      </w:r>
      <w:r w:rsidRPr="00DC1751">
        <w:rPr>
          <w:rFonts w:cs="Times New Roman"/>
        </w:rPr>
        <w:t xml:space="preserve">, no further clarification appears necessary.  </w:t>
      </w:r>
    </w:p>
    <w:p w14:paraId="49AE5121" w14:textId="77777777" w:rsidR="00DC1751" w:rsidRPr="00DC1751" w:rsidRDefault="00DC1751" w:rsidP="00DC1751">
      <w:pPr>
        <w:ind w:firstLine="720"/>
        <w:jc w:val="both"/>
        <w:rPr>
          <w:rFonts w:cs="Times New Roman"/>
        </w:rPr>
      </w:pPr>
      <w:r w:rsidRPr="00DC1751">
        <w:rPr>
          <w:rFonts w:cs="Times New Roman"/>
        </w:rPr>
        <w:t xml:space="preserve">Further, amending Rule 31.2(a)(2)(A) could lead to some additional confusion because it might suggest that additional orders not previously reviewable on direct appeal are now appealable.   </w:t>
      </w:r>
      <w:r w:rsidRPr="00DC1751">
        <w:rPr>
          <w:rFonts w:cs="Times New Roman"/>
          <w:i/>
        </w:rPr>
        <w:t>See, e.g.</w:t>
      </w:r>
      <w:r w:rsidRPr="00DC1751">
        <w:rPr>
          <w:rFonts w:cs="Times New Roman"/>
        </w:rPr>
        <w:t xml:space="preserve">, </w:t>
      </w:r>
      <w:r w:rsidRPr="00DC1751">
        <w:rPr>
          <w:rFonts w:cs="Times New Roman"/>
          <w:i/>
        </w:rPr>
        <w:t>State v. Moody</w:t>
      </w:r>
      <w:r w:rsidRPr="00DC1751">
        <w:rPr>
          <w:rFonts w:cs="Times New Roman"/>
        </w:rPr>
        <w:t xml:space="preserve">, 208 Ariz. 424, 439-40, ¶ 31 (2004) (“Arizona case law is clear that, with one exception, all challenges to a grand jury’s findings of probable cause must be made by motion followed by special action before trial; they are not reviewable on appeal.”); </w:t>
      </w:r>
      <w:r w:rsidRPr="00DC1751">
        <w:rPr>
          <w:rFonts w:cs="Times New Roman"/>
          <w:i/>
        </w:rPr>
        <w:t>State v. Ingram</w:t>
      </w:r>
      <w:r w:rsidRPr="00DC1751">
        <w:rPr>
          <w:rFonts w:cs="Times New Roman"/>
        </w:rPr>
        <w:t xml:space="preserve">, 239 Ariz. 228, 230, ¶ 6 (App. 2016) (concluding challenge to court’s ruling on a notice of change of judge “is not reviewable on direct appeal”).  </w:t>
      </w:r>
    </w:p>
    <w:p w14:paraId="619DD34A" w14:textId="586FAFC3" w:rsidR="00BE5A31" w:rsidRPr="00DC1751" w:rsidRDefault="00DC1751" w:rsidP="00DC1751">
      <w:pPr>
        <w:tabs>
          <w:tab w:val="left" w:pos="820"/>
        </w:tabs>
        <w:jc w:val="both"/>
        <w:rPr>
          <w:rFonts w:eastAsia="Times New Roman" w:cs="Times New Roman"/>
          <w:spacing w:val="-1"/>
          <w:szCs w:val="28"/>
          <w:u w:color="000000"/>
        </w:rPr>
      </w:pPr>
      <w:r w:rsidRPr="00DC1751">
        <w:rPr>
          <w:rFonts w:eastAsia="Times New Roman" w:cs="Times New Roman"/>
          <w:spacing w:val="-1"/>
          <w:szCs w:val="28"/>
        </w:rPr>
        <w:tab/>
      </w:r>
      <w:r w:rsidR="003634EE" w:rsidRPr="00DC1751">
        <w:rPr>
          <w:rFonts w:eastAsia="Times New Roman" w:cs="Times New Roman"/>
          <w:spacing w:val="-1"/>
          <w:szCs w:val="28"/>
        </w:rPr>
        <w:t>R</w:t>
      </w:r>
      <w:r w:rsidR="003634EE" w:rsidRPr="00DC1751">
        <w:rPr>
          <w:rFonts w:eastAsia="Times New Roman" w:cs="Times New Roman"/>
          <w:szCs w:val="28"/>
        </w:rPr>
        <w:t>E</w:t>
      </w:r>
      <w:r w:rsidR="003634EE" w:rsidRPr="00DC1751">
        <w:rPr>
          <w:rFonts w:eastAsia="Times New Roman" w:cs="Times New Roman"/>
          <w:spacing w:val="1"/>
          <w:szCs w:val="28"/>
        </w:rPr>
        <w:t>SP</w:t>
      </w:r>
      <w:r w:rsidR="003634EE" w:rsidRPr="00DC1751">
        <w:rPr>
          <w:rFonts w:eastAsia="Times New Roman" w:cs="Times New Roman"/>
          <w:szCs w:val="28"/>
        </w:rPr>
        <w:t>ECT</w:t>
      </w:r>
      <w:r w:rsidR="003634EE" w:rsidRPr="00DC1751">
        <w:rPr>
          <w:rFonts w:eastAsia="Times New Roman" w:cs="Times New Roman"/>
          <w:spacing w:val="1"/>
          <w:szCs w:val="28"/>
        </w:rPr>
        <w:t>F</w:t>
      </w:r>
      <w:r w:rsidR="003634EE" w:rsidRPr="00DC1751">
        <w:rPr>
          <w:rFonts w:eastAsia="Times New Roman" w:cs="Times New Roman"/>
          <w:szCs w:val="28"/>
        </w:rPr>
        <w:t>U</w:t>
      </w:r>
      <w:r w:rsidR="003634EE" w:rsidRPr="00DC1751">
        <w:rPr>
          <w:rFonts w:eastAsia="Times New Roman" w:cs="Times New Roman"/>
          <w:spacing w:val="1"/>
          <w:szCs w:val="28"/>
        </w:rPr>
        <w:t>L</w:t>
      </w:r>
      <w:r w:rsidR="003634EE" w:rsidRPr="00DC1751">
        <w:rPr>
          <w:rFonts w:eastAsia="Times New Roman" w:cs="Times New Roman"/>
          <w:szCs w:val="28"/>
        </w:rPr>
        <w:t>LY</w:t>
      </w:r>
      <w:r w:rsidR="003634EE" w:rsidRPr="00DC1751">
        <w:rPr>
          <w:rFonts w:eastAsia="Times New Roman" w:cs="Times New Roman"/>
          <w:spacing w:val="-21"/>
          <w:szCs w:val="28"/>
        </w:rPr>
        <w:t xml:space="preserve"> </w:t>
      </w:r>
      <w:r w:rsidR="003634EE" w:rsidRPr="00DC1751">
        <w:rPr>
          <w:rFonts w:eastAsia="Times New Roman" w:cs="Times New Roman"/>
          <w:spacing w:val="1"/>
          <w:szCs w:val="28"/>
        </w:rPr>
        <w:t>S</w:t>
      </w:r>
      <w:r w:rsidR="003634EE" w:rsidRPr="00DC1751">
        <w:rPr>
          <w:rFonts w:eastAsia="Times New Roman" w:cs="Times New Roman"/>
          <w:szCs w:val="28"/>
        </w:rPr>
        <w:t>UBMIT</w:t>
      </w:r>
      <w:r w:rsidR="003634EE" w:rsidRPr="00DC1751">
        <w:rPr>
          <w:rFonts w:eastAsia="Times New Roman" w:cs="Times New Roman"/>
          <w:spacing w:val="1"/>
          <w:szCs w:val="28"/>
        </w:rPr>
        <w:t>T</w:t>
      </w:r>
      <w:r w:rsidR="003634EE" w:rsidRPr="00DC1751">
        <w:rPr>
          <w:rFonts w:eastAsia="Times New Roman" w:cs="Times New Roman"/>
          <w:szCs w:val="28"/>
        </w:rPr>
        <w:t>ED</w:t>
      </w:r>
      <w:r w:rsidR="003634EE" w:rsidRPr="00DC1751">
        <w:rPr>
          <w:rFonts w:eastAsia="Times New Roman" w:cs="Times New Roman"/>
          <w:spacing w:val="-16"/>
          <w:szCs w:val="28"/>
        </w:rPr>
        <w:t xml:space="preserve"> </w:t>
      </w:r>
      <w:r w:rsidR="003634EE" w:rsidRPr="00DC1751">
        <w:rPr>
          <w:rFonts w:eastAsia="Times New Roman" w:cs="Times New Roman"/>
          <w:szCs w:val="28"/>
        </w:rPr>
        <w:t>th</w:t>
      </w:r>
      <w:r w:rsidR="003634EE" w:rsidRPr="00DC1751">
        <w:rPr>
          <w:rFonts w:eastAsia="Times New Roman" w:cs="Times New Roman"/>
          <w:spacing w:val="-1"/>
          <w:szCs w:val="28"/>
        </w:rPr>
        <w:t>i</w:t>
      </w:r>
      <w:r w:rsidR="003634EE" w:rsidRPr="00DC1751">
        <w:rPr>
          <w:rFonts w:eastAsia="Times New Roman" w:cs="Times New Roman"/>
          <w:szCs w:val="28"/>
        </w:rPr>
        <w:t>s</w:t>
      </w:r>
      <w:r w:rsidR="003634EE" w:rsidRPr="00DC1751">
        <w:rPr>
          <w:rFonts w:eastAsia="Times New Roman" w:cs="Times New Roman"/>
          <w:spacing w:val="-2"/>
          <w:szCs w:val="28"/>
        </w:rPr>
        <w:t xml:space="preserve"> </w:t>
      </w:r>
      <w:r w:rsidRPr="00DC1751">
        <w:rPr>
          <w:rFonts w:eastAsia="Times New Roman" w:cs="Times New Roman"/>
          <w:szCs w:val="28"/>
          <w:u w:color="000000"/>
        </w:rPr>
        <w:t>30th</w:t>
      </w:r>
      <w:r w:rsidR="003634EE" w:rsidRPr="00DC1751">
        <w:rPr>
          <w:rFonts w:eastAsia="Times New Roman" w:cs="Times New Roman"/>
          <w:szCs w:val="28"/>
        </w:rPr>
        <w:t xml:space="preserve"> d</w:t>
      </w:r>
      <w:r w:rsidR="003634EE" w:rsidRPr="00DC1751">
        <w:rPr>
          <w:rFonts w:eastAsia="Times New Roman" w:cs="Times New Roman"/>
          <w:spacing w:val="-1"/>
          <w:szCs w:val="28"/>
        </w:rPr>
        <w:t>a</w:t>
      </w:r>
      <w:r w:rsidR="003634EE" w:rsidRPr="00DC1751">
        <w:rPr>
          <w:rFonts w:eastAsia="Times New Roman" w:cs="Times New Roman"/>
          <w:szCs w:val="28"/>
        </w:rPr>
        <w:t>y</w:t>
      </w:r>
      <w:r w:rsidR="003634EE" w:rsidRPr="00DC1751">
        <w:rPr>
          <w:rFonts w:eastAsia="Times New Roman" w:cs="Times New Roman"/>
          <w:spacing w:val="-7"/>
          <w:szCs w:val="28"/>
        </w:rPr>
        <w:t xml:space="preserve"> </w:t>
      </w:r>
      <w:r w:rsidR="003634EE" w:rsidRPr="00DC1751">
        <w:rPr>
          <w:rFonts w:eastAsia="Times New Roman" w:cs="Times New Roman"/>
          <w:szCs w:val="28"/>
        </w:rPr>
        <w:t>of</w:t>
      </w:r>
      <w:r w:rsidR="003634EE" w:rsidRPr="00DC1751">
        <w:rPr>
          <w:rFonts w:eastAsia="Times New Roman" w:cs="Times New Roman"/>
          <w:spacing w:val="-1"/>
          <w:szCs w:val="28"/>
        </w:rPr>
        <w:t xml:space="preserve"> </w:t>
      </w:r>
      <w:r w:rsidRPr="00DC1751">
        <w:rPr>
          <w:rFonts w:eastAsia="Times New Roman" w:cs="Times New Roman"/>
          <w:szCs w:val="28"/>
          <w:u w:color="000000"/>
        </w:rPr>
        <w:t>April</w:t>
      </w:r>
      <w:r w:rsidR="003634EE" w:rsidRPr="00DC1751">
        <w:rPr>
          <w:rFonts w:eastAsia="Times New Roman" w:cs="Times New Roman"/>
          <w:szCs w:val="28"/>
        </w:rPr>
        <w:t>,</w:t>
      </w:r>
      <w:r w:rsidR="003634EE" w:rsidRPr="00DC1751">
        <w:rPr>
          <w:rFonts w:eastAsia="Times New Roman" w:cs="Times New Roman"/>
          <w:spacing w:val="-1"/>
          <w:szCs w:val="28"/>
        </w:rPr>
        <w:t xml:space="preserve"> </w:t>
      </w:r>
      <w:r w:rsidR="003634EE" w:rsidRPr="00DC1751">
        <w:rPr>
          <w:rFonts w:eastAsia="Times New Roman" w:cs="Times New Roman"/>
          <w:szCs w:val="28"/>
        </w:rPr>
        <w:t>20</w:t>
      </w:r>
      <w:r w:rsidR="00BE5A31" w:rsidRPr="00DC1751">
        <w:rPr>
          <w:rFonts w:eastAsia="Times New Roman" w:cs="Times New Roman"/>
          <w:spacing w:val="-1"/>
          <w:szCs w:val="28"/>
          <w:u w:color="000000"/>
        </w:rPr>
        <w:t>24</w:t>
      </w:r>
    </w:p>
    <w:p w14:paraId="7EBFB82A" w14:textId="77777777" w:rsidR="00BE5A31" w:rsidRDefault="00BE5A31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val="single" w:color="000000"/>
        </w:rPr>
      </w:pPr>
    </w:p>
    <w:p w14:paraId="1C090DE2" w14:textId="77777777" w:rsidR="00193248" w:rsidRDefault="00193248" w:rsidP="00193248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KRISTIN K. MAYES </w:t>
      </w:r>
    </w:p>
    <w:p w14:paraId="00BD4C67" w14:textId="4FB6ACF2" w:rsidR="00193248" w:rsidRPr="00DC1751" w:rsidRDefault="00193248" w:rsidP="00DC1751">
      <w:pPr>
        <w:tabs>
          <w:tab w:val="left" w:pos="4050"/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8"/>
          <w:u w:color="000000"/>
        </w:rPr>
      </w:pPr>
      <w:r>
        <w:rPr>
          <w:rFonts w:eastAsia="Times New Roman" w:cs="Times New Roman"/>
          <w:spacing w:val="-1"/>
          <w:szCs w:val="28"/>
          <w:u w:color="000000"/>
        </w:rPr>
        <w:tab/>
        <w:t xml:space="preserve">Arizona Attorney General  </w:t>
      </w:r>
    </w:p>
    <w:p w14:paraId="7928C1F6" w14:textId="77777777" w:rsidR="00193248" w:rsidRPr="00DC1751" w:rsidRDefault="00193248" w:rsidP="00BE5A31">
      <w:pPr>
        <w:tabs>
          <w:tab w:val="left" w:pos="5660"/>
          <w:tab w:val="left" w:pos="8040"/>
          <w:tab w:val="left" w:pos="8740"/>
        </w:tabs>
        <w:spacing w:line="240" w:lineRule="auto"/>
        <w:ind w:left="820" w:right="-20"/>
        <w:rPr>
          <w:rFonts w:eastAsia="Times New Roman" w:cs="Times New Roman"/>
          <w:spacing w:val="-1"/>
          <w:szCs w:val="24"/>
          <w:u w:val="single" w:color="000000"/>
        </w:rPr>
      </w:pPr>
    </w:p>
    <w:p w14:paraId="2BA60390" w14:textId="724E38B6" w:rsidR="00BE5A31" w:rsidRPr="00DC1751" w:rsidRDefault="00895799" w:rsidP="00BE5A31">
      <w:pPr>
        <w:spacing w:before="29" w:line="240" w:lineRule="auto"/>
        <w:ind w:left="4003" w:right="4423"/>
        <w:jc w:val="center"/>
        <w:rPr>
          <w:rFonts w:eastAsia="Times New Roman" w:cs="Times New Roman"/>
          <w:szCs w:val="24"/>
        </w:rPr>
      </w:pPr>
      <w:r w:rsidRPr="00DC1751">
        <w:rPr>
          <w:rFonts w:asciiTheme="minorHAnsi" w:hAnsi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0802199" wp14:editId="7E95E922">
                <wp:simplePos x="0" y="0"/>
                <wp:positionH relativeFrom="page">
                  <wp:posOffset>3830320</wp:posOffset>
                </wp:positionH>
                <wp:positionV relativeFrom="paragraph">
                  <wp:posOffset>190500</wp:posOffset>
                </wp:positionV>
                <wp:extent cx="2972435" cy="1270"/>
                <wp:effectExtent l="10795" t="5080" r="7620" b="1270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2435" cy="1270"/>
                          <a:chOff x="6032" y="300"/>
                          <a:chExt cx="4681" cy="2"/>
                        </a:xfrm>
                      </wpg:grpSpPr>
                      <wps:wsp>
                        <wps:cNvPr id="2" name="Freeform 11"/>
                        <wps:cNvSpPr>
                          <a:spLocks/>
                        </wps:cNvSpPr>
                        <wps:spPr bwMode="auto">
                          <a:xfrm>
                            <a:off x="6032" y="300"/>
                            <a:ext cx="4681" cy="2"/>
                          </a:xfrm>
                          <a:custGeom>
                            <a:avLst/>
                            <a:gdLst>
                              <a:gd name="T0" fmla="+- 0 6032 6032"/>
                              <a:gd name="T1" fmla="*/ T0 w 4681"/>
                              <a:gd name="T2" fmla="+- 0 10713 6032"/>
                              <a:gd name="T3" fmla="*/ T2 w 46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1">
                                <a:moveTo>
                                  <a:pt x="0" y="0"/>
                                </a:moveTo>
                                <a:lnTo>
                                  <a:pt x="46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1C4D2" id="Group 10" o:spid="_x0000_s1026" style="position:absolute;margin-left:301.6pt;margin-top:15pt;width:234.05pt;height:.1pt;z-index:-251658240;mso-position-horizontal-relative:page" coordorigin="6032,300" coordsize="46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">
                <v:shape id="Freeform 11" o:spid="_x0000_s1027" style="position:absolute;left:6032;top:300;width:4681;height:2;visibility:visible;mso-wrap-style:square;v-text-anchor:top" coordsize="4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" path="m,l4681,e" filled="f" strokeweight=".48pt">
                  <v:path arrowok="t" o:connecttype="custom" o:connectlocs="0,0;4681,0" o:connectangles="0,0"/>
                </v:shape>
                <w10:wrap anchorx="page"/>
              </v:group>
            </w:pict>
          </mc:Fallback>
        </mc:AlternateContent>
      </w:r>
      <w:r w:rsidR="00BE5A31" w:rsidRPr="00DC1751">
        <w:rPr>
          <w:rFonts w:eastAsia="Times New Roman" w:cs="Times New Roman"/>
          <w:spacing w:val="-2"/>
          <w:szCs w:val="24"/>
        </w:rPr>
        <w:t>B</w:t>
      </w:r>
      <w:r w:rsidR="00BE5A31" w:rsidRPr="00DC1751">
        <w:rPr>
          <w:rFonts w:eastAsia="Times New Roman" w:cs="Times New Roman"/>
          <w:szCs w:val="24"/>
        </w:rPr>
        <w:t>y</w:t>
      </w:r>
      <w:r w:rsidR="00DC1751" w:rsidRPr="00DC1751">
        <w:rPr>
          <w:rFonts w:eastAsia="Times New Roman" w:cs="Times New Roman"/>
          <w:szCs w:val="24"/>
        </w:rPr>
        <w:t xml:space="preserve">   /s</w:t>
      </w:r>
    </w:p>
    <w:p w14:paraId="1AE380CF" w14:textId="2EC2418B" w:rsidR="00BE5A31" w:rsidRPr="00DC1751" w:rsidRDefault="00DC1751" w:rsidP="00BE5A31">
      <w:pPr>
        <w:spacing w:before="3" w:line="240" w:lineRule="auto"/>
        <w:ind w:left="4761" w:right="-20"/>
        <w:rPr>
          <w:rFonts w:eastAsia="Times New Roman" w:cs="Times New Roman"/>
          <w:spacing w:val="-1"/>
          <w:szCs w:val="24"/>
        </w:rPr>
      </w:pPr>
      <w:r w:rsidRPr="00DC1751">
        <w:rPr>
          <w:rFonts w:eastAsia="Times New Roman" w:cs="Times New Roman"/>
          <w:spacing w:val="-1"/>
          <w:szCs w:val="24"/>
        </w:rPr>
        <w:t>Alice Jones</w:t>
      </w:r>
      <w:r>
        <w:rPr>
          <w:rFonts w:eastAsia="Times New Roman" w:cs="Times New Roman"/>
          <w:spacing w:val="-1"/>
          <w:szCs w:val="24"/>
        </w:rPr>
        <w:t xml:space="preserve"> (#028062)</w:t>
      </w:r>
    </w:p>
    <w:p w14:paraId="0AEAE5D7" w14:textId="2E15A957" w:rsidR="002530A4" w:rsidRDefault="00DC1751" w:rsidP="00DC1751">
      <w:pPr>
        <w:spacing w:before="3" w:line="240" w:lineRule="auto"/>
        <w:ind w:left="4761" w:right="-20"/>
        <w:rPr>
          <w:szCs w:val="28"/>
        </w:rPr>
      </w:pPr>
      <w:r w:rsidRPr="00DC1751">
        <w:rPr>
          <w:rFonts w:eastAsia="Times New Roman" w:cs="Times New Roman"/>
          <w:szCs w:val="24"/>
        </w:rPr>
        <w:t xml:space="preserve">Deputy Solicitor General/Chief Counsel Criminal Appeals Section </w:t>
      </w:r>
    </w:p>
    <w:sectPr w:rsidR="002530A4" w:rsidSect="002A5F82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D28BF" w14:textId="77777777" w:rsidR="00F937B9" w:rsidRDefault="00F937B9" w:rsidP="00CA3D53">
      <w:pPr>
        <w:spacing w:line="240" w:lineRule="auto"/>
      </w:pPr>
      <w:r>
        <w:separator/>
      </w:r>
    </w:p>
  </w:endnote>
  <w:endnote w:type="continuationSeparator" w:id="0">
    <w:p w14:paraId="63C7D66E" w14:textId="77777777" w:rsidR="00F937B9" w:rsidRDefault="00F937B9" w:rsidP="00CA3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1396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54CE6" w14:textId="77777777" w:rsidR="001B4311" w:rsidRDefault="001B4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E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A3D738" w14:textId="77777777" w:rsidR="001B4311" w:rsidRDefault="001B4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5B28C" w14:textId="77777777" w:rsidR="00F937B9" w:rsidRDefault="00F937B9" w:rsidP="00CA3D53">
      <w:pPr>
        <w:spacing w:line="240" w:lineRule="auto"/>
      </w:pPr>
      <w:r>
        <w:separator/>
      </w:r>
    </w:p>
  </w:footnote>
  <w:footnote w:type="continuationSeparator" w:id="0">
    <w:p w14:paraId="4B5FB03E" w14:textId="77777777" w:rsidR="00F937B9" w:rsidRDefault="00F937B9" w:rsidP="00CA3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FE5"/>
    <w:multiLevelType w:val="hybridMultilevel"/>
    <w:tmpl w:val="55AE809C"/>
    <w:lvl w:ilvl="0" w:tplc="2DAA304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A4"/>
    <w:rsid w:val="000C284C"/>
    <w:rsid w:val="000D439E"/>
    <w:rsid w:val="00103845"/>
    <w:rsid w:val="00105E27"/>
    <w:rsid w:val="0010674D"/>
    <w:rsid w:val="00122C7A"/>
    <w:rsid w:val="00177881"/>
    <w:rsid w:val="00191921"/>
    <w:rsid w:val="00193248"/>
    <w:rsid w:val="0019614B"/>
    <w:rsid w:val="001A07FE"/>
    <w:rsid w:val="001A7900"/>
    <w:rsid w:val="001B4311"/>
    <w:rsid w:val="001D5FBB"/>
    <w:rsid w:val="0020314B"/>
    <w:rsid w:val="002033A7"/>
    <w:rsid w:val="00224F21"/>
    <w:rsid w:val="002443E6"/>
    <w:rsid w:val="00250247"/>
    <w:rsid w:val="002530A4"/>
    <w:rsid w:val="00256BE1"/>
    <w:rsid w:val="00257D0C"/>
    <w:rsid w:val="002927F7"/>
    <w:rsid w:val="002A454D"/>
    <w:rsid w:val="002A5F82"/>
    <w:rsid w:val="002A6F4E"/>
    <w:rsid w:val="002C2E5D"/>
    <w:rsid w:val="002C5E24"/>
    <w:rsid w:val="002D1365"/>
    <w:rsid w:val="002F2198"/>
    <w:rsid w:val="003230EF"/>
    <w:rsid w:val="00352005"/>
    <w:rsid w:val="00353415"/>
    <w:rsid w:val="003634EE"/>
    <w:rsid w:val="003740E5"/>
    <w:rsid w:val="003B087D"/>
    <w:rsid w:val="003B3B24"/>
    <w:rsid w:val="003E791B"/>
    <w:rsid w:val="00462B7C"/>
    <w:rsid w:val="004A5E0E"/>
    <w:rsid w:val="004C0969"/>
    <w:rsid w:val="004E7159"/>
    <w:rsid w:val="00532C89"/>
    <w:rsid w:val="005431A9"/>
    <w:rsid w:val="00552EE9"/>
    <w:rsid w:val="005B7F15"/>
    <w:rsid w:val="005D3038"/>
    <w:rsid w:val="006E76E1"/>
    <w:rsid w:val="006F1C47"/>
    <w:rsid w:val="00710D49"/>
    <w:rsid w:val="00734A6E"/>
    <w:rsid w:val="00740152"/>
    <w:rsid w:val="00742AE8"/>
    <w:rsid w:val="00760424"/>
    <w:rsid w:val="007809E1"/>
    <w:rsid w:val="0078405B"/>
    <w:rsid w:val="007845B4"/>
    <w:rsid w:val="00784AD7"/>
    <w:rsid w:val="00786B2F"/>
    <w:rsid w:val="008138F3"/>
    <w:rsid w:val="00845760"/>
    <w:rsid w:val="008866FC"/>
    <w:rsid w:val="00895799"/>
    <w:rsid w:val="008B3B11"/>
    <w:rsid w:val="008B5F97"/>
    <w:rsid w:val="008C30C7"/>
    <w:rsid w:val="008D071F"/>
    <w:rsid w:val="008D2354"/>
    <w:rsid w:val="008E0A24"/>
    <w:rsid w:val="008E3DF9"/>
    <w:rsid w:val="009135A9"/>
    <w:rsid w:val="0094640D"/>
    <w:rsid w:val="00954E55"/>
    <w:rsid w:val="00975B83"/>
    <w:rsid w:val="009B497E"/>
    <w:rsid w:val="009D2AFA"/>
    <w:rsid w:val="009E233A"/>
    <w:rsid w:val="009E4A22"/>
    <w:rsid w:val="00A26900"/>
    <w:rsid w:val="00A37F1B"/>
    <w:rsid w:val="00A62D00"/>
    <w:rsid w:val="00B04957"/>
    <w:rsid w:val="00B45175"/>
    <w:rsid w:val="00B642BC"/>
    <w:rsid w:val="00B9489F"/>
    <w:rsid w:val="00B97644"/>
    <w:rsid w:val="00BC0384"/>
    <w:rsid w:val="00BC5F14"/>
    <w:rsid w:val="00BE405C"/>
    <w:rsid w:val="00BE5A31"/>
    <w:rsid w:val="00BF54CF"/>
    <w:rsid w:val="00C0670D"/>
    <w:rsid w:val="00C06B29"/>
    <w:rsid w:val="00C26E06"/>
    <w:rsid w:val="00C27989"/>
    <w:rsid w:val="00CA2614"/>
    <w:rsid w:val="00CA3D53"/>
    <w:rsid w:val="00CB0A4B"/>
    <w:rsid w:val="00CC4856"/>
    <w:rsid w:val="00CE09D3"/>
    <w:rsid w:val="00D6188F"/>
    <w:rsid w:val="00DA7894"/>
    <w:rsid w:val="00DC0561"/>
    <w:rsid w:val="00DC1751"/>
    <w:rsid w:val="00DD0D9E"/>
    <w:rsid w:val="00DE29CC"/>
    <w:rsid w:val="00DE2A2D"/>
    <w:rsid w:val="00DF1767"/>
    <w:rsid w:val="00E55ED6"/>
    <w:rsid w:val="00E6265D"/>
    <w:rsid w:val="00E75DE6"/>
    <w:rsid w:val="00E8668F"/>
    <w:rsid w:val="00EA4357"/>
    <w:rsid w:val="00F13921"/>
    <w:rsid w:val="00F36B8E"/>
    <w:rsid w:val="00F72143"/>
    <w:rsid w:val="00F75999"/>
    <w:rsid w:val="00F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94CA"/>
  <w15:docId w15:val="{55C5B404-8878-42F7-A59D-C67C49AB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921"/>
    <w:pPr>
      <w:spacing w:after="0" w:line="48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BC"/>
    <w:pPr>
      <w:keepNext/>
      <w:keepLines/>
      <w:numPr>
        <w:numId w:val="1"/>
      </w:numPr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">
    <w:name w:val="Normal10"/>
    <w:basedOn w:val="Normal"/>
    <w:rsid w:val="002D1365"/>
    <w:pPr>
      <w:widowControl/>
      <w:spacing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176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2BC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D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D5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D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3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B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311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DC0561"/>
    <w:rPr>
      <w:b/>
      <w:bCs/>
    </w:rPr>
  </w:style>
  <w:style w:type="character" w:customStyle="1" w:styleId="cosearchterm">
    <w:name w:val="co_searchterm"/>
    <w:basedOn w:val="DefaultParagraphFont"/>
    <w:rsid w:val="00DC0561"/>
  </w:style>
  <w:style w:type="character" w:styleId="CommentReference">
    <w:name w:val="annotation reference"/>
    <w:basedOn w:val="DefaultParagraphFont"/>
    <w:uiPriority w:val="99"/>
    <w:semiHidden/>
    <w:unhideWhenUsed/>
    <w:rsid w:val="00B0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495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95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9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16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534881459">
              <w:marLeft w:val="0"/>
              <w:marRight w:val="0"/>
              <w:marTop w:val="219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759982948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52829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270358053">
              <w:marLeft w:val="0"/>
              <w:marRight w:val="0"/>
              <w:marTop w:val="219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376515884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17143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</w:divsChild>
            </w:div>
            <w:div w:id="182350286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452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7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8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7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8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A1C1-4EDC-4FB4-BEEC-6FB454BA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2056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Attorney General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xptest3</dc:creator>
  <cp:lastModifiedBy>Jones, Alice</cp:lastModifiedBy>
  <cp:revision>4</cp:revision>
  <dcterms:created xsi:type="dcterms:W3CDTF">2024-04-30T21:45:00Z</dcterms:created>
  <dcterms:modified xsi:type="dcterms:W3CDTF">2024-04-30T22:28:00Z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2024-04-03T00:00:00Z</vt:filetime>
  </property>
</Properties>
</file>