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99548" w14:textId="77777777" w:rsidR="00E931EE" w:rsidRPr="007F7B71" w:rsidRDefault="00E931EE" w:rsidP="00E931EE">
      <w:pPr>
        <w:jc w:val="both"/>
      </w:pPr>
      <w:r w:rsidRPr="007F7B71">
        <w:t>Greg Sakall</w:t>
      </w:r>
    </w:p>
    <w:p w14:paraId="0530BD22" w14:textId="77777777" w:rsidR="00E931EE" w:rsidRPr="007F7B71" w:rsidRDefault="00E931EE" w:rsidP="00E931EE">
      <w:r w:rsidRPr="007F7B71">
        <w:t>Judge, Division 23</w:t>
      </w:r>
    </w:p>
    <w:p w14:paraId="39D469E3" w14:textId="77777777" w:rsidR="00E931EE" w:rsidRPr="007F7B71" w:rsidRDefault="00E931EE" w:rsidP="00E931EE">
      <w:r w:rsidRPr="007F7B71">
        <w:t>Pima County Superior Court</w:t>
      </w:r>
    </w:p>
    <w:p w14:paraId="24EF0D92" w14:textId="77777777" w:rsidR="00E931EE" w:rsidRPr="007F7B71" w:rsidRDefault="00E931EE" w:rsidP="00E931EE">
      <w:r w:rsidRPr="007F7B71">
        <w:t>110 W Congress</w:t>
      </w:r>
    </w:p>
    <w:p w14:paraId="01E8674B" w14:textId="77777777" w:rsidR="00E931EE" w:rsidRPr="007F7B71" w:rsidRDefault="00E931EE" w:rsidP="00E931EE">
      <w:r w:rsidRPr="007F7B71">
        <w:t>Tucson, AZ 85701</w:t>
      </w:r>
    </w:p>
    <w:p w14:paraId="4BCF6623" w14:textId="77777777" w:rsidR="00E931EE" w:rsidRPr="007F7B71" w:rsidRDefault="00E931EE" w:rsidP="00E931EE">
      <w:r w:rsidRPr="007F7B71">
        <w:t>Telephone: (520) 724-8301</w:t>
      </w:r>
    </w:p>
    <w:p w14:paraId="6E8E27E7" w14:textId="77777777" w:rsidR="00E931EE" w:rsidRPr="007F7B71" w:rsidRDefault="00D35218" w:rsidP="00E931EE">
      <w:pPr>
        <w:jc w:val="both"/>
        <w:rPr>
          <w:color w:val="212121"/>
          <w:lang w:val="en"/>
        </w:rPr>
      </w:pPr>
      <w:hyperlink r:id="rId8" w:history="1">
        <w:r w:rsidR="00E931EE" w:rsidRPr="007F7B71">
          <w:rPr>
            <w:rStyle w:val="Hyperlink"/>
            <w:lang w:val="en"/>
          </w:rPr>
          <w:t>SPickard@courts.az.gov</w:t>
        </w:r>
      </w:hyperlink>
    </w:p>
    <w:p w14:paraId="00E570F4" w14:textId="77777777" w:rsidR="00C41CA7" w:rsidRPr="001F3F71" w:rsidRDefault="00C41CA7">
      <w:pPr>
        <w:jc w:val="both"/>
        <w:rPr>
          <w:sz w:val="28"/>
          <w:szCs w:val="28"/>
        </w:rPr>
      </w:pPr>
    </w:p>
    <w:p w14:paraId="7D2AE1D5" w14:textId="77777777" w:rsidR="00C41CA7" w:rsidRPr="001F3F71" w:rsidRDefault="00C41CA7">
      <w:pPr>
        <w:pStyle w:val="Heading1"/>
        <w:spacing w:line="240" w:lineRule="auto"/>
        <w:rPr>
          <w:rFonts w:ascii="Times New Roman" w:hAnsi="Times New Roman"/>
          <w:bCs/>
          <w:sz w:val="28"/>
          <w:szCs w:val="28"/>
        </w:rPr>
      </w:pPr>
      <w:r w:rsidRPr="001F3F71">
        <w:rPr>
          <w:rFonts w:ascii="Times New Roman" w:hAnsi="Times New Roman"/>
          <w:bCs/>
          <w:sz w:val="28"/>
          <w:szCs w:val="28"/>
        </w:rPr>
        <w:t>IN THE SUPREME COURT</w:t>
      </w:r>
    </w:p>
    <w:p w14:paraId="71269420" w14:textId="77777777" w:rsidR="00C41CA7" w:rsidRPr="001F3F71" w:rsidRDefault="00C41CA7">
      <w:pPr>
        <w:pStyle w:val="Heading1"/>
        <w:spacing w:line="240" w:lineRule="auto"/>
        <w:rPr>
          <w:rFonts w:ascii="Times New Roman" w:hAnsi="Times New Roman"/>
          <w:bCs/>
          <w:sz w:val="28"/>
          <w:szCs w:val="28"/>
        </w:rPr>
      </w:pPr>
      <w:r w:rsidRPr="001F3F71">
        <w:rPr>
          <w:rFonts w:ascii="Times New Roman" w:hAnsi="Times New Roman"/>
          <w:bCs/>
          <w:sz w:val="28"/>
          <w:szCs w:val="28"/>
        </w:rPr>
        <w:t>STATE OF ARIZONA</w:t>
      </w:r>
    </w:p>
    <w:p w14:paraId="700D7CA5" w14:textId="77777777" w:rsidR="001451DE" w:rsidRPr="001F3F71" w:rsidRDefault="001451DE" w:rsidP="001451DE">
      <w:pPr>
        <w:rPr>
          <w:sz w:val="28"/>
          <w:szCs w:val="28"/>
        </w:rPr>
      </w:pPr>
    </w:p>
    <w:p w14:paraId="3C83C098" w14:textId="721B1861" w:rsidR="001451DE" w:rsidRPr="00A7057A" w:rsidRDefault="001451DE" w:rsidP="00A7057A">
      <w:pPr>
        <w:widowControl w:val="0"/>
        <w:autoSpaceDE w:val="0"/>
        <w:autoSpaceDN w:val="0"/>
        <w:adjustRightInd w:val="0"/>
        <w:ind w:left="4320" w:hanging="4320"/>
        <w:rPr>
          <w:color w:val="000000"/>
          <w:sz w:val="28"/>
          <w:szCs w:val="28"/>
        </w:rPr>
      </w:pPr>
      <w:r w:rsidRPr="001F3F71">
        <w:rPr>
          <w:color w:val="000000"/>
          <w:sz w:val="28"/>
          <w:szCs w:val="28"/>
        </w:rPr>
        <w:t xml:space="preserve">In the Matter of                  </w:t>
      </w:r>
      <w:r w:rsidR="001F3F71">
        <w:rPr>
          <w:color w:val="000000"/>
          <w:sz w:val="28"/>
          <w:szCs w:val="28"/>
        </w:rPr>
        <w:t xml:space="preserve">                </w:t>
      </w:r>
      <w:proofErr w:type="gramStart"/>
      <w:r w:rsidR="00A7057A">
        <w:rPr>
          <w:color w:val="000000"/>
          <w:sz w:val="28"/>
          <w:szCs w:val="28"/>
        </w:rPr>
        <w:tab/>
      </w:r>
      <w:r w:rsidRPr="00D134ED">
        <w:rPr>
          <w:color w:val="000000"/>
          <w:sz w:val="28"/>
          <w:szCs w:val="28"/>
        </w:rPr>
        <w:t>)</w:t>
      </w:r>
      <w:r w:rsidR="001A3658" w:rsidRPr="001F3F71">
        <w:rPr>
          <w:color w:val="000000"/>
          <w:sz w:val="28"/>
          <w:szCs w:val="28"/>
        </w:rPr>
        <w:t xml:space="preserve"> </w:t>
      </w:r>
      <w:r w:rsidRPr="001F3F71">
        <w:rPr>
          <w:color w:val="000000"/>
          <w:sz w:val="28"/>
          <w:szCs w:val="28"/>
        </w:rPr>
        <w:t xml:space="preserve">  </w:t>
      </w:r>
      <w:proofErr w:type="gramEnd"/>
      <w:r w:rsidR="00801C5D">
        <w:rPr>
          <w:color w:val="000000"/>
          <w:sz w:val="28"/>
          <w:szCs w:val="28"/>
        </w:rPr>
        <w:t xml:space="preserve"> Arizona Supreme Court No. R-</w:t>
      </w:r>
      <w:r w:rsidR="00E931EE">
        <w:rPr>
          <w:color w:val="000000"/>
          <w:sz w:val="28"/>
          <w:szCs w:val="28"/>
        </w:rPr>
        <w:t>2</w:t>
      </w:r>
      <w:r w:rsidR="00A7057A">
        <w:rPr>
          <w:color w:val="000000"/>
          <w:sz w:val="28"/>
          <w:szCs w:val="28"/>
        </w:rPr>
        <w:t>4</w:t>
      </w:r>
      <w:r w:rsidR="00E931EE">
        <w:rPr>
          <w:color w:val="000000"/>
          <w:sz w:val="28"/>
          <w:szCs w:val="28"/>
        </w:rPr>
        <w:t>-00</w:t>
      </w:r>
      <w:r w:rsidR="0044074C">
        <w:rPr>
          <w:color w:val="000000"/>
          <w:sz w:val="28"/>
          <w:szCs w:val="28"/>
        </w:rPr>
        <w:t>3</w:t>
      </w:r>
      <w:r w:rsidR="00CA6993">
        <w:rPr>
          <w:color w:val="000000"/>
          <w:sz w:val="28"/>
          <w:szCs w:val="28"/>
        </w:rPr>
        <w:t>6</w:t>
      </w:r>
      <w:r w:rsidRPr="001F3F71">
        <w:rPr>
          <w:color w:val="000000"/>
          <w:sz w:val="28"/>
          <w:szCs w:val="28"/>
        </w:rPr>
        <w:t xml:space="preserve">                                 </w:t>
      </w:r>
      <w:r w:rsidR="001A3658" w:rsidRPr="001F3F71">
        <w:rPr>
          <w:color w:val="000000"/>
          <w:sz w:val="28"/>
          <w:szCs w:val="28"/>
        </w:rPr>
        <w:t xml:space="preserve"> </w:t>
      </w:r>
      <w:r w:rsidR="001F3F71">
        <w:rPr>
          <w:color w:val="000000"/>
          <w:sz w:val="28"/>
          <w:szCs w:val="28"/>
        </w:rPr>
        <w:t xml:space="preserve">                          </w:t>
      </w:r>
      <w:r w:rsidR="00F872D0">
        <w:rPr>
          <w:color w:val="000000"/>
          <w:sz w:val="28"/>
          <w:szCs w:val="28"/>
        </w:rPr>
        <w:t xml:space="preserve"> </w:t>
      </w:r>
      <w:r w:rsidRPr="00D134ED">
        <w:rPr>
          <w:color w:val="000000"/>
          <w:sz w:val="28"/>
          <w:szCs w:val="28"/>
        </w:rPr>
        <w:t>)</w:t>
      </w:r>
      <w:r w:rsidRPr="001F3F71">
        <w:rPr>
          <w:color w:val="000000"/>
          <w:sz w:val="28"/>
          <w:szCs w:val="28"/>
        </w:rPr>
        <w:t xml:space="preserve">  </w:t>
      </w:r>
      <w:r w:rsidR="001A3658" w:rsidRPr="001F3F71">
        <w:rPr>
          <w:color w:val="000000"/>
          <w:sz w:val="28"/>
          <w:szCs w:val="28"/>
        </w:rPr>
        <w:t xml:space="preserve">        </w:t>
      </w:r>
      <w:r w:rsidRPr="001F3F71">
        <w:rPr>
          <w:color w:val="000000"/>
          <w:sz w:val="28"/>
          <w:szCs w:val="28"/>
        </w:rPr>
        <w:t xml:space="preserve">             </w:t>
      </w:r>
    </w:p>
    <w:p w14:paraId="485E535B" w14:textId="75BFD34A" w:rsidR="00A7057A" w:rsidRDefault="00A7057A" w:rsidP="001451DE">
      <w:pPr>
        <w:widowControl w:val="0"/>
        <w:autoSpaceDE w:val="0"/>
        <w:autoSpaceDN w:val="0"/>
        <w:adjustRightInd w:val="0"/>
        <w:rPr>
          <w:color w:val="000000"/>
          <w:sz w:val="28"/>
          <w:szCs w:val="28"/>
        </w:rPr>
      </w:pPr>
      <w:r>
        <w:rPr>
          <w:color w:val="000000"/>
          <w:sz w:val="28"/>
          <w:szCs w:val="28"/>
        </w:rPr>
        <w:t>PETITION TO AMEND RULE</w:t>
      </w:r>
      <w:r w:rsidR="00CA6993">
        <w:rPr>
          <w:color w:val="000000"/>
          <w:sz w:val="28"/>
          <w:szCs w:val="28"/>
        </w:rPr>
        <w:t xml:space="preserve"> 2</w:t>
      </w:r>
      <w:r>
        <w:rPr>
          <w:color w:val="000000"/>
          <w:sz w:val="28"/>
          <w:szCs w:val="28"/>
        </w:rPr>
        <w:tab/>
      </w:r>
      <w:r w:rsidR="00623CFC" w:rsidRPr="00D134ED">
        <w:rPr>
          <w:color w:val="000000"/>
          <w:sz w:val="28"/>
          <w:szCs w:val="28"/>
        </w:rPr>
        <w:t>)</w:t>
      </w:r>
    </w:p>
    <w:p w14:paraId="11B420A8" w14:textId="4548513A" w:rsidR="00A7057A" w:rsidRDefault="0044074C" w:rsidP="001451DE">
      <w:pPr>
        <w:widowControl w:val="0"/>
        <w:autoSpaceDE w:val="0"/>
        <w:autoSpaceDN w:val="0"/>
        <w:adjustRightInd w:val="0"/>
        <w:rPr>
          <w:color w:val="000000"/>
          <w:sz w:val="28"/>
          <w:szCs w:val="28"/>
        </w:rPr>
      </w:pPr>
      <w:r>
        <w:rPr>
          <w:color w:val="000000"/>
          <w:sz w:val="28"/>
          <w:szCs w:val="28"/>
        </w:rPr>
        <w:t xml:space="preserve">OF THE </w:t>
      </w:r>
      <w:r w:rsidR="00CA6993">
        <w:rPr>
          <w:color w:val="000000"/>
          <w:sz w:val="28"/>
          <w:szCs w:val="28"/>
        </w:rPr>
        <w:t>ARIZONA RULES OF</w:t>
      </w:r>
      <w:r w:rsidR="00CA6993">
        <w:rPr>
          <w:color w:val="000000"/>
          <w:sz w:val="28"/>
          <w:szCs w:val="28"/>
        </w:rPr>
        <w:tab/>
      </w:r>
      <w:r w:rsidR="00A7057A">
        <w:rPr>
          <w:color w:val="000000"/>
          <w:sz w:val="28"/>
          <w:szCs w:val="28"/>
        </w:rPr>
        <w:t>)</w:t>
      </w:r>
      <w:r w:rsidR="003C3420">
        <w:rPr>
          <w:color w:val="000000"/>
          <w:sz w:val="28"/>
          <w:szCs w:val="28"/>
        </w:rPr>
        <w:tab/>
        <w:t xml:space="preserve">Comment of the Committee on </w:t>
      </w:r>
    </w:p>
    <w:p w14:paraId="2C7B5172" w14:textId="59F09599" w:rsidR="00A7057A" w:rsidRDefault="00CA6993" w:rsidP="001451DE">
      <w:pPr>
        <w:widowControl w:val="0"/>
        <w:autoSpaceDE w:val="0"/>
        <w:autoSpaceDN w:val="0"/>
        <w:adjustRightInd w:val="0"/>
        <w:rPr>
          <w:color w:val="000000"/>
          <w:sz w:val="28"/>
          <w:szCs w:val="28"/>
        </w:rPr>
      </w:pPr>
      <w:r>
        <w:rPr>
          <w:color w:val="000000"/>
          <w:sz w:val="28"/>
          <w:szCs w:val="28"/>
        </w:rPr>
        <w:t>FAMILY LAW PROCEDURE</w:t>
      </w:r>
      <w:r>
        <w:rPr>
          <w:color w:val="000000"/>
          <w:sz w:val="28"/>
          <w:szCs w:val="28"/>
        </w:rPr>
        <w:tab/>
      </w:r>
      <w:r w:rsidR="00A7057A">
        <w:rPr>
          <w:color w:val="000000"/>
          <w:sz w:val="28"/>
          <w:szCs w:val="28"/>
        </w:rPr>
        <w:t xml:space="preserve"> </w:t>
      </w:r>
      <w:r w:rsidR="00A7057A">
        <w:rPr>
          <w:color w:val="000000"/>
          <w:sz w:val="28"/>
          <w:szCs w:val="28"/>
        </w:rPr>
        <w:tab/>
        <w:t>)</w:t>
      </w:r>
      <w:r w:rsidR="003C3420">
        <w:rPr>
          <w:color w:val="000000"/>
          <w:sz w:val="28"/>
          <w:szCs w:val="28"/>
        </w:rPr>
        <w:tab/>
        <w:t>Family Court</w:t>
      </w:r>
    </w:p>
    <w:p w14:paraId="667BA89B" w14:textId="292328BD" w:rsidR="001451DE" w:rsidRPr="001F3F71" w:rsidRDefault="00BC1957" w:rsidP="00BC1957">
      <w:pPr>
        <w:widowControl w:val="0"/>
        <w:autoSpaceDE w:val="0"/>
        <w:autoSpaceDN w:val="0"/>
        <w:adjustRightInd w:val="0"/>
        <w:rPr>
          <w:sz w:val="28"/>
          <w:szCs w:val="28"/>
        </w:rPr>
      </w:pPr>
      <w:r>
        <w:rPr>
          <w:color w:val="000000"/>
          <w:sz w:val="28"/>
          <w:szCs w:val="28"/>
        </w:rPr>
        <w:t>______________________________</w:t>
      </w:r>
      <w:r w:rsidR="00A7057A">
        <w:rPr>
          <w:color w:val="000000"/>
          <w:sz w:val="28"/>
          <w:szCs w:val="28"/>
        </w:rPr>
        <w:tab/>
      </w:r>
      <w:r w:rsidRPr="00063BA6">
        <w:rPr>
          <w:color w:val="000000"/>
          <w:sz w:val="28"/>
          <w:szCs w:val="28"/>
        </w:rPr>
        <w:t>)</w:t>
      </w:r>
      <w:r>
        <w:rPr>
          <w:color w:val="000000"/>
          <w:sz w:val="28"/>
          <w:szCs w:val="28"/>
        </w:rPr>
        <w:t xml:space="preserve"> </w:t>
      </w:r>
      <w:r w:rsidR="00F872D0">
        <w:rPr>
          <w:color w:val="000000"/>
          <w:sz w:val="28"/>
          <w:szCs w:val="28"/>
        </w:rPr>
        <w:t xml:space="preserve">   </w:t>
      </w:r>
    </w:p>
    <w:p w14:paraId="506CC4E2" w14:textId="77777777" w:rsidR="00C41CA7" w:rsidRPr="001F3F71" w:rsidRDefault="00C41CA7">
      <w:pPr>
        <w:jc w:val="both"/>
        <w:rPr>
          <w:sz w:val="28"/>
          <w:szCs w:val="28"/>
        </w:rPr>
      </w:pPr>
    </w:p>
    <w:p w14:paraId="5FC70A96" w14:textId="3BBC7247" w:rsidR="00F22097" w:rsidRDefault="00716C66" w:rsidP="00E931EE">
      <w:pPr>
        <w:spacing w:line="480" w:lineRule="auto"/>
        <w:ind w:left="144"/>
        <w:jc w:val="both"/>
        <w:rPr>
          <w:rFonts w:ascii="Century Schoolbook" w:hAnsi="Century Schoolbook"/>
          <w:sz w:val="26"/>
          <w:szCs w:val="26"/>
        </w:rPr>
      </w:pPr>
      <w:r w:rsidRPr="000B7555">
        <w:rPr>
          <w:rFonts w:ascii="Century Schoolbook" w:hAnsi="Century Schoolbook"/>
          <w:sz w:val="26"/>
          <w:szCs w:val="26"/>
        </w:rPr>
        <w:tab/>
      </w:r>
      <w:r w:rsidR="002F4789" w:rsidRPr="000B7555">
        <w:rPr>
          <w:rFonts w:ascii="Century Schoolbook" w:hAnsi="Century Schoolbook"/>
          <w:sz w:val="26"/>
          <w:szCs w:val="26"/>
        </w:rPr>
        <w:t xml:space="preserve">Undersigned, on behalf of the </w:t>
      </w:r>
      <w:r w:rsidR="004E3A71" w:rsidRPr="000B7555">
        <w:rPr>
          <w:rFonts w:ascii="Century Schoolbook" w:hAnsi="Century Schoolbook"/>
          <w:sz w:val="26"/>
          <w:szCs w:val="26"/>
        </w:rPr>
        <w:t>Committee</w:t>
      </w:r>
      <w:r w:rsidR="003C3420" w:rsidRPr="000B7555">
        <w:rPr>
          <w:rFonts w:ascii="Century Schoolbook" w:hAnsi="Century Schoolbook"/>
          <w:sz w:val="26"/>
          <w:szCs w:val="26"/>
        </w:rPr>
        <w:t xml:space="preserve"> on Family Court (“COFC”)</w:t>
      </w:r>
      <w:r w:rsidR="00051E43" w:rsidRPr="000B7555">
        <w:rPr>
          <w:rFonts w:ascii="Century Schoolbook" w:hAnsi="Century Schoolbook"/>
          <w:sz w:val="26"/>
          <w:szCs w:val="26"/>
        </w:rPr>
        <w:t xml:space="preserve">, </w:t>
      </w:r>
      <w:proofErr w:type="spellStart"/>
      <w:r w:rsidR="00051E43">
        <w:rPr>
          <w:rFonts w:ascii="Century Schoolbook" w:hAnsi="Century Schoolbook"/>
          <w:sz w:val="26"/>
          <w:szCs w:val="26"/>
        </w:rPr>
        <w:t>f.k.a</w:t>
      </w:r>
      <w:proofErr w:type="spellEnd"/>
      <w:r w:rsidR="00051E43">
        <w:rPr>
          <w:rFonts w:ascii="Century Schoolbook" w:hAnsi="Century Schoolbook"/>
          <w:sz w:val="26"/>
          <w:szCs w:val="26"/>
        </w:rPr>
        <w:t xml:space="preserve">. Family Court Improvement Committee, </w:t>
      </w:r>
      <w:r w:rsidR="00E931EE" w:rsidRPr="000B7555">
        <w:rPr>
          <w:rFonts w:ascii="Century Schoolbook" w:hAnsi="Century Schoolbook"/>
          <w:sz w:val="26"/>
          <w:szCs w:val="26"/>
        </w:rPr>
        <w:t xml:space="preserve">files this </w:t>
      </w:r>
      <w:r w:rsidR="003C3420" w:rsidRPr="000B7555">
        <w:rPr>
          <w:rFonts w:ascii="Century Schoolbook" w:hAnsi="Century Schoolbook"/>
          <w:sz w:val="26"/>
          <w:szCs w:val="26"/>
        </w:rPr>
        <w:t xml:space="preserve">Comment </w:t>
      </w:r>
      <w:r w:rsidR="00F22097">
        <w:rPr>
          <w:rFonts w:ascii="Century Schoolbook" w:hAnsi="Century Schoolbook"/>
          <w:sz w:val="26"/>
          <w:szCs w:val="26"/>
        </w:rPr>
        <w:t xml:space="preserve">regarding the State Bar’s Petition to amend Rule 2, Arizona Rules of Family Law Procedure (ARFLP). </w:t>
      </w:r>
    </w:p>
    <w:p w14:paraId="552BFD37" w14:textId="205A0121" w:rsidR="00F22097" w:rsidRDefault="00F22097" w:rsidP="00E931EE">
      <w:pPr>
        <w:spacing w:line="480" w:lineRule="auto"/>
        <w:ind w:left="144"/>
        <w:jc w:val="both"/>
        <w:rPr>
          <w:rFonts w:ascii="Century Schoolbook" w:hAnsi="Century Schoolbook"/>
          <w:sz w:val="26"/>
          <w:szCs w:val="26"/>
        </w:rPr>
      </w:pPr>
      <w:r>
        <w:rPr>
          <w:rFonts w:ascii="Century Schoolbook" w:hAnsi="Century Schoolbook"/>
          <w:sz w:val="26"/>
          <w:szCs w:val="26"/>
        </w:rPr>
        <w:tab/>
        <w:t>Rule 2, ARFLP, addresses the applicability of the Arizona Rules of Evidence</w:t>
      </w:r>
      <w:r w:rsidR="001B6EAB">
        <w:rPr>
          <w:rFonts w:ascii="Century Schoolbook" w:hAnsi="Century Schoolbook"/>
          <w:sz w:val="26"/>
          <w:szCs w:val="26"/>
        </w:rPr>
        <w:t xml:space="preserve"> in family court</w:t>
      </w:r>
      <w:r>
        <w:rPr>
          <w:rFonts w:ascii="Century Schoolbook" w:hAnsi="Century Schoolbook"/>
          <w:sz w:val="26"/>
          <w:szCs w:val="26"/>
        </w:rPr>
        <w:t>, and includes provisions on how a party may invoke those Rules by filing a Notice. The State Bar seeks to amend Rule 2 as follows:</w:t>
      </w:r>
    </w:p>
    <w:p w14:paraId="4CF27D6B" w14:textId="1107B673" w:rsidR="00F22097" w:rsidRDefault="00F22097" w:rsidP="00F22097">
      <w:pPr>
        <w:pStyle w:val="ListParagraph"/>
        <w:numPr>
          <w:ilvl w:val="0"/>
          <w:numId w:val="13"/>
        </w:numPr>
        <w:spacing w:line="480" w:lineRule="auto"/>
        <w:jc w:val="both"/>
        <w:rPr>
          <w:rFonts w:ascii="Century Schoolbook" w:hAnsi="Century Schoolbook"/>
          <w:sz w:val="26"/>
          <w:szCs w:val="26"/>
        </w:rPr>
      </w:pPr>
      <w:r>
        <w:rPr>
          <w:rFonts w:ascii="Century Schoolbook" w:hAnsi="Century Schoolbook"/>
          <w:sz w:val="26"/>
          <w:szCs w:val="26"/>
        </w:rPr>
        <w:t>M</w:t>
      </w:r>
      <w:r w:rsidRPr="00F22097">
        <w:rPr>
          <w:rFonts w:ascii="Century Schoolbook" w:hAnsi="Century Schoolbook"/>
          <w:sz w:val="26"/>
          <w:szCs w:val="26"/>
        </w:rPr>
        <w:t>odify Rule 2(a) to address (</w:t>
      </w:r>
      <w:r>
        <w:rPr>
          <w:rFonts w:ascii="Century Schoolbook" w:hAnsi="Century Schoolbook"/>
          <w:sz w:val="26"/>
          <w:szCs w:val="26"/>
        </w:rPr>
        <w:t>1) whether a new notice must be filed in a post-judgment matter and (2) to provide additional language regarding notices; and</w:t>
      </w:r>
    </w:p>
    <w:p w14:paraId="3321BD42" w14:textId="6CAA17ED" w:rsidR="00F22097" w:rsidRDefault="00F22097" w:rsidP="00F22097">
      <w:pPr>
        <w:pStyle w:val="ListParagraph"/>
        <w:numPr>
          <w:ilvl w:val="0"/>
          <w:numId w:val="13"/>
        </w:numPr>
        <w:spacing w:line="480" w:lineRule="auto"/>
        <w:jc w:val="both"/>
        <w:rPr>
          <w:rFonts w:ascii="Century Schoolbook" w:hAnsi="Century Schoolbook"/>
          <w:sz w:val="26"/>
          <w:szCs w:val="26"/>
        </w:rPr>
      </w:pPr>
      <w:r>
        <w:rPr>
          <w:rFonts w:ascii="Century Schoolbook" w:hAnsi="Century Schoolbook"/>
          <w:sz w:val="26"/>
          <w:szCs w:val="26"/>
        </w:rPr>
        <w:t xml:space="preserve">Adopt a new provision as Rule 2(c) dealing with the ability to revoke a Rule 2 Notice; and </w:t>
      </w:r>
    </w:p>
    <w:p w14:paraId="0E2B5276" w14:textId="70CF13A6" w:rsidR="00F22097" w:rsidRPr="00F22097" w:rsidRDefault="00F22097" w:rsidP="00F22097">
      <w:pPr>
        <w:pStyle w:val="ListParagraph"/>
        <w:numPr>
          <w:ilvl w:val="0"/>
          <w:numId w:val="13"/>
        </w:numPr>
        <w:spacing w:line="480" w:lineRule="auto"/>
        <w:jc w:val="both"/>
        <w:rPr>
          <w:rFonts w:ascii="Century Schoolbook" w:hAnsi="Century Schoolbook"/>
          <w:sz w:val="26"/>
          <w:szCs w:val="26"/>
        </w:rPr>
      </w:pPr>
      <w:r>
        <w:rPr>
          <w:rFonts w:ascii="Century Schoolbook" w:hAnsi="Century Schoolbook"/>
          <w:sz w:val="26"/>
          <w:szCs w:val="26"/>
        </w:rPr>
        <w:lastRenderedPageBreak/>
        <w:t>Adopt a new provision as Rule 2(e) addressing children’s statements and exempting those out-of-court statements from Rule 802, Ariz. R. Evid.</w:t>
      </w:r>
    </w:p>
    <w:p w14:paraId="5BE9A0C1" w14:textId="5E9C4DA4" w:rsidR="00F22097" w:rsidRDefault="0044074C" w:rsidP="00E614FC">
      <w:pPr>
        <w:spacing w:line="480" w:lineRule="auto"/>
        <w:ind w:left="144"/>
        <w:jc w:val="both"/>
        <w:rPr>
          <w:rFonts w:ascii="Century Schoolbook" w:hAnsi="Century Schoolbook"/>
          <w:bCs/>
          <w:color w:val="000000"/>
          <w:sz w:val="26"/>
          <w:szCs w:val="26"/>
        </w:rPr>
      </w:pPr>
      <w:r>
        <w:rPr>
          <w:rFonts w:ascii="Century Schoolbook" w:hAnsi="Century Schoolbook"/>
          <w:sz w:val="26"/>
          <w:szCs w:val="26"/>
        </w:rPr>
        <w:tab/>
      </w:r>
      <w:r w:rsidR="003C3420" w:rsidRPr="000B7555">
        <w:rPr>
          <w:rFonts w:ascii="Century Schoolbook" w:hAnsi="Century Schoolbook"/>
          <w:bCs/>
          <w:color w:val="000000"/>
          <w:sz w:val="26"/>
          <w:szCs w:val="26"/>
        </w:rPr>
        <w:t xml:space="preserve">At its February 15, </w:t>
      </w:r>
      <w:proofErr w:type="gramStart"/>
      <w:r w:rsidR="003C3420" w:rsidRPr="000B7555">
        <w:rPr>
          <w:rFonts w:ascii="Century Schoolbook" w:hAnsi="Century Schoolbook"/>
          <w:bCs/>
          <w:color w:val="000000"/>
          <w:sz w:val="26"/>
          <w:szCs w:val="26"/>
        </w:rPr>
        <w:t>2024</w:t>
      </w:r>
      <w:proofErr w:type="gramEnd"/>
      <w:r w:rsidR="003C3420" w:rsidRPr="000B7555">
        <w:rPr>
          <w:rFonts w:ascii="Century Schoolbook" w:hAnsi="Century Schoolbook"/>
          <w:bCs/>
          <w:color w:val="000000"/>
          <w:sz w:val="26"/>
          <w:szCs w:val="26"/>
        </w:rPr>
        <w:t xml:space="preserve"> meeting, COFC considered the pending Petition and its members voted unanimously</w:t>
      </w:r>
      <w:r w:rsidR="00370C5E">
        <w:rPr>
          <w:rFonts w:ascii="Century Schoolbook" w:hAnsi="Century Schoolbook"/>
          <w:bCs/>
          <w:color w:val="000000"/>
          <w:sz w:val="26"/>
          <w:szCs w:val="26"/>
        </w:rPr>
        <w:t xml:space="preserve"> to support in part and oppose in part the State Bar’s Petition</w:t>
      </w:r>
      <w:r w:rsidR="001B6EAB">
        <w:rPr>
          <w:rFonts w:ascii="Century Schoolbook" w:hAnsi="Century Schoolbook"/>
          <w:bCs/>
          <w:color w:val="000000"/>
          <w:sz w:val="26"/>
          <w:szCs w:val="26"/>
        </w:rPr>
        <w:t xml:space="preserve"> as set forth below</w:t>
      </w:r>
      <w:r w:rsidR="00370C5E">
        <w:rPr>
          <w:rFonts w:ascii="Century Schoolbook" w:hAnsi="Century Schoolbook"/>
          <w:bCs/>
          <w:color w:val="000000"/>
          <w:sz w:val="26"/>
          <w:szCs w:val="26"/>
        </w:rPr>
        <w:t>.</w:t>
      </w:r>
    </w:p>
    <w:p w14:paraId="43557B90" w14:textId="7EDA2139" w:rsidR="00370C5E" w:rsidRDefault="00370C5E" w:rsidP="00E614FC">
      <w:pPr>
        <w:spacing w:line="480" w:lineRule="auto"/>
        <w:ind w:left="144"/>
        <w:jc w:val="both"/>
        <w:rPr>
          <w:rFonts w:ascii="Century Schoolbook" w:hAnsi="Century Schoolbook"/>
          <w:sz w:val="26"/>
          <w:szCs w:val="26"/>
        </w:rPr>
      </w:pPr>
      <w:r>
        <w:rPr>
          <w:rFonts w:ascii="Century Schoolbook" w:hAnsi="Century Schoolbook"/>
          <w:bCs/>
          <w:color w:val="000000"/>
          <w:sz w:val="26"/>
          <w:szCs w:val="26"/>
        </w:rPr>
        <w:tab/>
        <w:t xml:space="preserve">As to the State Bar’s proposed modification of </w:t>
      </w:r>
      <w:r w:rsidRPr="00F22097">
        <w:rPr>
          <w:rFonts w:ascii="Century Schoolbook" w:hAnsi="Century Schoolbook"/>
          <w:sz w:val="26"/>
          <w:szCs w:val="26"/>
        </w:rPr>
        <w:t>Rule 2(a)</w:t>
      </w:r>
      <w:r>
        <w:rPr>
          <w:rFonts w:ascii="Century Schoolbook" w:hAnsi="Century Schoolbook"/>
          <w:sz w:val="26"/>
          <w:szCs w:val="26"/>
        </w:rPr>
        <w:t xml:space="preserve">, COFC has filed a pending petition, R-23-0050, which </w:t>
      </w:r>
      <w:r w:rsidR="001B6EAB">
        <w:rPr>
          <w:rFonts w:ascii="Century Schoolbook" w:hAnsi="Century Schoolbook"/>
          <w:sz w:val="26"/>
          <w:szCs w:val="26"/>
        </w:rPr>
        <w:t xml:space="preserve">also </w:t>
      </w:r>
      <w:r>
        <w:rPr>
          <w:rFonts w:ascii="Century Schoolbook" w:hAnsi="Century Schoolbook"/>
          <w:sz w:val="26"/>
          <w:szCs w:val="26"/>
        </w:rPr>
        <w:t xml:space="preserve">addresses the effect of a Rule 2 Notice on a post-judgment petition.  Respectfully, COFC believes its proposed amendment is superior, and addresses an issue that needs to be addressed.  As to </w:t>
      </w:r>
      <w:r w:rsidR="008F23C1">
        <w:rPr>
          <w:rFonts w:ascii="Century Schoolbook" w:hAnsi="Century Schoolbook"/>
          <w:sz w:val="26"/>
          <w:szCs w:val="26"/>
        </w:rPr>
        <w:t xml:space="preserve">the </w:t>
      </w:r>
      <w:r>
        <w:rPr>
          <w:rFonts w:ascii="Century Schoolbook" w:hAnsi="Century Schoolbook"/>
          <w:sz w:val="26"/>
          <w:szCs w:val="26"/>
        </w:rPr>
        <w:t xml:space="preserve">State Bar’s language regarding filing a Notice as to all evidentiary hearings or a specific hearing, COFC believes that </w:t>
      </w:r>
      <w:r w:rsidR="001B6EAB">
        <w:rPr>
          <w:rFonts w:ascii="Century Schoolbook" w:hAnsi="Century Schoolbook"/>
          <w:sz w:val="26"/>
          <w:szCs w:val="26"/>
        </w:rPr>
        <w:t xml:space="preserve">the existing language in Rule 2(a) </w:t>
      </w:r>
      <w:r>
        <w:rPr>
          <w:rFonts w:ascii="Century Schoolbook" w:hAnsi="Century Schoolbook"/>
          <w:sz w:val="26"/>
          <w:szCs w:val="26"/>
        </w:rPr>
        <w:t>addresse</w:t>
      </w:r>
      <w:r w:rsidR="001B6EAB">
        <w:rPr>
          <w:rFonts w:ascii="Century Schoolbook" w:hAnsi="Century Schoolbook"/>
          <w:sz w:val="26"/>
          <w:szCs w:val="26"/>
        </w:rPr>
        <w:t>s the issue</w:t>
      </w:r>
      <w:r>
        <w:rPr>
          <w:rFonts w:ascii="Century Schoolbook" w:hAnsi="Century Schoolbook"/>
          <w:sz w:val="26"/>
          <w:szCs w:val="26"/>
        </w:rPr>
        <w:t>, and the State Bar’s proposed additional language is unnecessary.</w:t>
      </w:r>
    </w:p>
    <w:p w14:paraId="2176737D" w14:textId="3CC6022C" w:rsidR="00370C5E" w:rsidRDefault="00370C5E" w:rsidP="00E614FC">
      <w:pPr>
        <w:spacing w:line="480" w:lineRule="auto"/>
        <w:ind w:left="144"/>
        <w:jc w:val="both"/>
        <w:rPr>
          <w:rFonts w:ascii="Century Schoolbook" w:hAnsi="Century Schoolbook"/>
          <w:sz w:val="26"/>
          <w:szCs w:val="26"/>
        </w:rPr>
      </w:pPr>
      <w:r>
        <w:rPr>
          <w:rFonts w:ascii="Century Schoolbook" w:hAnsi="Century Schoolbook"/>
          <w:sz w:val="26"/>
          <w:szCs w:val="26"/>
        </w:rPr>
        <w:tab/>
        <w:t>As to the State Bar’s proposed inclusion of a provision regarding revocation of a Rule 2 Notice, COFC supports the State Bar’s language as meritorious.  As a stylistic point, there was discussion at COFC that the Court may wish to include this revocation language as Rule 2(e) so as not to work a renumbering of existing Rule 2(c)-(d).</w:t>
      </w:r>
    </w:p>
    <w:p w14:paraId="0110B2AD" w14:textId="0F3444C8" w:rsidR="001B6EAB" w:rsidRDefault="00370C5E" w:rsidP="001B6EAB">
      <w:pPr>
        <w:spacing w:line="480" w:lineRule="auto"/>
        <w:ind w:firstLine="720"/>
        <w:jc w:val="both"/>
        <w:rPr>
          <w:rFonts w:ascii="Century Schoolbook" w:hAnsi="Century Schoolbook"/>
          <w:sz w:val="26"/>
          <w:szCs w:val="26"/>
        </w:rPr>
      </w:pPr>
      <w:r w:rsidRPr="00370C5E">
        <w:rPr>
          <w:rFonts w:ascii="Century Schoolbook" w:hAnsi="Century Schoolbook"/>
          <w:bCs/>
          <w:color w:val="000000"/>
          <w:sz w:val="26"/>
          <w:szCs w:val="26"/>
        </w:rPr>
        <w:t xml:space="preserve">As to the State Bar’s </w:t>
      </w:r>
      <w:r w:rsidRPr="00370C5E">
        <w:rPr>
          <w:rFonts w:ascii="Century Schoolbook" w:hAnsi="Century Schoolbook"/>
          <w:sz w:val="26"/>
          <w:szCs w:val="26"/>
        </w:rPr>
        <w:t>new provision addressing children’s statements and exempting those out-of-court statements from Rule 802, Ariz. R. Evid</w:t>
      </w:r>
      <w:r>
        <w:rPr>
          <w:rFonts w:ascii="Century Schoolbook" w:hAnsi="Century Schoolbook"/>
          <w:sz w:val="26"/>
          <w:szCs w:val="26"/>
        </w:rPr>
        <w:t xml:space="preserve">, COFC </w:t>
      </w:r>
      <w:r>
        <w:rPr>
          <w:rFonts w:ascii="Century Schoolbook" w:hAnsi="Century Schoolbook"/>
          <w:sz w:val="26"/>
          <w:szCs w:val="26"/>
        </w:rPr>
        <w:lastRenderedPageBreak/>
        <w:t>respectfully oppose</w:t>
      </w:r>
      <w:r w:rsidR="001B6EAB">
        <w:rPr>
          <w:rFonts w:ascii="Century Schoolbook" w:hAnsi="Century Schoolbook"/>
          <w:sz w:val="26"/>
          <w:szCs w:val="26"/>
        </w:rPr>
        <w:t>s</w:t>
      </w:r>
      <w:r>
        <w:rPr>
          <w:rFonts w:ascii="Century Schoolbook" w:hAnsi="Century Schoolbook"/>
          <w:sz w:val="26"/>
          <w:szCs w:val="26"/>
        </w:rPr>
        <w:t xml:space="preserve"> the Petition.  </w:t>
      </w:r>
      <w:r w:rsidR="008C3FAC">
        <w:rPr>
          <w:rFonts w:ascii="Century Schoolbook" w:hAnsi="Century Schoolbook"/>
          <w:sz w:val="26"/>
          <w:szCs w:val="26"/>
        </w:rPr>
        <w:t>The State Bar’s proposed language is incredibly b</w:t>
      </w:r>
      <w:r w:rsidR="001B6EAB">
        <w:rPr>
          <w:rFonts w:ascii="Century Schoolbook" w:hAnsi="Century Schoolbook"/>
          <w:sz w:val="26"/>
          <w:szCs w:val="26"/>
        </w:rPr>
        <w:t>r</w:t>
      </w:r>
      <w:r w:rsidR="008C3FAC">
        <w:rPr>
          <w:rFonts w:ascii="Century Schoolbook" w:hAnsi="Century Schoolbook"/>
          <w:sz w:val="26"/>
          <w:szCs w:val="26"/>
        </w:rPr>
        <w:t>oa</w:t>
      </w:r>
      <w:r w:rsidR="001B6EAB">
        <w:rPr>
          <w:rFonts w:ascii="Century Schoolbook" w:hAnsi="Century Schoolbook"/>
          <w:sz w:val="26"/>
          <w:szCs w:val="26"/>
        </w:rPr>
        <w:t>d</w:t>
      </w:r>
      <w:r w:rsidR="008C3FAC">
        <w:rPr>
          <w:rFonts w:ascii="Century Schoolbook" w:hAnsi="Century Schoolbook"/>
          <w:sz w:val="26"/>
          <w:szCs w:val="26"/>
        </w:rPr>
        <w:t xml:space="preserve"> as it would allow any individual—for example, a party, a grandparent, a party’s friend, or a neighbor—to come to </w:t>
      </w:r>
      <w:r w:rsidR="001B6EAB">
        <w:rPr>
          <w:rFonts w:ascii="Century Schoolbook" w:hAnsi="Century Schoolbook"/>
          <w:sz w:val="26"/>
          <w:szCs w:val="26"/>
        </w:rPr>
        <w:t>the family c</w:t>
      </w:r>
      <w:r w:rsidR="008C3FAC">
        <w:rPr>
          <w:rFonts w:ascii="Century Schoolbook" w:hAnsi="Century Schoolbook"/>
          <w:sz w:val="26"/>
          <w:szCs w:val="26"/>
        </w:rPr>
        <w:t>ourt and testify regarding what the children have told that witness about the children’s wishes to parenting time or legal decision-making, alleged abuse and negl</w:t>
      </w:r>
      <w:r w:rsidR="008F23C1">
        <w:rPr>
          <w:rFonts w:ascii="Century Schoolbook" w:hAnsi="Century Schoolbook"/>
          <w:sz w:val="26"/>
          <w:szCs w:val="26"/>
        </w:rPr>
        <w:t>ect</w:t>
      </w:r>
      <w:r w:rsidR="008C3FAC">
        <w:rPr>
          <w:rFonts w:ascii="Century Schoolbook" w:hAnsi="Century Schoolbook"/>
          <w:sz w:val="26"/>
          <w:szCs w:val="26"/>
        </w:rPr>
        <w:t xml:space="preserve">, and their relationships with family members and significant others.  </w:t>
      </w:r>
    </w:p>
    <w:p w14:paraId="5762BDAC" w14:textId="21D74950" w:rsidR="001B6EAB" w:rsidRDefault="00370C5E" w:rsidP="001B6EAB">
      <w:pPr>
        <w:spacing w:line="480" w:lineRule="auto"/>
        <w:ind w:firstLine="720"/>
        <w:jc w:val="both"/>
        <w:rPr>
          <w:rFonts w:ascii="Century Schoolbook" w:hAnsi="Century Schoolbook"/>
          <w:sz w:val="26"/>
          <w:szCs w:val="26"/>
        </w:rPr>
      </w:pPr>
      <w:r>
        <w:rPr>
          <w:rFonts w:ascii="Century Schoolbook" w:hAnsi="Century Schoolbook"/>
          <w:sz w:val="26"/>
          <w:szCs w:val="26"/>
        </w:rPr>
        <w:t xml:space="preserve">COFC believes, consistent with applicable law, that the family court should </w:t>
      </w:r>
      <w:r w:rsidR="008C3FAC">
        <w:rPr>
          <w:rFonts w:ascii="Century Schoolbook" w:hAnsi="Century Schoolbook"/>
          <w:sz w:val="26"/>
          <w:szCs w:val="26"/>
        </w:rPr>
        <w:t xml:space="preserve">consider </w:t>
      </w:r>
      <w:r>
        <w:rPr>
          <w:rFonts w:ascii="Century Schoolbook" w:hAnsi="Century Schoolbook"/>
          <w:sz w:val="26"/>
          <w:szCs w:val="26"/>
        </w:rPr>
        <w:t>reliable and relevant statements from children</w:t>
      </w:r>
      <w:r w:rsidR="008C3FAC">
        <w:rPr>
          <w:rFonts w:ascii="Century Schoolbook" w:hAnsi="Century Schoolbook"/>
          <w:sz w:val="26"/>
          <w:szCs w:val="26"/>
        </w:rPr>
        <w:t xml:space="preserve"> in determining what is in the children’s best interests</w:t>
      </w:r>
      <w:r>
        <w:rPr>
          <w:rFonts w:ascii="Century Schoolbook" w:hAnsi="Century Schoolbook"/>
          <w:sz w:val="26"/>
          <w:szCs w:val="26"/>
        </w:rPr>
        <w:t>; however, it disagrees that a waiver of the hearsay rule is the best approach</w:t>
      </w:r>
      <w:r w:rsidR="001B6EAB">
        <w:rPr>
          <w:rFonts w:ascii="Century Schoolbook" w:hAnsi="Century Schoolbook"/>
          <w:sz w:val="26"/>
          <w:szCs w:val="26"/>
        </w:rPr>
        <w:t xml:space="preserve"> to ensure that the family court hears from the child</w:t>
      </w:r>
      <w:r>
        <w:rPr>
          <w:rFonts w:ascii="Century Schoolbook" w:hAnsi="Century Schoolbook"/>
          <w:sz w:val="26"/>
          <w:szCs w:val="26"/>
        </w:rPr>
        <w:t xml:space="preserve">.  </w:t>
      </w:r>
    </w:p>
    <w:p w14:paraId="4B8FE0EC" w14:textId="0C6A4370" w:rsidR="00370C5E" w:rsidRDefault="00370C5E" w:rsidP="001B6EAB">
      <w:pPr>
        <w:spacing w:line="480" w:lineRule="auto"/>
        <w:ind w:firstLine="720"/>
        <w:jc w:val="both"/>
        <w:rPr>
          <w:rFonts w:ascii="Century Schoolbook" w:hAnsi="Century Schoolbook"/>
          <w:sz w:val="26"/>
          <w:szCs w:val="26"/>
        </w:rPr>
      </w:pPr>
      <w:r>
        <w:rPr>
          <w:rFonts w:ascii="Century Schoolbook" w:hAnsi="Century Schoolbook"/>
          <w:sz w:val="26"/>
          <w:szCs w:val="26"/>
        </w:rPr>
        <w:t xml:space="preserve">COFC members expressed </w:t>
      </w:r>
      <w:r w:rsidR="008C3FAC">
        <w:rPr>
          <w:rFonts w:ascii="Century Schoolbook" w:hAnsi="Century Schoolbook"/>
          <w:sz w:val="26"/>
          <w:szCs w:val="26"/>
        </w:rPr>
        <w:t xml:space="preserve">various </w:t>
      </w:r>
      <w:r>
        <w:rPr>
          <w:rFonts w:ascii="Century Schoolbook" w:hAnsi="Century Schoolbook"/>
          <w:sz w:val="26"/>
          <w:szCs w:val="26"/>
        </w:rPr>
        <w:t>concerns that the State Bar’s proposed rule would increase pressure on children by parents</w:t>
      </w:r>
      <w:r w:rsidR="008C3FAC">
        <w:rPr>
          <w:rFonts w:ascii="Century Schoolbook" w:hAnsi="Century Schoolbook"/>
          <w:sz w:val="26"/>
          <w:szCs w:val="26"/>
        </w:rPr>
        <w:t xml:space="preserve"> and that the family court could be confronted with possibly contrary statements from the children to different witnesses. Another member expressed that the above concerns are </w:t>
      </w:r>
      <w:r w:rsidR="001B6EAB">
        <w:rPr>
          <w:rFonts w:ascii="Century Schoolbook" w:hAnsi="Century Schoolbook"/>
          <w:sz w:val="26"/>
          <w:szCs w:val="26"/>
        </w:rPr>
        <w:t xml:space="preserve">especially </w:t>
      </w:r>
      <w:r w:rsidR="008C3FAC">
        <w:rPr>
          <w:rFonts w:ascii="Century Schoolbook" w:hAnsi="Century Schoolbook"/>
          <w:sz w:val="26"/>
          <w:szCs w:val="26"/>
        </w:rPr>
        <w:t xml:space="preserve">heightened in relationships in which there has been domestic violence.  </w:t>
      </w:r>
    </w:p>
    <w:p w14:paraId="4C1D4280" w14:textId="4662E5DF" w:rsidR="00CA6CBB" w:rsidRDefault="008C3FAC" w:rsidP="00CA6CBB">
      <w:pPr>
        <w:spacing w:line="480" w:lineRule="auto"/>
        <w:ind w:firstLine="720"/>
        <w:jc w:val="both"/>
        <w:rPr>
          <w:rFonts w:ascii="Century Schoolbook" w:hAnsi="Century Schoolbook"/>
          <w:sz w:val="26"/>
          <w:szCs w:val="26"/>
        </w:rPr>
      </w:pPr>
      <w:r>
        <w:rPr>
          <w:rFonts w:ascii="Century Schoolbook" w:hAnsi="Century Schoolbook"/>
          <w:sz w:val="26"/>
          <w:szCs w:val="26"/>
        </w:rPr>
        <w:t xml:space="preserve">COFC also heard concerns that there are increasing objections at evidentiary hearings and trials as to the family court considering a child’s statements during a child interview </w:t>
      </w:r>
      <w:r w:rsidR="00CA6CBB">
        <w:rPr>
          <w:rFonts w:ascii="Century Schoolbook" w:hAnsi="Century Schoolbook"/>
          <w:sz w:val="26"/>
          <w:szCs w:val="26"/>
        </w:rPr>
        <w:t xml:space="preserve">under </w:t>
      </w:r>
      <w:r>
        <w:rPr>
          <w:rFonts w:ascii="Century Schoolbook" w:hAnsi="Century Schoolbook"/>
          <w:sz w:val="26"/>
          <w:szCs w:val="26"/>
        </w:rPr>
        <w:t>Rule 12, ARFL</w:t>
      </w:r>
      <w:r w:rsidR="00CA6CBB">
        <w:rPr>
          <w:rFonts w:ascii="Century Schoolbook" w:hAnsi="Century Schoolbook"/>
          <w:sz w:val="26"/>
          <w:szCs w:val="26"/>
        </w:rPr>
        <w:t xml:space="preserve">P.  </w:t>
      </w:r>
      <w:r w:rsidR="001B6EAB">
        <w:rPr>
          <w:rFonts w:ascii="Century Schoolbook" w:hAnsi="Century Schoolbook"/>
          <w:sz w:val="26"/>
          <w:szCs w:val="26"/>
        </w:rPr>
        <w:t xml:space="preserve">That’s troubling. </w:t>
      </w:r>
      <w:r>
        <w:rPr>
          <w:rFonts w:ascii="Century Schoolbook" w:hAnsi="Century Schoolbook"/>
          <w:sz w:val="26"/>
          <w:szCs w:val="26"/>
        </w:rPr>
        <w:t>Rule 12(b)</w:t>
      </w:r>
      <w:r w:rsidR="00CA6CBB">
        <w:rPr>
          <w:rFonts w:ascii="Century Schoolbook" w:hAnsi="Century Schoolbook"/>
          <w:sz w:val="26"/>
          <w:szCs w:val="26"/>
        </w:rPr>
        <w:t xml:space="preserve"> </w:t>
      </w:r>
      <w:r>
        <w:rPr>
          <w:rFonts w:ascii="Century Schoolbook" w:hAnsi="Century Schoolbook"/>
          <w:sz w:val="26"/>
          <w:szCs w:val="26"/>
        </w:rPr>
        <w:t>provid</w:t>
      </w:r>
      <w:r w:rsidR="00CA6CBB">
        <w:rPr>
          <w:rFonts w:ascii="Century Schoolbook" w:hAnsi="Century Schoolbook"/>
          <w:sz w:val="26"/>
          <w:szCs w:val="26"/>
        </w:rPr>
        <w:t>es</w:t>
      </w:r>
      <w:r>
        <w:rPr>
          <w:rFonts w:ascii="Century Schoolbook" w:hAnsi="Century Schoolbook"/>
          <w:sz w:val="26"/>
          <w:szCs w:val="26"/>
        </w:rPr>
        <w:t xml:space="preserve"> a broad definition of “court” to include Conciliation Court</w:t>
      </w:r>
      <w:r w:rsidR="00CA6CBB">
        <w:rPr>
          <w:rFonts w:ascii="Century Schoolbook" w:hAnsi="Century Schoolbook"/>
          <w:sz w:val="26"/>
          <w:szCs w:val="26"/>
        </w:rPr>
        <w:t xml:space="preserve"> </w:t>
      </w:r>
      <w:r w:rsidR="00CA6CBB">
        <w:rPr>
          <w:rFonts w:ascii="Century Schoolbook" w:hAnsi="Century Schoolbook"/>
          <w:sz w:val="26"/>
          <w:szCs w:val="26"/>
        </w:rPr>
        <w:lastRenderedPageBreak/>
        <w:t>services</w:t>
      </w:r>
      <w:r>
        <w:rPr>
          <w:rFonts w:ascii="Century Schoolbook" w:hAnsi="Century Schoolbook"/>
          <w:sz w:val="26"/>
          <w:szCs w:val="26"/>
        </w:rPr>
        <w:t xml:space="preserve">, </w:t>
      </w:r>
      <w:r w:rsidR="00CA6CBB">
        <w:rPr>
          <w:rFonts w:ascii="Century Schoolbook" w:hAnsi="Century Schoolbook"/>
          <w:sz w:val="26"/>
          <w:szCs w:val="26"/>
        </w:rPr>
        <w:t xml:space="preserve">an agency, or other third-party professionals appointed by the family court. </w:t>
      </w:r>
      <w:r>
        <w:rPr>
          <w:rFonts w:ascii="Century Schoolbook" w:hAnsi="Century Schoolbook"/>
          <w:sz w:val="26"/>
          <w:szCs w:val="26"/>
        </w:rPr>
        <w:t xml:space="preserve">COFC believes that a </w:t>
      </w:r>
      <w:r w:rsidR="00CA6CBB">
        <w:rPr>
          <w:rFonts w:ascii="Century Schoolbook" w:hAnsi="Century Schoolbook"/>
          <w:sz w:val="26"/>
          <w:szCs w:val="26"/>
        </w:rPr>
        <w:t>family court should consider statements made by children under the provisions of Rule 12, as that rule provides for reliable reporting of the children’s statements</w:t>
      </w:r>
      <w:r w:rsidR="001B6EAB">
        <w:rPr>
          <w:rFonts w:ascii="Century Schoolbook" w:hAnsi="Century Schoolbook"/>
          <w:sz w:val="26"/>
          <w:szCs w:val="26"/>
        </w:rPr>
        <w:t xml:space="preserve"> to the family court or a court-appointed professional</w:t>
      </w:r>
      <w:r w:rsidR="00CA6CBB">
        <w:rPr>
          <w:rFonts w:ascii="Century Schoolbook" w:hAnsi="Century Schoolbook"/>
          <w:sz w:val="26"/>
          <w:szCs w:val="26"/>
        </w:rPr>
        <w:t>.  If the State Bar’s concern is that Rule 12 interviews are not being considered, COFC respectfully submits that the better solution would be to amend Rule 12, rather than abandon Rule 802 in its entirety.  A proposed revision to Rule 12 follows:</w:t>
      </w:r>
    </w:p>
    <w:p w14:paraId="24CD725A" w14:textId="33F4E022" w:rsidR="00CA6CBB" w:rsidRPr="0049681B" w:rsidRDefault="00CA6CBB" w:rsidP="0049681B">
      <w:pPr>
        <w:jc w:val="center"/>
        <w:rPr>
          <w:rFonts w:ascii="Century Schoolbook" w:hAnsi="Century Schoolbook"/>
          <w:b/>
          <w:bCs/>
          <w:sz w:val="26"/>
          <w:szCs w:val="26"/>
        </w:rPr>
      </w:pPr>
      <w:r w:rsidRPr="0049681B">
        <w:rPr>
          <w:rFonts w:ascii="Century Schoolbook" w:hAnsi="Century Schoolbook"/>
          <w:b/>
          <w:bCs/>
          <w:sz w:val="26"/>
          <w:szCs w:val="26"/>
        </w:rPr>
        <w:t>RULE 12</w:t>
      </w:r>
    </w:p>
    <w:p w14:paraId="78A8A269" w14:textId="77777777" w:rsidR="00CA6CBB" w:rsidRPr="0049681B" w:rsidRDefault="00CA6CBB" w:rsidP="0049681B">
      <w:pPr>
        <w:jc w:val="center"/>
        <w:rPr>
          <w:rFonts w:ascii="Century Schoolbook" w:hAnsi="Century Schoolbook"/>
          <w:b/>
          <w:bCs/>
          <w:sz w:val="26"/>
          <w:szCs w:val="26"/>
        </w:rPr>
      </w:pPr>
      <w:r w:rsidRPr="0049681B">
        <w:rPr>
          <w:rFonts w:ascii="Century Schoolbook" w:hAnsi="Century Schoolbook"/>
          <w:b/>
          <w:bCs/>
          <w:sz w:val="26"/>
          <w:szCs w:val="26"/>
        </w:rPr>
        <w:t>Court Interviews of Children</w:t>
      </w:r>
    </w:p>
    <w:p w14:paraId="511D9565" w14:textId="5F6C90C9" w:rsidR="00CA6CBB" w:rsidRPr="007C32D8" w:rsidRDefault="007C32D8" w:rsidP="007C32D8">
      <w:pPr>
        <w:spacing w:after="160" w:line="259" w:lineRule="auto"/>
        <w:ind w:firstLine="360"/>
        <w:jc w:val="both"/>
        <w:rPr>
          <w:rFonts w:ascii="Century Schoolbook" w:hAnsi="Century Schoolbook"/>
          <w:b/>
          <w:bCs/>
          <w:sz w:val="26"/>
          <w:szCs w:val="26"/>
        </w:rPr>
      </w:pPr>
      <w:r>
        <w:rPr>
          <w:rFonts w:ascii="Century Schoolbook" w:hAnsi="Century Schoolbook"/>
          <w:b/>
          <w:bCs/>
          <w:sz w:val="26"/>
          <w:szCs w:val="26"/>
        </w:rPr>
        <w:t>(a)</w:t>
      </w:r>
      <w:r w:rsidR="00CA6CBB" w:rsidRPr="007C32D8">
        <w:rPr>
          <w:rFonts w:ascii="Century Schoolbook" w:hAnsi="Century Schoolbook"/>
          <w:b/>
          <w:bCs/>
          <w:sz w:val="26"/>
          <w:szCs w:val="26"/>
        </w:rPr>
        <w:t xml:space="preserve">– (b) [No change] </w:t>
      </w:r>
    </w:p>
    <w:p w14:paraId="76F914D6" w14:textId="0DDF2823" w:rsidR="00CA6CBB" w:rsidRPr="0049681B" w:rsidRDefault="00CA6CBB" w:rsidP="0049681B">
      <w:pPr>
        <w:pStyle w:val="ListParagraph"/>
        <w:numPr>
          <w:ilvl w:val="0"/>
          <w:numId w:val="18"/>
        </w:numPr>
        <w:spacing w:after="160" w:line="259" w:lineRule="auto"/>
        <w:jc w:val="both"/>
        <w:rPr>
          <w:rFonts w:ascii="Century Schoolbook" w:hAnsi="Century Schoolbook"/>
          <w:b/>
          <w:bCs/>
          <w:sz w:val="26"/>
          <w:szCs w:val="26"/>
        </w:rPr>
      </w:pPr>
      <w:r w:rsidRPr="0049681B">
        <w:rPr>
          <w:rFonts w:ascii="Century Schoolbook" w:hAnsi="Century Schoolbook"/>
          <w:b/>
          <w:bCs/>
          <w:sz w:val="26"/>
          <w:szCs w:val="26"/>
        </w:rPr>
        <w:t>Record of the interview</w:t>
      </w:r>
    </w:p>
    <w:p w14:paraId="4CA14B14" w14:textId="4B760EE5" w:rsidR="00CA6CBB" w:rsidRPr="0049681B" w:rsidRDefault="00CA6CBB" w:rsidP="0049681B">
      <w:pPr>
        <w:pStyle w:val="ListParagraph"/>
        <w:numPr>
          <w:ilvl w:val="0"/>
          <w:numId w:val="15"/>
        </w:numPr>
        <w:spacing w:after="160" w:line="259" w:lineRule="auto"/>
        <w:ind w:left="1080"/>
        <w:jc w:val="both"/>
        <w:rPr>
          <w:rFonts w:ascii="Century Schoolbook" w:hAnsi="Century Schoolbook"/>
          <w:sz w:val="26"/>
          <w:szCs w:val="26"/>
        </w:rPr>
      </w:pPr>
      <w:r w:rsidRPr="0049681B">
        <w:rPr>
          <w:rFonts w:ascii="Century Schoolbook" w:hAnsi="Century Schoolbook"/>
          <w:sz w:val="26"/>
          <w:szCs w:val="26"/>
        </w:rPr>
        <w:t>[No change]</w:t>
      </w:r>
    </w:p>
    <w:p w14:paraId="62CA297C" w14:textId="77777777" w:rsidR="00CA6CBB" w:rsidRPr="0049681B" w:rsidRDefault="00CA6CBB" w:rsidP="0049681B">
      <w:pPr>
        <w:pStyle w:val="ListParagraph"/>
        <w:numPr>
          <w:ilvl w:val="0"/>
          <w:numId w:val="15"/>
        </w:numPr>
        <w:spacing w:after="160" w:line="259" w:lineRule="auto"/>
        <w:ind w:left="1080"/>
        <w:jc w:val="both"/>
        <w:rPr>
          <w:rFonts w:ascii="Century Schoolbook" w:hAnsi="Century Schoolbook"/>
          <w:sz w:val="26"/>
          <w:szCs w:val="26"/>
        </w:rPr>
      </w:pPr>
      <w:r w:rsidRPr="0049681B">
        <w:rPr>
          <w:rFonts w:ascii="Century Schoolbook" w:hAnsi="Century Schoolbook"/>
          <w:i/>
          <w:iCs/>
          <w:sz w:val="26"/>
          <w:szCs w:val="26"/>
        </w:rPr>
        <w:t>Sealing</w:t>
      </w:r>
      <w:r w:rsidRPr="0049681B">
        <w:rPr>
          <w:rFonts w:ascii="Century Schoolbook" w:hAnsi="Century Schoolbook"/>
          <w:sz w:val="26"/>
          <w:szCs w:val="26"/>
        </w:rPr>
        <w:t xml:space="preserve">.  For good cause and after considering the child’s best interests, the court may seal from the public all or part of the record of the interview.  </w:t>
      </w:r>
      <w:r w:rsidRPr="0049681B">
        <w:rPr>
          <w:rFonts w:ascii="Century Schoolbook" w:hAnsi="Century Schoolbook"/>
          <w:b/>
          <w:bCs/>
          <w:sz w:val="26"/>
          <w:szCs w:val="26"/>
          <w:u w:val="single"/>
        </w:rPr>
        <w:t>If the record of the interview, or any part thereof, is admitted into evidence, the court may also seal from the public that record or part thereof.</w:t>
      </w:r>
    </w:p>
    <w:p w14:paraId="00A6777B" w14:textId="77777777" w:rsidR="00CA6CBB" w:rsidRPr="0049681B" w:rsidRDefault="00CA6CBB" w:rsidP="0049681B">
      <w:pPr>
        <w:pStyle w:val="ListParagraph"/>
        <w:numPr>
          <w:ilvl w:val="0"/>
          <w:numId w:val="15"/>
        </w:numPr>
        <w:spacing w:after="160" w:line="259" w:lineRule="auto"/>
        <w:ind w:left="1080"/>
        <w:jc w:val="both"/>
        <w:rPr>
          <w:rFonts w:ascii="Century Schoolbook" w:hAnsi="Century Schoolbook"/>
          <w:sz w:val="26"/>
          <w:szCs w:val="26"/>
        </w:rPr>
      </w:pPr>
      <w:r w:rsidRPr="0049681B">
        <w:rPr>
          <w:rFonts w:ascii="Century Schoolbook" w:hAnsi="Century Schoolbook"/>
          <w:i/>
          <w:iCs/>
          <w:sz w:val="26"/>
          <w:szCs w:val="26"/>
        </w:rPr>
        <w:t>Availability to the Parties.</w:t>
      </w:r>
      <w:r w:rsidRPr="0049681B">
        <w:rPr>
          <w:rFonts w:ascii="Century Schoolbook" w:hAnsi="Century Schoolbook"/>
          <w:sz w:val="26"/>
          <w:szCs w:val="26"/>
        </w:rPr>
        <w:t xml:space="preserve">  The parties may stipulate that the court not provide them with a record of the interview</w:t>
      </w:r>
      <w:r w:rsidRPr="0049681B">
        <w:rPr>
          <w:rFonts w:ascii="Century Schoolbook" w:hAnsi="Century Schoolbook"/>
          <w:b/>
          <w:bCs/>
          <w:sz w:val="26"/>
          <w:szCs w:val="26"/>
          <w:u w:val="single"/>
        </w:rPr>
        <w:t>, including if the record or any part thereof is admitted into evidence</w:t>
      </w:r>
      <w:r w:rsidRPr="0049681B">
        <w:rPr>
          <w:rFonts w:ascii="Century Schoolbook" w:hAnsi="Century Schoolbook"/>
          <w:sz w:val="26"/>
          <w:szCs w:val="26"/>
        </w:rPr>
        <w:t>.  If a party makes a request for recording, the court must make the record available to the parties not later than 14 days before the hearing at which the court will consider the interview, unless the court finds good cause for a different deadline.</w:t>
      </w:r>
    </w:p>
    <w:p w14:paraId="0D425FB6" w14:textId="77777777" w:rsidR="00CA6CBB" w:rsidRPr="0049681B" w:rsidRDefault="00CA6CBB" w:rsidP="0049681B">
      <w:pPr>
        <w:pStyle w:val="ListParagraph"/>
        <w:numPr>
          <w:ilvl w:val="0"/>
          <w:numId w:val="15"/>
        </w:numPr>
        <w:spacing w:after="160" w:line="259" w:lineRule="auto"/>
        <w:ind w:left="1080"/>
        <w:jc w:val="both"/>
        <w:rPr>
          <w:rFonts w:ascii="Century Schoolbook" w:hAnsi="Century Schoolbook"/>
          <w:sz w:val="26"/>
          <w:szCs w:val="26"/>
        </w:rPr>
      </w:pPr>
      <w:r w:rsidRPr="0049681B">
        <w:rPr>
          <w:rFonts w:ascii="Century Schoolbook" w:hAnsi="Century Schoolbook"/>
          <w:b/>
          <w:bCs/>
          <w:i/>
          <w:iCs/>
          <w:sz w:val="26"/>
          <w:szCs w:val="26"/>
          <w:u w:val="single"/>
        </w:rPr>
        <w:t>Admissibility</w:t>
      </w:r>
      <w:r w:rsidRPr="0049681B">
        <w:rPr>
          <w:rFonts w:ascii="Century Schoolbook" w:hAnsi="Century Schoolbook"/>
          <w:b/>
          <w:bCs/>
          <w:sz w:val="26"/>
          <w:szCs w:val="26"/>
          <w:u w:val="single"/>
        </w:rPr>
        <w:t xml:space="preserve">.  The record of the interview shall be admissible in evidence, regardless of whether a party has filed a notice under Rule 2(a), provided that the record meets the requirements of Arizona Rules of Evidence 401-403.  </w:t>
      </w:r>
    </w:p>
    <w:p w14:paraId="35887CC4" w14:textId="77777777" w:rsidR="00CA6CBB" w:rsidRDefault="00CA6CBB" w:rsidP="0049681B">
      <w:pPr>
        <w:pStyle w:val="ListParagraph"/>
        <w:numPr>
          <w:ilvl w:val="0"/>
          <w:numId w:val="18"/>
        </w:numPr>
        <w:spacing w:after="160" w:line="259" w:lineRule="auto"/>
        <w:jc w:val="both"/>
        <w:rPr>
          <w:rFonts w:ascii="Century Schoolbook" w:hAnsi="Century Schoolbook"/>
          <w:b/>
          <w:bCs/>
          <w:sz w:val="26"/>
          <w:szCs w:val="26"/>
        </w:rPr>
      </w:pPr>
      <w:r w:rsidRPr="0049681B">
        <w:rPr>
          <w:rFonts w:ascii="Century Schoolbook" w:hAnsi="Century Schoolbook"/>
          <w:b/>
          <w:bCs/>
          <w:sz w:val="26"/>
          <w:szCs w:val="26"/>
        </w:rPr>
        <w:t xml:space="preserve">[No change] </w:t>
      </w:r>
    </w:p>
    <w:p w14:paraId="2F73E361" w14:textId="77777777" w:rsidR="0049681B" w:rsidRPr="0049681B" w:rsidRDefault="0049681B" w:rsidP="0049681B">
      <w:pPr>
        <w:pStyle w:val="ListParagraph"/>
        <w:spacing w:after="160" w:line="259" w:lineRule="auto"/>
        <w:jc w:val="both"/>
        <w:rPr>
          <w:rFonts w:ascii="Century Schoolbook" w:hAnsi="Century Schoolbook"/>
          <w:b/>
          <w:bCs/>
          <w:sz w:val="26"/>
          <w:szCs w:val="26"/>
        </w:rPr>
      </w:pPr>
    </w:p>
    <w:p w14:paraId="3C25D997" w14:textId="43F5F338" w:rsidR="00CA6CBB" w:rsidRDefault="00CA6CBB" w:rsidP="001B6EAB">
      <w:pPr>
        <w:spacing w:line="480" w:lineRule="auto"/>
        <w:jc w:val="both"/>
        <w:rPr>
          <w:rFonts w:ascii="Century Schoolbook" w:hAnsi="Century Schoolbook"/>
          <w:bCs/>
          <w:color w:val="000000"/>
          <w:sz w:val="26"/>
          <w:szCs w:val="26"/>
        </w:rPr>
      </w:pPr>
      <w:r>
        <w:rPr>
          <w:rFonts w:ascii="Century Schoolbook" w:hAnsi="Century Schoolbook"/>
          <w:bCs/>
          <w:color w:val="000000"/>
          <w:sz w:val="26"/>
          <w:szCs w:val="26"/>
        </w:rPr>
        <w:t>If the Court wishes, COFC is willing to submit proposed revisions to Rule 12, ARFLP, as a freestanding rule petition to be considered in next year’s rule cycle.</w:t>
      </w:r>
      <w:r w:rsidR="001B6EAB">
        <w:rPr>
          <w:rFonts w:ascii="Century Schoolbook" w:hAnsi="Century Schoolbook"/>
          <w:bCs/>
          <w:color w:val="000000"/>
          <w:sz w:val="26"/>
          <w:szCs w:val="26"/>
        </w:rPr>
        <w:t xml:space="preserve"> However, COFC respectfully submits that the State Bar’s proposed Rule 2(e) provision regarding hearsay should not be adopted.</w:t>
      </w:r>
    </w:p>
    <w:p w14:paraId="28586B66" w14:textId="23E97207" w:rsidR="001B6EAB" w:rsidRDefault="001B0F2A" w:rsidP="001B0F2A">
      <w:pPr>
        <w:spacing w:line="480" w:lineRule="auto"/>
        <w:ind w:left="144"/>
        <w:jc w:val="both"/>
        <w:rPr>
          <w:rFonts w:ascii="Century Schoolbook" w:hAnsi="Century Schoolbook"/>
          <w:bCs/>
          <w:color w:val="000000"/>
          <w:sz w:val="26"/>
          <w:szCs w:val="26"/>
        </w:rPr>
      </w:pPr>
      <w:r>
        <w:rPr>
          <w:rFonts w:ascii="Century Schoolbook" w:hAnsi="Century Schoolbook"/>
          <w:bCs/>
          <w:color w:val="000000"/>
          <w:sz w:val="26"/>
          <w:szCs w:val="26"/>
        </w:rPr>
        <w:tab/>
      </w:r>
      <w:r w:rsidR="00B0486D">
        <w:rPr>
          <w:rFonts w:ascii="Century Schoolbook" w:hAnsi="Century Schoolbook"/>
          <w:bCs/>
          <w:color w:val="000000"/>
          <w:sz w:val="26"/>
          <w:szCs w:val="26"/>
        </w:rPr>
        <w:t xml:space="preserve"> </w:t>
      </w:r>
      <w:r w:rsidR="00E614FC" w:rsidRPr="000B7555">
        <w:rPr>
          <w:rFonts w:ascii="Century Schoolbook" w:hAnsi="Century Schoolbook"/>
          <w:bCs/>
          <w:color w:val="000000"/>
          <w:sz w:val="26"/>
          <w:szCs w:val="26"/>
        </w:rPr>
        <w:t xml:space="preserve">For the foregoing reasons, COFC respectfully requests that the Court </w:t>
      </w:r>
      <w:r w:rsidR="001B6EAB">
        <w:rPr>
          <w:rFonts w:ascii="Century Schoolbook" w:hAnsi="Century Schoolbook"/>
          <w:bCs/>
          <w:color w:val="000000"/>
          <w:sz w:val="26"/>
          <w:szCs w:val="26"/>
        </w:rPr>
        <w:t xml:space="preserve">adopt the State Bar’s proposed new Rule 2(c) regarding revocation of a notice, deny the State Bar’s proposed changes to Rule 2(a), and decline to adopt the proposed Rule 2(e).  As to COFC’s proposed changes to Rule 12, COFC will follow the Court’s direction if the Court wishes to have a new petition filed on that proposed amendment. </w:t>
      </w:r>
    </w:p>
    <w:p w14:paraId="0C4395AF" w14:textId="72D96564" w:rsidR="001B0F2A" w:rsidRDefault="001B0F2A" w:rsidP="001B0F2A">
      <w:pPr>
        <w:spacing w:line="480" w:lineRule="auto"/>
        <w:ind w:left="144"/>
        <w:jc w:val="both"/>
        <w:rPr>
          <w:rFonts w:ascii="Century Schoolbook" w:hAnsi="Century Schoolbook"/>
          <w:sz w:val="26"/>
          <w:szCs w:val="26"/>
        </w:rPr>
      </w:pPr>
    </w:p>
    <w:p w14:paraId="13EAD0F2" w14:textId="247C07A1" w:rsidR="00C41CA7" w:rsidRPr="000B7555" w:rsidRDefault="001B0F2A" w:rsidP="00511B7B">
      <w:pPr>
        <w:rPr>
          <w:rFonts w:ascii="Century Schoolbook" w:hAnsi="Century Schoolbook"/>
          <w:sz w:val="26"/>
          <w:szCs w:val="26"/>
        </w:rPr>
      </w:pPr>
      <w:r>
        <w:rPr>
          <w:rFonts w:ascii="Century Schoolbook" w:hAnsi="Century Schoolbook"/>
          <w:sz w:val="26"/>
          <w:szCs w:val="26"/>
        </w:rPr>
        <w:tab/>
      </w:r>
      <w:r w:rsidR="00511B7B" w:rsidRPr="000B7555">
        <w:rPr>
          <w:rFonts w:ascii="Century Schoolbook" w:hAnsi="Century Schoolbook"/>
          <w:sz w:val="26"/>
          <w:szCs w:val="26"/>
        </w:rPr>
        <w:tab/>
      </w:r>
      <w:r w:rsidR="00511B7B" w:rsidRPr="000B7555">
        <w:rPr>
          <w:rFonts w:ascii="Century Schoolbook" w:hAnsi="Century Schoolbook"/>
          <w:sz w:val="26"/>
          <w:szCs w:val="26"/>
        </w:rPr>
        <w:tab/>
      </w:r>
      <w:r w:rsidR="00511B7B" w:rsidRPr="000B7555">
        <w:rPr>
          <w:rFonts w:ascii="Century Schoolbook" w:hAnsi="Century Schoolbook"/>
          <w:sz w:val="26"/>
          <w:szCs w:val="26"/>
        </w:rPr>
        <w:tab/>
      </w:r>
      <w:r w:rsidR="00C41CA7" w:rsidRPr="000B7555">
        <w:rPr>
          <w:rFonts w:ascii="Century Schoolbook" w:hAnsi="Century Schoolbook"/>
          <w:sz w:val="26"/>
          <w:szCs w:val="26"/>
        </w:rPr>
        <w:t xml:space="preserve">DATED this </w:t>
      </w:r>
      <w:r w:rsidR="00DE1A41">
        <w:rPr>
          <w:rFonts w:ascii="Century Schoolbook" w:hAnsi="Century Schoolbook"/>
          <w:sz w:val="26"/>
          <w:szCs w:val="26"/>
        </w:rPr>
        <w:t>30th</w:t>
      </w:r>
      <w:r w:rsidR="00D50863" w:rsidRPr="000B7555">
        <w:rPr>
          <w:rFonts w:ascii="Century Schoolbook" w:hAnsi="Century Schoolbook"/>
          <w:sz w:val="26"/>
          <w:szCs w:val="26"/>
        </w:rPr>
        <w:t xml:space="preserve"> </w:t>
      </w:r>
      <w:r w:rsidR="00C41CA7" w:rsidRPr="000B7555">
        <w:rPr>
          <w:rFonts w:ascii="Century Schoolbook" w:hAnsi="Century Schoolbook"/>
          <w:sz w:val="26"/>
          <w:szCs w:val="26"/>
        </w:rPr>
        <w:t xml:space="preserve">day of </w:t>
      </w:r>
      <w:r w:rsidR="003C3420" w:rsidRPr="000B7555">
        <w:rPr>
          <w:rFonts w:ascii="Century Schoolbook" w:hAnsi="Century Schoolbook"/>
          <w:sz w:val="26"/>
          <w:szCs w:val="26"/>
        </w:rPr>
        <w:t>April</w:t>
      </w:r>
      <w:r w:rsidR="00F42685" w:rsidRPr="000B7555">
        <w:rPr>
          <w:rFonts w:ascii="Century Schoolbook" w:hAnsi="Century Schoolbook"/>
          <w:sz w:val="26"/>
          <w:szCs w:val="26"/>
        </w:rPr>
        <w:t xml:space="preserve"> 2</w:t>
      </w:r>
      <w:r w:rsidR="00C41CA7" w:rsidRPr="000B7555">
        <w:rPr>
          <w:rFonts w:ascii="Century Schoolbook" w:hAnsi="Century Schoolbook"/>
          <w:sz w:val="26"/>
          <w:szCs w:val="26"/>
        </w:rPr>
        <w:t>0</w:t>
      </w:r>
      <w:r w:rsidR="00FA3A0D" w:rsidRPr="000B7555">
        <w:rPr>
          <w:rFonts w:ascii="Century Schoolbook" w:hAnsi="Century Schoolbook"/>
          <w:sz w:val="26"/>
          <w:szCs w:val="26"/>
        </w:rPr>
        <w:t>2</w:t>
      </w:r>
      <w:r w:rsidR="003C3420" w:rsidRPr="000B7555">
        <w:rPr>
          <w:rFonts w:ascii="Century Schoolbook" w:hAnsi="Century Schoolbook"/>
          <w:sz w:val="26"/>
          <w:szCs w:val="26"/>
        </w:rPr>
        <w:t>4</w:t>
      </w:r>
      <w:r w:rsidR="00C41CA7" w:rsidRPr="000B7555">
        <w:rPr>
          <w:rFonts w:ascii="Century Schoolbook" w:hAnsi="Century Schoolbook"/>
          <w:sz w:val="26"/>
          <w:szCs w:val="26"/>
        </w:rPr>
        <w:t>.</w:t>
      </w:r>
    </w:p>
    <w:p w14:paraId="6F2E5900" w14:textId="77777777" w:rsidR="005F4724" w:rsidRPr="000B7555" w:rsidRDefault="005F4724">
      <w:pPr>
        <w:jc w:val="both"/>
        <w:rPr>
          <w:rFonts w:ascii="Century Schoolbook" w:hAnsi="Century Schoolbook"/>
          <w:sz w:val="26"/>
          <w:szCs w:val="26"/>
        </w:rPr>
      </w:pPr>
    </w:p>
    <w:p w14:paraId="257CB363" w14:textId="464FB67B" w:rsidR="00C41CA7" w:rsidRDefault="00FF2B36" w:rsidP="00B44D1E">
      <w:pPr>
        <w:jc w:val="both"/>
        <w:rPr>
          <w:rFonts w:ascii="Century Schoolbook" w:hAnsi="Century Schoolbook"/>
          <w:sz w:val="26"/>
          <w:szCs w:val="26"/>
        </w:rPr>
      </w:pPr>
      <w:r w:rsidRPr="000B7555">
        <w:rPr>
          <w:rFonts w:ascii="Century Schoolbook" w:hAnsi="Century Schoolbook"/>
          <w:sz w:val="26"/>
          <w:szCs w:val="26"/>
        </w:rPr>
        <w:tab/>
      </w:r>
      <w:r w:rsidRPr="000B7555">
        <w:rPr>
          <w:rFonts w:ascii="Century Schoolbook" w:hAnsi="Century Schoolbook"/>
          <w:sz w:val="26"/>
          <w:szCs w:val="26"/>
        </w:rPr>
        <w:tab/>
      </w:r>
      <w:r w:rsidR="00DD4E3C" w:rsidRPr="000B7555">
        <w:rPr>
          <w:rFonts w:ascii="Century Schoolbook" w:hAnsi="Century Schoolbook"/>
          <w:sz w:val="26"/>
          <w:szCs w:val="26"/>
        </w:rPr>
        <w:tab/>
      </w:r>
      <w:r w:rsidR="00DD4E3C" w:rsidRPr="000B7555">
        <w:rPr>
          <w:rFonts w:ascii="Century Schoolbook" w:hAnsi="Century Schoolbook"/>
          <w:sz w:val="26"/>
          <w:szCs w:val="26"/>
        </w:rPr>
        <w:tab/>
      </w:r>
      <w:r w:rsidRPr="000B7555">
        <w:rPr>
          <w:rFonts w:ascii="Century Schoolbook" w:hAnsi="Century Schoolbook"/>
          <w:sz w:val="26"/>
          <w:szCs w:val="26"/>
        </w:rPr>
        <w:tab/>
      </w:r>
      <w:r w:rsidRPr="000B7555">
        <w:rPr>
          <w:rFonts w:ascii="Century Schoolbook" w:hAnsi="Century Schoolbook"/>
          <w:sz w:val="26"/>
          <w:szCs w:val="26"/>
        </w:rPr>
        <w:tab/>
      </w:r>
      <w:r w:rsidR="00F42685" w:rsidRPr="000B7555">
        <w:rPr>
          <w:rFonts w:ascii="Century Schoolbook" w:hAnsi="Century Schoolbook"/>
          <w:sz w:val="26"/>
          <w:szCs w:val="26"/>
        </w:rPr>
        <w:t>Greg Sakall</w:t>
      </w:r>
    </w:p>
    <w:p w14:paraId="5A1D7BB1" w14:textId="77777777" w:rsidR="001B6EAB" w:rsidRPr="000B7555" w:rsidRDefault="001B6EAB" w:rsidP="00B44D1E">
      <w:pPr>
        <w:jc w:val="both"/>
        <w:rPr>
          <w:rFonts w:ascii="Century Schoolbook" w:hAnsi="Century Schoolbook"/>
          <w:sz w:val="26"/>
          <w:szCs w:val="26"/>
        </w:rPr>
      </w:pPr>
    </w:p>
    <w:p w14:paraId="081CDB18" w14:textId="1C9452BC" w:rsidR="00656F65" w:rsidRPr="000B7555" w:rsidRDefault="00656F65" w:rsidP="00B44D1E">
      <w:pPr>
        <w:jc w:val="both"/>
        <w:rPr>
          <w:rFonts w:ascii="Century Schoolbook" w:hAnsi="Century Schoolbook"/>
          <w:sz w:val="26"/>
          <w:szCs w:val="26"/>
        </w:rPr>
      </w:pPr>
      <w:r w:rsidRPr="000B7555">
        <w:rPr>
          <w:rFonts w:ascii="Century Schoolbook" w:hAnsi="Century Schoolbook"/>
          <w:sz w:val="26"/>
          <w:szCs w:val="26"/>
        </w:rPr>
        <w:tab/>
      </w:r>
      <w:r w:rsidRPr="000B7555">
        <w:rPr>
          <w:rFonts w:ascii="Century Schoolbook" w:hAnsi="Century Schoolbook"/>
          <w:sz w:val="26"/>
          <w:szCs w:val="26"/>
        </w:rPr>
        <w:tab/>
      </w:r>
      <w:r w:rsidRPr="000B7555">
        <w:rPr>
          <w:rFonts w:ascii="Century Schoolbook" w:hAnsi="Century Schoolbook"/>
          <w:sz w:val="26"/>
          <w:szCs w:val="26"/>
        </w:rPr>
        <w:tab/>
      </w:r>
      <w:r w:rsidRPr="000B7555">
        <w:rPr>
          <w:rFonts w:ascii="Century Schoolbook" w:hAnsi="Century Schoolbook"/>
          <w:sz w:val="26"/>
          <w:szCs w:val="26"/>
        </w:rPr>
        <w:tab/>
      </w:r>
      <w:r w:rsidRPr="000B7555">
        <w:rPr>
          <w:rFonts w:ascii="Century Schoolbook" w:hAnsi="Century Schoolbook"/>
          <w:sz w:val="26"/>
          <w:szCs w:val="26"/>
        </w:rPr>
        <w:tab/>
      </w:r>
      <w:r w:rsidRPr="000B7555">
        <w:rPr>
          <w:rFonts w:ascii="Century Schoolbook" w:hAnsi="Century Schoolbook"/>
          <w:sz w:val="26"/>
          <w:szCs w:val="26"/>
        </w:rPr>
        <w:tab/>
        <w:t xml:space="preserve">Chair, </w:t>
      </w:r>
      <w:r w:rsidR="001B6EAB" w:rsidRPr="000B7555">
        <w:rPr>
          <w:rFonts w:ascii="Century Schoolbook" w:hAnsi="Century Schoolbook"/>
          <w:sz w:val="26"/>
          <w:szCs w:val="26"/>
        </w:rPr>
        <w:t>Committee</w:t>
      </w:r>
      <w:r w:rsidR="003C3420" w:rsidRPr="000B7555">
        <w:rPr>
          <w:rFonts w:ascii="Century Schoolbook" w:hAnsi="Century Schoolbook"/>
          <w:sz w:val="26"/>
          <w:szCs w:val="26"/>
        </w:rPr>
        <w:t xml:space="preserve"> on Family Court</w:t>
      </w:r>
    </w:p>
    <w:p w14:paraId="3A429070" w14:textId="044BC89A" w:rsidR="00E63346" w:rsidRPr="00E63346" w:rsidRDefault="00E63346" w:rsidP="00F42685">
      <w:pPr>
        <w:rPr>
          <w:sz w:val="28"/>
          <w:szCs w:val="28"/>
        </w:rPr>
      </w:pPr>
    </w:p>
    <w:sectPr w:rsidR="00E63346" w:rsidRPr="00E63346" w:rsidSect="0027550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B04D" w14:textId="77777777" w:rsidR="006F4DC1" w:rsidRDefault="006F4DC1">
      <w:r>
        <w:separator/>
      </w:r>
    </w:p>
  </w:endnote>
  <w:endnote w:type="continuationSeparator" w:id="0">
    <w:p w14:paraId="25A6EA21" w14:textId="77777777" w:rsidR="006F4DC1" w:rsidRDefault="006F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67BA" w14:textId="62691BC1" w:rsidR="003D73E0" w:rsidRDefault="003D73E0">
    <w:pPr>
      <w:pStyle w:val="Footer"/>
      <w:jc w:val="center"/>
    </w:pPr>
    <w:r>
      <w:t xml:space="preserve">Page </w:t>
    </w:r>
    <w:r w:rsidR="00994665">
      <w:fldChar w:fldCharType="begin"/>
    </w:r>
    <w:r w:rsidR="00994665">
      <w:instrText xml:space="preserve"> PAGE </w:instrText>
    </w:r>
    <w:r w:rsidR="00994665">
      <w:fldChar w:fldCharType="separate"/>
    </w:r>
    <w:r w:rsidR="00E03DC7">
      <w:rPr>
        <w:noProof/>
      </w:rPr>
      <w:t>6</w:t>
    </w:r>
    <w:r w:rsidR="00994665">
      <w:rPr>
        <w:noProof/>
      </w:rPr>
      <w:fldChar w:fldCharType="end"/>
    </w:r>
    <w:r>
      <w:t xml:space="preserve"> of </w:t>
    </w:r>
    <w:r w:rsidR="00AE7B4C">
      <w:fldChar w:fldCharType="begin"/>
    </w:r>
    <w:r w:rsidR="00AE7B4C">
      <w:instrText xml:space="preserve"> NUMPAGES </w:instrText>
    </w:r>
    <w:r w:rsidR="00AE7B4C">
      <w:fldChar w:fldCharType="separate"/>
    </w:r>
    <w:r w:rsidR="00E03DC7">
      <w:rPr>
        <w:noProof/>
      </w:rPr>
      <w:t>6</w:t>
    </w:r>
    <w:r w:rsidR="00AE7B4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CB55A" w14:textId="77777777" w:rsidR="006F4DC1" w:rsidRDefault="006F4DC1">
      <w:r>
        <w:separator/>
      </w:r>
    </w:p>
  </w:footnote>
  <w:footnote w:type="continuationSeparator" w:id="0">
    <w:p w14:paraId="4319F8C8" w14:textId="77777777" w:rsidR="006F4DC1" w:rsidRDefault="006F4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AE48" w14:textId="222724A8" w:rsidR="003D73E0" w:rsidRDefault="003D73E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126F6D40"/>
    <w:multiLevelType w:val="hybridMultilevel"/>
    <w:tmpl w:val="B46CFF8E"/>
    <w:lvl w:ilvl="0" w:tplc="68D8BBF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0B1EB9"/>
    <w:multiLevelType w:val="hybridMultilevel"/>
    <w:tmpl w:val="98709514"/>
    <w:lvl w:ilvl="0" w:tplc="267CB94E">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4" w15:restartNumberingAfterBreak="0">
    <w:nsid w:val="2FEB14AD"/>
    <w:multiLevelType w:val="hybridMultilevel"/>
    <w:tmpl w:val="6E3A3F4A"/>
    <w:lvl w:ilvl="0" w:tplc="9F1EBB2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6"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13796D"/>
    <w:multiLevelType w:val="hybridMultilevel"/>
    <w:tmpl w:val="2A184756"/>
    <w:lvl w:ilvl="0" w:tplc="7DFA63E2">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CE44800"/>
    <w:multiLevelType w:val="hybridMultilevel"/>
    <w:tmpl w:val="8ECCBE5E"/>
    <w:lvl w:ilvl="0" w:tplc="746234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5" w15:restartNumberingAfterBreak="0">
    <w:nsid w:val="6E212DA7"/>
    <w:multiLevelType w:val="hybridMultilevel"/>
    <w:tmpl w:val="373435FC"/>
    <w:lvl w:ilvl="0" w:tplc="9628E17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642546"/>
    <w:multiLevelType w:val="hybridMultilevel"/>
    <w:tmpl w:val="325E942A"/>
    <w:lvl w:ilvl="0" w:tplc="6DC6DE5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B582C4C"/>
    <w:multiLevelType w:val="hybridMultilevel"/>
    <w:tmpl w:val="CA1C0FFC"/>
    <w:lvl w:ilvl="0" w:tplc="490A84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1731860">
    <w:abstractNumId w:val="5"/>
  </w:num>
  <w:num w:numId="2" w16cid:durableId="1315571932">
    <w:abstractNumId w:val="10"/>
  </w:num>
  <w:num w:numId="3" w16cid:durableId="370226306">
    <w:abstractNumId w:val="12"/>
  </w:num>
  <w:num w:numId="4" w16cid:durableId="367801761">
    <w:abstractNumId w:val="3"/>
  </w:num>
  <w:num w:numId="5" w16cid:durableId="1139834692">
    <w:abstractNumId w:val="14"/>
  </w:num>
  <w:num w:numId="6" w16cid:durableId="499737626">
    <w:abstractNumId w:val="11"/>
  </w:num>
  <w:num w:numId="7" w16cid:durableId="978533070">
    <w:abstractNumId w:val="6"/>
  </w:num>
  <w:num w:numId="8" w16cid:durableId="1097822676">
    <w:abstractNumId w:val="9"/>
  </w:num>
  <w:num w:numId="9" w16cid:durableId="1751077909">
    <w:abstractNumId w:val="8"/>
  </w:num>
  <w:num w:numId="10" w16cid:durableId="502553845">
    <w:abstractNumId w:val="16"/>
  </w:num>
  <w:num w:numId="11" w16cid:durableId="1281759209">
    <w:abstractNumId w:val="0"/>
  </w:num>
  <w:num w:numId="12" w16cid:durableId="1967393919">
    <w:abstractNumId w:val="2"/>
  </w:num>
  <w:num w:numId="13" w16cid:durableId="708797848">
    <w:abstractNumId w:val="1"/>
  </w:num>
  <w:num w:numId="14" w16cid:durableId="1857577867">
    <w:abstractNumId w:val="15"/>
  </w:num>
  <w:num w:numId="15" w16cid:durableId="890264636">
    <w:abstractNumId w:val="18"/>
  </w:num>
  <w:num w:numId="16" w16cid:durableId="939335300">
    <w:abstractNumId w:val="17"/>
  </w:num>
  <w:num w:numId="17" w16cid:durableId="2087678188">
    <w:abstractNumId w:val="7"/>
  </w:num>
  <w:num w:numId="18" w16cid:durableId="1095974057">
    <w:abstractNumId w:val="4"/>
  </w:num>
  <w:num w:numId="19" w16cid:durableId="7084545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5B8F"/>
    <w:rsid w:val="000116F8"/>
    <w:rsid w:val="00014F13"/>
    <w:rsid w:val="000223B0"/>
    <w:rsid w:val="00025E1C"/>
    <w:rsid w:val="00032092"/>
    <w:rsid w:val="0004019A"/>
    <w:rsid w:val="000409A2"/>
    <w:rsid w:val="00041FC5"/>
    <w:rsid w:val="0004337F"/>
    <w:rsid w:val="000463A4"/>
    <w:rsid w:val="00051848"/>
    <w:rsid w:val="00051E43"/>
    <w:rsid w:val="00063A90"/>
    <w:rsid w:val="00063BA6"/>
    <w:rsid w:val="000648F0"/>
    <w:rsid w:val="00064955"/>
    <w:rsid w:val="00073A6B"/>
    <w:rsid w:val="000751FA"/>
    <w:rsid w:val="00083898"/>
    <w:rsid w:val="000840E6"/>
    <w:rsid w:val="00085CF0"/>
    <w:rsid w:val="000901C7"/>
    <w:rsid w:val="00096F15"/>
    <w:rsid w:val="000A1FDC"/>
    <w:rsid w:val="000A3E8A"/>
    <w:rsid w:val="000A717F"/>
    <w:rsid w:val="000B3931"/>
    <w:rsid w:val="000B4DFE"/>
    <w:rsid w:val="000B659A"/>
    <w:rsid w:val="000B7555"/>
    <w:rsid w:val="000B796A"/>
    <w:rsid w:val="000B7CD1"/>
    <w:rsid w:val="000C0A5C"/>
    <w:rsid w:val="000C2E61"/>
    <w:rsid w:val="000C7BFD"/>
    <w:rsid w:val="000D2FAF"/>
    <w:rsid w:val="000E3B3A"/>
    <w:rsid w:val="000E7EE1"/>
    <w:rsid w:val="000E7FF9"/>
    <w:rsid w:val="000F6A50"/>
    <w:rsid w:val="00102190"/>
    <w:rsid w:val="0010600C"/>
    <w:rsid w:val="00106D2F"/>
    <w:rsid w:val="001072BA"/>
    <w:rsid w:val="00111BC0"/>
    <w:rsid w:val="00114090"/>
    <w:rsid w:val="00117EC9"/>
    <w:rsid w:val="00120C0B"/>
    <w:rsid w:val="001239F6"/>
    <w:rsid w:val="001273D0"/>
    <w:rsid w:val="00127D52"/>
    <w:rsid w:val="00130F4B"/>
    <w:rsid w:val="00130FC7"/>
    <w:rsid w:val="001312F8"/>
    <w:rsid w:val="001344CE"/>
    <w:rsid w:val="00144F99"/>
    <w:rsid w:val="001451DE"/>
    <w:rsid w:val="00146B6B"/>
    <w:rsid w:val="00152F78"/>
    <w:rsid w:val="00170385"/>
    <w:rsid w:val="00183BD6"/>
    <w:rsid w:val="00192F27"/>
    <w:rsid w:val="00195CF1"/>
    <w:rsid w:val="001A3658"/>
    <w:rsid w:val="001A7EF9"/>
    <w:rsid w:val="001B0885"/>
    <w:rsid w:val="001B0F2A"/>
    <w:rsid w:val="001B1E56"/>
    <w:rsid w:val="001B24C0"/>
    <w:rsid w:val="001B29F1"/>
    <w:rsid w:val="001B6095"/>
    <w:rsid w:val="001B6EAB"/>
    <w:rsid w:val="001B776A"/>
    <w:rsid w:val="001C1D58"/>
    <w:rsid w:val="001C5AE5"/>
    <w:rsid w:val="001C6443"/>
    <w:rsid w:val="001D0D42"/>
    <w:rsid w:val="001D45EB"/>
    <w:rsid w:val="001D67FE"/>
    <w:rsid w:val="001E171A"/>
    <w:rsid w:val="001E366D"/>
    <w:rsid w:val="001E5458"/>
    <w:rsid w:val="001F2BB0"/>
    <w:rsid w:val="001F3F71"/>
    <w:rsid w:val="001F5A6E"/>
    <w:rsid w:val="0020046A"/>
    <w:rsid w:val="00201E2E"/>
    <w:rsid w:val="0020422E"/>
    <w:rsid w:val="00204415"/>
    <w:rsid w:val="00206DD7"/>
    <w:rsid w:val="00216D69"/>
    <w:rsid w:val="0022439E"/>
    <w:rsid w:val="002302DC"/>
    <w:rsid w:val="002316C8"/>
    <w:rsid w:val="00234107"/>
    <w:rsid w:val="002359D9"/>
    <w:rsid w:val="0024258E"/>
    <w:rsid w:val="00242E3F"/>
    <w:rsid w:val="002456DE"/>
    <w:rsid w:val="0024671E"/>
    <w:rsid w:val="00247574"/>
    <w:rsid w:val="002545BD"/>
    <w:rsid w:val="00254E37"/>
    <w:rsid w:val="002677D0"/>
    <w:rsid w:val="00275508"/>
    <w:rsid w:val="0028184B"/>
    <w:rsid w:val="00282245"/>
    <w:rsid w:val="00284052"/>
    <w:rsid w:val="002865A4"/>
    <w:rsid w:val="0029769D"/>
    <w:rsid w:val="002A118F"/>
    <w:rsid w:val="002A46BC"/>
    <w:rsid w:val="002A6082"/>
    <w:rsid w:val="002A62C5"/>
    <w:rsid w:val="002B3A01"/>
    <w:rsid w:val="002C4E08"/>
    <w:rsid w:val="002C75F3"/>
    <w:rsid w:val="002D22D6"/>
    <w:rsid w:val="002D5B9B"/>
    <w:rsid w:val="002E007E"/>
    <w:rsid w:val="002E4500"/>
    <w:rsid w:val="002E475E"/>
    <w:rsid w:val="002F4789"/>
    <w:rsid w:val="002F5030"/>
    <w:rsid w:val="002F52F0"/>
    <w:rsid w:val="002F68BE"/>
    <w:rsid w:val="00300D46"/>
    <w:rsid w:val="003037A0"/>
    <w:rsid w:val="00305EF7"/>
    <w:rsid w:val="0030696F"/>
    <w:rsid w:val="00307CA9"/>
    <w:rsid w:val="0031002A"/>
    <w:rsid w:val="00316C1C"/>
    <w:rsid w:val="0032354F"/>
    <w:rsid w:val="003357AF"/>
    <w:rsid w:val="00335AF8"/>
    <w:rsid w:val="00340337"/>
    <w:rsid w:val="003435EF"/>
    <w:rsid w:val="003533B4"/>
    <w:rsid w:val="0035709E"/>
    <w:rsid w:val="00370C5E"/>
    <w:rsid w:val="003815A3"/>
    <w:rsid w:val="00382EE8"/>
    <w:rsid w:val="00383275"/>
    <w:rsid w:val="00384804"/>
    <w:rsid w:val="00391B9E"/>
    <w:rsid w:val="00395568"/>
    <w:rsid w:val="00396276"/>
    <w:rsid w:val="003B5BA5"/>
    <w:rsid w:val="003C3420"/>
    <w:rsid w:val="003D26D4"/>
    <w:rsid w:val="003D2C42"/>
    <w:rsid w:val="003D5C2F"/>
    <w:rsid w:val="003D73E0"/>
    <w:rsid w:val="003E081A"/>
    <w:rsid w:val="003E0E59"/>
    <w:rsid w:val="003E248E"/>
    <w:rsid w:val="003E5250"/>
    <w:rsid w:val="003E7271"/>
    <w:rsid w:val="003E7C14"/>
    <w:rsid w:val="003F3D6C"/>
    <w:rsid w:val="003F4010"/>
    <w:rsid w:val="003F5521"/>
    <w:rsid w:val="003F7559"/>
    <w:rsid w:val="004057D7"/>
    <w:rsid w:val="0041229A"/>
    <w:rsid w:val="00415027"/>
    <w:rsid w:val="00430699"/>
    <w:rsid w:val="004323A2"/>
    <w:rsid w:val="004332E1"/>
    <w:rsid w:val="0043489C"/>
    <w:rsid w:val="00434DBF"/>
    <w:rsid w:val="0044074C"/>
    <w:rsid w:val="00440C7F"/>
    <w:rsid w:val="004462DA"/>
    <w:rsid w:val="004474C2"/>
    <w:rsid w:val="004501CF"/>
    <w:rsid w:val="00450A4A"/>
    <w:rsid w:val="00452A0D"/>
    <w:rsid w:val="00452CFA"/>
    <w:rsid w:val="0046594B"/>
    <w:rsid w:val="0046620F"/>
    <w:rsid w:val="0046704A"/>
    <w:rsid w:val="004752C5"/>
    <w:rsid w:val="00477F01"/>
    <w:rsid w:val="00480307"/>
    <w:rsid w:val="004810E5"/>
    <w:rsid w:val="00482F54"/>
    <w:rsid w:val="00493EB1"/>
    <w:rsid w:val="0049681B"/>
    <w:rsid w:val="004A315C"/>
    <w:rsid w:val="004A330A"/>
    <w:rsid w:val="004A7FEA"/>
    <w:rsid w:val="004B7C64"/>
    <w:rsid w:val="004C5D91"/>
    <w:rsid w:val="004D3EFD"/>
    <w:rsid w:val="004D4CF6"/>
    <w:rsid w:val="004D5499"/>
    <w:rsid w:val="004D5DCB"/>
    <w:rsid w:val="004D673E"/>
    <w:rsid w:val="004E3A71"/>
    <w:rsid w:val="004E3B4E"/>
    <w:rsid w:val="004F0F4B"/>
    <w:rsid w:val="004F27D7"/>
    <w:rsid w:val="004F4361"/>
    <w:rsid w:val="004F52C0"/>
    <w:rsid w:val="004F723D"/>
    <w:rsid w:val="0050019B"/>
    <w:rsid w:val="00502A7F"/>
    <w:rsid w:val="0050353F"/>
    <w:rsid w:val="005045A9"/>
    <w:rsid w:val="0051058D"/>
    <w:rsid w:val="00511B7B"/>
    <w:rsid w:val="00511C3F"/>
    <w:rsid w:val="005178FF"/>
    <w:rsid w:val="00526E00"/>
    <w:rsid w:val="00526EB7"/>
    <w:rsid w:val="00544249"/>
    <w:rsid w:val="00554F84"/>
    <w:rsid w:val="0055679E"/>
    <w:rsid w:val="00557B78"/>
    <w:rsid w:val="005608E5"/>
    <w:rsid w:val="00562710"/>
    <w:rsid w:val="00562DC5"/>
    <w:rsid w:val="005638E2"/>
    <w:rsid w:val="00570C3E"/>
    <w:rsid w:val="00571B9D"/>
    <w:rsid w:val="00572F45"/>
    <w:rsid w:val="00574F2A"/>
    <w:rsid w:val="00576CB9"/>
    <w:rsid w:val="00576ECC"/>
    <w:rsid w:val="005865D1"/>
    <w:rsid w:val="005975AF"/>
    <w:rsid w:val="005B0047"/>
    <w:rsid w:val="005B5507"/>
    <w:rsid w:val="005B6C1F"/>
    <w:rsid w:val="005C08D4"/>
    <w:rsid w:val="005C163E"/>
    <w:rsid w:val="005C3F6A"/>
    <w:rsid w:val="005C49A0"/>
    <w:rsid w:val="005C79BD"/>
    <w:rsid w:val="005D3E3C"/>
    <w:rsid w:val="005D5A20"/>
    <w:rsid w:val="005E02DD"/>
    <w:rsid w:val="005F1FBA"/>
    <w:rsid w:val="005F2E95"/>
    <w:rsid w:val="005F4724"/>
    <w:rsid w:val="005F7BBA"/>
    <w:rsid w:val="006007F5"/>
    <w:rsid w:val="0060153C"/>
    <w:rsid w:val="0060188F"/>
    <w:rsid w:val="006052DE"/>
    <w:rsid w:val="00605591"/>
    <w:rsid w:val="006072CC"/>
    <w:rsid w:val="006123CF"/>
    <w:rsid w:val="00616412"/>
    <w:rsid w:val="006169F1"/>
    <w:rsid w:val="00620FC1"/>
    <w:rsid w:val="00623CFC"/>
    <w:rsid w:val="00634487"/>
    <w:rsid w:val="00635A07"/>
    <w:rsid w:val="00642063"/>
    <w:rsid w:val="006474B1"/>
    <w:rsid w:val="00656F65"/>
    <w:rsid w:val="0066614A"/>
    <w:rsid w:val="00667F71"/>
    <w:rsid w:val="0068049A"/>
    <w:rsid w:val="006807E9"/>
    <w:rsid w:val="00681559"/>
    <w:rsid w:val="00695322"/>
    <w:rsid w:val="00695E49"/>
    <w:rsid w:val="0069607B"/>
    <w:rsid w:val="006A2418"/>
    <w:rsid w:val="006A37E5"/>
    <w:rsid w:val="006A444D"/>
    <w:rsid w:val="006B3DAB"/>
    <w:rsid w:val="006C2C84"/>
    <w:rsid w:val="006C392B"/>
    <w:rsid w:val="006C5DDB"/>
    <w:rsid w:val="006D29CD"/>
    <w:rsid w:val="006D5FFA"/>
    <w:rsid w:val="006E25A3"/>
    <w:rsid w:val="006E4886"/>
    <w:rsid w:val="006E58F6"/>
    <w:rsid w:val="006F1DDD"/>
    <w:rsid w:val="006F4DC1"/>
    <w:rsid w:val="006F60FA"/>
    <w:rsid w:val="007013A1"/>
    <w:rsid w:val="007032F0"/>
    <w:rsid w:val="007041AC"/>
    <w:rsid w:val="00707AF0"/>
    <w:rsid w:val="00716C66"/>
    <w:rsid w:val="00722CF5"/>
    <w:rsid w:val="0072677F"/>
    <w:rsid w:val="00726D5D"/>
    <w:rsid w:val="007348FA"/>
    <w:rsid w:val="00736BCA"/>
    <w:rsid w:val="00737054"/>
    <w:rsid w:val="00741D65"/>
    <w:rsid w:val="007519C8"/>
    <w:rsid w:val="00753474"/>
    <w:rsid w:val="00753937"/>
    <w:rsid w:val="007557DA"/>
    <w:rsid w:val="00761605"/>
    <w:rsid w:val="00761B7F"/>
    <w:rsid w:val="00763789"/>
    <w:rsid w:val="007640C5"/>
    <w:rsid w:val="00771B9A"/>
    <w:rsid w:val="00792D43"/>
    <w:rsid w:val="007977BA"/>
    <w:rsid w:val="007B3A55"/>
    <w:rsid w:val="007C32D8"/>
    <w:rsid w:val="007C553F"/>
    <w:rsid w:val="007D2FAD"/>
    <w:rsid w:val="007D319C"/>
    <w:rsid w:val="007E3BF3"/>
    <w:rsid w:val="007E4DB1"/>
    <w:rsid w:val="007E6660"/>
    <w:rsid w:val="007F2643"/>
    <w:rsid w:val="007F2FC5"/>
    <w:rsid w:val="007F400A"/>
    <w:rsid w:val="007F7E66"/>
    <w:rsid w:val="00801C5D"/>
    <w:rsid w:val="00806EBD"/>
    <w:rsid w:val="0081060F"/>
    <w:rsid w:val="00815E38"/>
    <w:rsid w:val="008173DD"/>
    <w:rsid w:val="0082137A"/>
    <w:rsid w:val="008248E9"/>
    <w:rsid w:val="00825D70"/>
    <w:rsid w:val="00833F02"/>
    <w:rsid w:val="0083401C"/>
    <w:rsid w:val="00862AF7"/>
    <w:rsid w:val="008638BD"/>
    <w:rsid w:val="00864791"/>
    <w:rsid w:val="008762A8"/>
    <w:rsid w:val="00877F62"/>
    <w:rsid w:val="008908F0"/>
    <w:rsid w:val="00896BBC"/>
    <w:rsid w:val="0089734A"/>
    <w:rsid w:val="008A2501"/>
    <w:rsid w:val="008A38E5"/>
    <w:rsid w:val="008A412C"/>
    <w:rsid w:val="008A5797"/>
    <w:rsid w:val="008A57BD"/>
    <w:rsid w:val="008B0AD4"/>
    <w:rsid w:val="008B4879"/>
    <w:rsid w:val="008B5A58"/>
    <w:rsid w:val="008C2B2E"/>
    <w:rsid w:val="008C2D19"/>
    <w:rsid w:val="008C3FAC"/>
    <w:rsid w:val="008C5F77"/>
    <w:rsid w:val="008D3C25"/>
    <w:rsid w:val="008D3E3D"/>
    <w:rsid w:val="008D4F6B"/>
    <w:rsid w:val="008D5CC9"/>
    <w:rsid w:val="008E2030"/>
    <w:rsid w:val="008E7E85"/>
    <w:rsid w:val="008F23C1"/>
    <w:rsid w:val="00900F3E"/>
    <w:rsid w:val="00907D53"/>
    <w:rsid w:val="0091039C"/>
    <w:rsid w:val="009107A9"/>
    <w:rsid w:val="00910CC0"/>
    <w:rsid w:val="00911026"/>
    <w:rsid w:val="00911252"/>
    <w:rsid w:val="009247F4"/>
    <w:rsid w:val="009305B9"/>
    <w:rsid w:val="009324D3"/>
    <w:rsid w:val="00933F59"/>
    <w:rsid w:val="009352D0"/>
    <w:rsid w:val="009357D1"/>
    <w:rsid w:val="00937694"/>
    <w:rsid w:val="00942509"/>
    <w:rsid w:val="009459AF"/>
    <w:rsid w:val="00946825"/>
    <w:rsid w:val="00946E7C"/>
    <w:rsid w:val="009517C3"/>
    <w:rsid w:val="00955184"/>
    <w:rsid w:val="00955590"/>
    <w:rsid w:val="00955820"/>
    <w:rsid w:val="009576A4"/>
    <w:rsid w:val="009667CB"/>
    <w:rsid w:val="00985041"/>
    <w:rsid w:val="00985437"/>
    <w:rsid w:val="00986AEC"/>
    <w:rsid w:val="00986FBF"/>
    <w:rsid w:val="00987C00"/>
    <w:rsid w:val="00994665"/>
    <w:rsid w:val="00997439"/>
    <w:rsid w:val="00997F98"/>
    <w:rsid w:val="009A7D92"/>
    <w:rsid w:val="009B3E3D"/>
    <w:rsid w:val="009C273A"/>
    <w:rsid w:val="009C3B71"/>
    <w:rsid w:val="009D0114"/>
    <w:rsid w:val="009D231B"/>
    <w:rsid w:val="009D2A8B"/>
    <w:rsid w:val="009F0414"/>
    <w:rsid w:val="009F35CF"/>
    <w:rsid w:val="00A008B8"/>
    <w:rsid w:val="00A016E3"/>
    <w:rsid w:val="00A01980"/>
    <w:rsid w:val="00A072CF"/>
    <w:rsid w:val="00A13BE5"/>
    <w:rsid w:val="00A22F5E"/>
    <w:rsid w:val="00A33841"/>
    <w:rsid w:val="00A400D4"/>
    <w:rsid w:val="00A4013E"/>
    <w:rsid w:val="00A42F0E"/>
    <w:rsid w:val="00A52967"/>
    <w:rsid w:val="00A530BF"/>
    <w:rsid w:val="00A603F5"/>
    <w:rsid w:val="00A61FF5"/>
    <w:rsid w:val="00A63081"/>
    <w:rsid w:val="00A64659"/>
    <w:rsid w:val="00A7057A"/>
    <w:rsid w:val="00A73AC8"/>
    <w:rsid w:val="00A740F4"/>
    <w:rsid w:val="00A745F9"/>
    <w:rsid w:val="00A75175"/>
    <w:rsid w:val="00A76F13"/>
    <w:rsid w:val="00A81C59"/>
    <w:rsid w:val="00AA07EF"/>
    <w:rsid w:val="00AA2169"/>
    <w:rsid w:val="00AA628E"/>
    <w:rsid w:val="00AB27F4"/>
    <w:rsid w:val="00AB3FAA"/>
    <w:rsid w:val="00AC4BF5"/>
    <w:rsid w:val="00AC774F"/>
    <w:rsid w:val="00AD5A93"/>
    <w:rsid w:val="00AE7B4C"/>
    <w:rsid w:val="00AF2BF1"/>
    <w:rsid w:val="00AF381A"/>
    <w:rsid w:val="00AF3BF5"/>
    <w:rsid w:val="00B021F3"/>
    <w:rsid w:val="00B0486D"/>
    <w:rsid w:val="00B12BA8"/>
    <w:rsid w:val="00B16560"/>
    <w:rsid w:val="00B2107D"/>
    <w:rsid w:val="00B23469"/>
    <w:rsid w:val="00B25902"/>
    <w:rsid w:val="00B363CF"/>
    <w:rsid w:val="00B376AE"/>
    <w:rsid w:val="00B44D1E"/>
    <w:rsid w:val="00B46592"/>
    <w:rsid w:val="00B54AB5"/>
    <w:rsid w:val="00B61F01"/>
    <w:rsid w:val="00B75179"/>
    <w:rsid w:val="00B80328"/>
    <w:rsid w:val="00B8061E"/>
    <w:rsid w:val="00B8069B"/>
    <w:rsid w:val="00B8156E"/>
    <w:rsid w:val="00B91E14"/>
    <w:rsid w:val="00B91FCC"/>
    <w:rsid w:val="00B93235"/>
    <w:rsid w:val="00BA1B8D"/>
    <w:rsid w:val="00BA2F6E"/>
    <w:rsid w:val="00BA340C"/>
    <w:rsid w:val="00BA4C8D"/>
    <w:rsid w:val="00BB058F"/>
    <w:rsid w:val="00BB2893"/>
    <w:rsid w:val="00BB3511"/>
    <w:rsid w:val="00BC1957"/>
    <w:rsid w:val="00BC212F"/>
    <w:rsid w:val="00BC383F"/>
    <w:rsid w:val="00BD092A"/>
    <w:rsid w:val="00BD373E"/>
    <w:rsid w:val="00BE69E3"/>
    <w:rsid w:val="00BF086C"/>
    <w:rsid w:val="00BF4EFC"/>
    <w:rsid w:val="00BF6C43"/>
    <w:rsid w:val="00C04B63"/>
    <w:rsid w:val="00C120DF"/>
    <w:rsid w:val="00C2299D"/>
    <w:rsid w:val="00C25222"/>
    <w:rsid w:val="00C30317"/>
    <w:rsid w:val="00C3615C"/>
    <w:rsid w:val="00C406F4"/>
    <w:rsid w:val="00C41CA7"/>
    <w:rsid w:val="00C46DBD"/>
    <w:rsid w:val="00C47226"/>
    <w:rsid w:val="00C47A05"/>
    <w:rsid w:val="00C47CEF"/>
    <w:rsid w:val="00C56400"/>
    <w:rsid w:val="00C5657E"/>
    <w:rsid w:val="00C624F9"/>
    <w:rsid w:val="00C632A7"/>
    <w:rsid w:val="00C64692"/>
    <w:rsid w:val="00C70F45"/>
    <w:rsid w:val="00C710D0"/>
    <w:rsid w:val="00C83DF2"/>
    <w:rsid w:val="00C90839"/>
    <w:rsid w:val="00C92353"/>
    <w:rsid w:val="00C96B21"/>
    <w:rsid w:val="00C973DD"/>
    <w:rsid w:val="00C97E1B"/>
    <w:rsid w:val="00CA0F80"/>
    <w:rsid w:val="00CA42CC"/>
    <w:rsid w:val="00CA6993"/>
    <w:rsid w:val="00CA6CBB"/>
    <w:rsid w:val="00CB05DC"/>
    <w:rsid w:val="00CB0763"/>
    <w:rsid w:val="00CB3213"/>
    <w:rsid w:val="00CB63C2"/>
    <w:rsid w:val="00CB69C5"/>
    <w:rsid w:val="00CC16E0"/>
    <w:rsid w:val="00CC1A82"/>
    <w:rsid w:val="00CD16FE"/>
    <w:rsid w:val="00CD7800"/>
    <w:rsid w:val="00CE7C0D"/>
    <w:rsid w:val="00CF1810"/>
    <w:rsid w:val="00CF5582"/>
    <w:rsid w:val="00CF7BC9"/>
    <w:rsid w:val="00CF7EB0"/>
    <w:rsid w:val="00CF7FA6"/>
    <w:rsid w:val="00D121BE"/>
    <w:rsid w:val="00D134ED"/>
    <w:rsid w:val="00D25ED1"/>
    <w:rsid w:val="00D27B00"/>
    <w:rsid w:val="00D27E20"/>
    <w:rsid w:val="00D34176"/>
    <w:rsid w:val="00D35218"/>
    <w:rsid w:val="00D4111E"/>
    <w:rsid w:val="00D50863"/>
    <w:rsid w:val="00D53861"/>
    <w:rsid w:val="00D5741D"/>
    <w:rsid w:val="00D63EE4"/>
    <w:rsid w:val="00D706E2"/>
    <w:rsid w:val="00D7114C"/>
    <w:rsid w:val="00D72696"/>
    <w:rsid w:val="00D8168F"/>
    <w:rsid w:val="00D87F80"/>
    <w:rsid w:val="00D90C79"/>
    <w:rsid w:val="00D930DA"/>
    <w:rsid w:val="00D93DB8"/>
    <w:rsid w:val="00D94362"/>
    <w:rsid w:val="00DA2ACF"/>
    <w:rsid w:val="00DA4BA5"/>
    <w:rsid w:val="00DA4DA0"/>
    <w:rsid w:val="00DA5F94"/>
    <w:rsid w:val="00DB06C6"/>
    <w:rsid w:val="00DB0A9E"/>
    <w:rsid w:val="00DB3F0A"/>
    <w:rsid w:val="00DB5037"/>
    <w:rsid w:val="00DC1F35"/>
    <w:rsid w:val="00DC293D"/>
    <w:rsid w:val="00DC38D9"/>
    <w:rsid w:val="00DC4A55"/>
    <w:rsid w:val="00DC5BE9"/>
    <w:rsid w:val="00DD1A0D"/>
    <w:rsid w:val="00DD4E3C"/>
    <w:rsid w:val="00DD7752"/>
    <w:rsid w:val="00DE1858"/>
    <w:rsid w:val="00DE1A41"/>
    <w:rsid w:val="00DE30E9"/>
    <w:rsid w:val="00DE3C62"/>
    <w:rsid w:val="00DE641A"/>
    <w:rsid w:val="00DE6792"/>
    <w:rsid w:val="00DF11B7"/>
    <w:rsid w:val="00DF1D22"/>
    <w:rsid w:val="00DF2847"/>
    <w:rsid w:val="00DF2BB5"/>
    <w:rsid w:val="00DF3168"/>
    <w:rsid w:val="00DF4649"/>
    <w:rsid w:val="00DF47D4"/>
    <w:rsid w:val="00DF54BF"/>
    <w:rsid w:val="00DF7EA1"/>
    <w:rsid w:val="00E01020"/>
    <w:rsid w:val="00E02B21"/>
    <w:rsid w:val="00E03DC7"/>
    <w:rsid w:val="00E03F27"/>
    <w:rsid w:val="00E05418"/>
    <w:rsid w:val="00E10DBA"/>
    <w:rsid w:val="00E203FC"/>
    <w:rsid w:val="00E20709"/>
    <w:rsid w:val="00E24ECC"/>
    <w:rsid w:val="00E31DA9"/>
    <w:rsid w:val="00E32482"/>
    <w:rsid w:val="00E42D45"/>
    <w:rsid w:val="00E46545"/>
    <w:rsid w:val="00E47AB7"/>
    <w:rsid w:val="00E507A4"/>
    <w:rsid w:val="00E516B1"/>
    <w:rsid w:val="00E542D8"/>
    <w:rsid w:val="00E56FBC"/>
    <w:rsid w:val="00E6068E"/>
    <w:rsid w:val="00E614FC"/>
    <w:rsid w:val="00E63346"/>
    <w:rsid w:val="00E6341E"/>
    <w:rsid w:val="00E65A66"/>
    <w:rsid w:val="00E803F6"/>
    <w:rsid w:val="00E80B48"/>
    <w:rsid w:val="00E8448E"/>
    <w:rsid w:val="00E84DB6"/>
    <w:rsid w:val="00E931EE"/>
    <w:rsid w:val="00E97073"/>
    <w:rsid w:val="00EA14C0"/>
    <w:rsid w:val="00EA7203"/>
    <w:rsid w:val="00ED04A5"/>
    <w:rsid w:val="00EE2BC2"/>
    <w:rsid w:val="00EE40B0"/>
    <w:rsid w:val="00EE40CC"/>
    <w:rsid w:val="00EE4124"/>
    <w:rsid w:val="00EE4847"/>
    <w:rsid w:val="00EE4D4F"/>
    <w:rsid w:val="00EF183A"/>
    <w:rsid w:val="00EF190C"/>
    <w:rsid w:val="00F0050C"/>
    <w:rsid w:val="00F10FDD"/>
    <w:rsid w:val="00F1190D"/>
    <w:rsid w:val="00F22097"/>
    <w:rsid w:val="00F24A39"/>
    <w:rsid w:val="00F27BF6"/>
    <w:rsid w:val="00F30C9B"/>
    <w:rsid w:val="00F3179C"/>
    <w:rsid w:val="00F321B7"/>
    <w:rsid w:val="00F33F76"/>
    <w:rsid w:val="00F3454B"/>
    <w:rsid w:val="00F40359"/>
    <w:rsid w:val="00F41A13"/>
    <w:rsid w:val="00F42685"/>
    <w:rsid w:val="00F4386D"/>
    <w:rsid w:val="00F46388"/>
    <w:rsid w:val="00F47F52"/>
    <w:rsid w:val="00F55BA6"/>
    <w:rsid w:val="00F70E28"/>
    <w:rsid w:val="00F73E2A"/>
    <w:rsid w:val="00F872D0"/>
    <w:rsid w:val="00F94293"/>
    <w:rsid w:val="00F94581"/>
    <w:rsid w:val="00F94782"/>
    <w:rsid w:val="00F94C43"/>
    <w:rsid w:val="00FA0D6A"/>
    <w:rsid w:val="00FA1543"/>
    <w:rsid w:val="00FA20F3"/>
    <w:rsid w:val="00FA3A0D"/>
    <w:rsid w:val="00FB1747"/>
    <w:rsid w:val="00FC1CFE"/>
    <w:rsid w:val="00FC2546"/>
    <w:rsid w:val="00FD2EB6"/>
    <w:rsid w:val="00FD4403"/>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69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ckard@courts.az.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7D7ADE-C61F-48A9-970B-4A05AB97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975</Words>
  <Characters>5558</Characters>
  <Application>Microsoft Office Word</Application>
  <DocSecurity>0</DocSecurity>
  <Lines>46</Lines>
  <Paragraphs>13</Paragraphs>
  <ScaleCrop>false</ScaleCrop>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2024-04-30T19:31:00Z</dcterms:created>
  <dcterms:modified xsi:type="dcterms:W3CDTF">2024-04-30T19:31:00Z</dcterms:modified>
</cp:coreProperties>
</file>