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9548" w14:textId="77777777" w:rsidR="00E931EE" w:rsidRPr="007F7B71" w:rsidRDefault="00E931EE" w:rsidP="00E931EE">
      <w:pPr>
        <w:jc w:val="both"/>
      </w:pPr>
      <w:r w:rsidRPr="007F7B71">
        <w:t>Greg Sakall</w:t>
      </w:r>
    </w:p>
    <w:p w14:paraId="0530BD22" w14:textId="77777777" w:rsidR="00E931EE" w:rsidRPr="007F7B71" w:rsidRDefault="00E931EE" w:rsidP="00E931EE">
      <w:r w:rsidRPr="007F7B71">
        <w:t>Judge, Division 23</w:t>
      </w:r>
    </w:p>
    <w:p w14:paraId="39D469E3" w14:textId="77777777" w:rsidR="00E931EE" w:rsidRPr="007F7B71" w:rsidRDefault="00E931EE" w:rsidP="00E931EE">
      <w:r w:rsidRPr="007F7B71">
        <w:t>Pima County Superior Court</w:t>
      </w:r>
    </w:p>
    <w:p w14:paraId="24EF0D92" w14:textId="77777777" w:rsidR="00E931EE" w:rsidRPr="007F7B71" w:rsidRDefault="00E931EE" w:rsidP="00E931EE">
      <w:r w:rsidRPr="007F7B71">
        <w:t>110 W Congress</w:t>
      </w:r>
    </w:p>
    <w:p w14:paraId="01E8674B" w14:textId="77777777" w:rsidR="00E931EE" w:rsidRPr="007F7B71" w:rsidRDefault="00E931EE" w:rsidP="00E931EE">
      <w:r w:rsidRPr="007F7B71">
        <w:t>Tucson, AZ 85701</w:t>
      </w:r>
    </w:p>
    <w:p w14:paraId="4BCF6623" w14:textId="77777777" w:rsidR="00E931EE" w:rsidRPr="007F7B71" w:rsidRDefault="00E931EE" w:rsidP="00E931EE">
      <w:r w:rsidRPr="007F7B71">
        <w:t>Telephone: (520) 724-8301</w:t>
      </w:r>
    </w:p>
    <w:p w14:paraId="6E8E27E7" w14:textId="77777777" w:rsidR="00E931EE" w:rsidRPr="007F7B71" w:rsidRDefault="007068FA" w:rsidP="00E931EE">
      <w:pPr>
        <w:jc w:val="both"/>
        <w:rPr>
          <w:color w:val="212121"/>
          <w:lang w:val="en"/>
        </w:rPr>
      </w:pPr>
      <w:hyperlink r:id="rId8" w:history="1">
        <w:r w:rsidR="00E931EE" w:rsidRPr="007F7B71">
          <w:rPr>
            <w:rStyle w:val="Hyperlink"/>
            <w:lang w:val="en"/>
          </w:rPr>
          <w:t>SPickard@courts.az.gov</w:t>
        </w:r>
      </w:hyperlink>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3C83C098" w14:textId="5FB6DD5A" w:rsidR="001451DE" w:rsidRPr="00A7057A" w:rsidRDefault="001451DE" w:rsidP="00A7057A">
      <w:pPr>
        <w:widowControl w:val="0"/>
        <w:autoSpaceDE w:val="0"/>
        <w:autoSpaceDN w:val="0"/>
        <w:adjustRightInd w:val="0"/>
        <w:ind w:left="4320" w:hanging="4320"/>
        <w:rPr>
          <w:color w:val="000000"/>
          <w:sz w:val="28"/>
          <w:szCs w:val="28"/>
        </w:rPr>
      </w:pPr>
      <w:r w:rsidRPr="001F3F71">
        <w:rPr>
          <w:color w:val="000000"/>
          <w:sz w:val="28"/>
          <w:szCs w:val="28"/>
        </w:rPr>
        <w:t xml:space="preserve">In the Matter of                  </w:t>
      </w:r>
      <w:r w:rsidR="001F3F71">
        <w:rPr>
          <w:color w:val="000000"/>
          <w:sz w:val="28"/>
          <w:szCs w:val="28"/>
        </w:rPr>
        <w:t xml:space="preserve">                </w:t>
      </w:r>
      <w:proofErr w:type="gramStart"/>
      <w:r w:rsidR="00A7057A">
        <w:rPr>
          <w:color w:val="000000"/>
          <w:sz w:val="28"/>
          <w:szCs w:val="28"/>
        </w:rPr>
        <w:tab/>
      </w:r>
      <w:r w:rsidRPr="00D134ED">
        <w:rPr>
          <w:color w:val="000000"/>
          <w:sz w:val="28"/>
          <w:szCs w:val="28"/>
        </w:rPr>
        <w:t>)</w:t>
      </w:r>
      <w:r w:rsidR="001A3658" w:rsidRPr="001F3F71">
        <w:rPr>
          <w:color w:val="000000"/>
          <w:sz w:val="28"/>
          <w:szCs w:val="28"/>
        </w:rPr>
        <w:t xml:space="preserve"> </w:t>
      </w:r>
      <w:r w:rsidRPr="001F3F71">
        <w:rPr>
          <w:color w:val="000000"/>
          <w:sz w:val="28"/>
          <w:szCs w:val="28"/>
        </w:rPr>
        <w:t xml:space="preserve">  </w:t>
      </w:r>
      <w:proofErr w:type="gramEnd"/>
      <w:r w:rsidR="00801C5D">
        <w:rPr>
          <w:color w:val="000000"/>
          <w:sz w:val="28"/>
          <w:szCs w:val="28"/>
        </w:rPr>
        <w:t xml:space="preserve"> Arizona Supreme Court No. R-</w:t>
      </w:r>
      <w:r w:rsidR="00E931EE">
        <w:rPr>
          <w:color w:val="000000"/>
          <w:sz w:val="28"/>
          <w:szCs w:val="28"/>
        </w:rPr>
        <w:t>2</w:t>
      </w:r>
      <w:r w:rsidR="00A7057A">
        <w:rPr>
          <w:color w:val="000000"/>
          <w:sz w:val="28"/>
          <w:szCs w:val="28"/>
        </w:rPr>
        <w:t>4</w:t>
      </w:r>
      <w:r w:rsidR="00E931EE">
        <w:rPr>
          <w:color w:val="000000"/>
          <w:sz w:val="28"/>
          <w:szCs w:val="28"/>
        </w:rPr>
        <w:t>-00</w:t>
      </w:r>
      <w:r w:rsidR="00A7057A">
        <w:rPr>
          <w:color w:val="000000"/>
          <w:sz w:val="28"/>
          <w:szCs w:val="28"/>
        </w:rPr>
        <w:t>02</w:t>
      </w: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D134ED">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485E535B" w14:textId="5048FE85" w:rsidR="00A7057A" w:rsidRDefault="00A7057A" w:rsidP="001451DE">
      <w:pPr>
        <w:widowControl w:val="0"/>
        <w:autoSpaceDE w:val="0"/>
        <w:autoSpaceDN w:val="0"/>
        <w:adjustRightInd w:val="0"/>
        <w:rPr>
          <w:color w:val="000000"/>
          <w:sz w:val="28"/>
          <w:szCs w:val="28"/>
        </w:rPr>
      </w:pPr>
      <w:r>
        <w:rPr>
          <w:color w:val="000000"/>
          <w:sz w:val="28"/>
          <w:szCs w:val="28"/>
        </w:rPr>
        <w:t>PETITION TO AMEND RULE</w:t>
      </w:r>
      <w:r>
        <w:rPr>
          <w:color w:val="000000"/>
          <w:sz w:val="28"/>
          <w:szCs w:val="28"/>
        </w:rPr>
        <w:tab/>
      </w:r>
      <w:r w:rsidR="00623CFC" w:rsidRPr="00D134ED">
        <w:rPr>
          <w:color w:val="000000"/>
          <w:sz w:val="28"/>
          <w:szCs w:val="28"/>
        </w:rPr>
        <w:t>)</w:t>
      </w:r>
    </w:p>
    <w:p w14:paraId="11B420A8" w14:textId="4E330CD6" w:rsidR="00A7057A" w:rsidRDefault="00A7057A" w:rsidP="001451DE">
      <w:pPr>
        <w:widowControl w:val="0"/>
        <w:autoSpaceDE w:val="0"/>
        <w:autoSpaceDN w:val="0"/>
        <w:adjustRightInd w:val="0"/>
        <w:rPr>
          <w:color w:val="000000"/>
          <w:sz w:val="28"/>
          <w:szCs w:val="28"/>
        </w:rPr>
      </w:pPr>
      <w:r>
        <w:rPr>
          <w:color w:val="000000"/>
          <w:sz w:val="28"/>
          <w:szCs w:val="28"/>
        </w:rPr>
        <w:t>4.1(d) OF THE ARIZONA RULES</w:t>
      </w:r>
      <w:r>
        <w:rPr>
          <w:color w:val="000000"/>
          <w:sz w:val="28"/>
          <w:szCs w:val="28"/>
        </w:rPr>
        <w:tab/>
        <w:t>)</w:t>
      </w:r>
      <w:r w:rsidR="003C3420">
        <w:rPr>
          <w:color w:val="000000"/>
          <w:sz w:val="28"/>
          <w:szCs w:val="28"/>
        </w:rPr>
        <w:tab/>
        <w:t xml:space="preserve">Comment of the Committee on </w:t>
      </w:r>
    </w:p>
    <w:p w14:paraId="2C7B5172" w14:textId="567FF69F" w:rsidR="00A7057A" w:rsidRDefault="00A7057A" w:rsidP="001451DE">
      <w:pPr>
        <w:widowControl w:val="0"/>
        <w:autoSpaceDE w:val="0"/>
        <w:autoSpaceDN w:val="0"/>
        <w:adjustRightInd w:val="0"/>
        <w:rPr>
          <w:color w:val="000000"/>
          <w:sz w:val="28"/>
          <w:szCs w:val="28"/>
        </w:rPr>
      </w:pPr>
      <w:r>
        <w:rPr>
          <w:color w:val="000000"/>
          <w:sz w:val="28"/>
          <w:szCs w:val="28"/>
        </w:rPr>
        <w:t xml:space="preserve">OF CIVIL PROCEDURE FOR THE </w:t>
      </w:r>
      <w:r>
        <w:rPr>
          <w:color w:val="000000"/>
          <w:sz w:val="28"/>
          <w:szCs w:val="28"/>
        </w:rPr>
        <w:tab/>
        <w:t>)</w:t>
      </w:r>
      <w:r w:rsidR="003C3420">
        <w:rPr>
          <w:color w:val="000000"/>
          <w:sz w:val="28"/>
          <w:szCs w:val="28"/>
        </w:rPr>
        <w:tab/>
        <w:t>Family Court</w:t>
      </w:r>
    </w:p>
    <w:p w14:paraId="355F5966" w14:textId="629B4099" w:rsidR="00A7057A" w:rsidRDefault="00A7057A" w:rsidP="001451DE">
      <w:pPr>
        <w:widowControl w:val="0"/>
        <w:autoSpaceDE w:val="0"/>
        <w:autoSpaceDN w:val="0"/>
        <w:adjustRightInd w:val="0"/>
        <w:rPr>
          <w:color w:val="000000"/>
          <w:sz w:val="28"/>
          <w:szCs w:val="28"/>
        </w:rPr>
      </w:pPr>
      <w:r>
        <w:rPr>
          <w:color w:val="000000"/>
          <w:sz w:val="28"/>
          <w:szCs w:val="28"/>
        </w:rPr>
        <w:t>SUPERIOR COURTS OF ARIZONA</w:t>
      </w:r>
      <w:r>
        <w:rPr>
          <w:color w:val="000000"/>
          <w:sz w:val="28"/>
          <w:szCs w:val="28"/>
        </w:rPr>
        <w:tab/>
        <w:t>)</w:t>
      </w:r>
    </w:p>
    <w:p w14:paraId="4A42FB9C" w14:textId="142FA4DA" w:rsidR="003E0E59" w:rsidRDefault="00A7057A" w:rsidP="001451DE">
      <w:pPr>
        <w:widowControl w:val="0"/>
        <w:autoSpaceDE w:val="0"/>
        <w:autoSpaceDN w:val="0"/>
        <w:adjustRightInd w:val="0"/>
        <w:rPr>
          <w:color w:val="000000"/>
          <w:sz w:val="28"/>
          <w:szCs w:val="28"/>
        </w:rPr>
      </w:pPr>
      <w:r>
        <w:rPr>
          <w:color w:val="000000"/>
          <w:sz w:val="28"/>
          <w:szCs w:val="28"/>
        </w:rPr>
        <w:t>AND RULE 41(c) OF THE RULES</w:t>
      </w:r>
      <w:r>
        <w:rPr>
          <w:color w:val="000000"/>
          <w:sz w:val="28"/>
          <w:szCs w:val="28"/>
        </w:rPr>
        <w:tab/>
        <w:t>)</w:t>
      </w:r>
    </w:p>
    <w:p w14:paraId="494C1742" w14:textId="1B365DF3" w:rsidR="001451DE" w:rsidRPr="001F3F71" w:rsidRDefault="00A7057A" w:rsidP="001451DE">
      <w:pPr>
        <w:widowControl w:val="0"/>
        <w:autoSpaceDE w:val="0"/>
        <w:autoSpaceDN w:val="0"/>
        <w:adjustRightInd w:val="0"/>
        <w:rPr>
          <w:sz w:val="28"/>
          <w:szCs w:val="28"/>
        </w:rPr>
      </w:pPr>
      <w:r>
        <w:rPr>
          <w:color w:val="000000"/>
          <w:sz w:val="28"/>
          <w:szCs w:val="28"/>
        </w:rPr>
        <w:t>OF FAMILY LAW P</w:t>
      </w:r>
      <w:r w:rsidR="003E0E59">
        <w:rPr>
          <w:color w:val="000000"/>
          <w:sz w:val="28"/>
          <w:szCs w:val="28"/>
        </w:rPr>
        <w:t xml:space="preserve">ROCEDURE </w:t>
      </w:r>
      <w:r>
        <w:rPr>
          <w:color w:val="000000"/>
          <w:sz w:val="28"/>
          <w:szCs w:val="28"/>
        </w:rPr>
        <w:tab/>
      </w:r>
      <w:r w:rsidR="001451DE" w:rsidRPr="00063BA6">
        <w:rPr>
          <w:color w:val="000000"/>
          <w:sz w:val="28"/>
          <w:szCs w:val="28"/>
        </w:rPr>
        <w:t>)</w:t>
      </w:r>
      <w:r w:rsidR="001451DE" w:rsidRPr="001F3F71">
        <w:rPr>
          <w:color w:val="000000"/>
          <w:sz w:val="28"/>
          <w:szCs w:val="28"/>
        </w:rPr>
        <w:t xml:space="preserve">    </w:t>
      </w:r>
    </w:p>
    <w:p w14:paraId="667BA89B" w14:textId="292328BD" w:rsidR="001451DE" w:rsidRPr="001F3F71" w:rsidRDefault="00BC1957" w:rsidP="00BC1957">
      <w:pPr>
        <w:widowControl w:val="0"/>
        <w:autoSpaceDE w:val="0"/>
        <w:autoSpaceDN w:val="0"/>
        <w:adjustRightInd w:val="0"/>
        <w:rPr>
          <w:sz w:val="28"/>
          <w:szCs w:val="28"/>
        </w:rPr>
      </w:pPr>
      <w:r>
        <w:rPr>
          <w:color w:val="000000"/>
          <w:sz w:val="28"/>
          <w:szCs w:val="28"/>
        </w:rPr>
        <w:t>______________________________</w:t>
      </w:r>
      <w:r w:rsidR="00A7057A">
        <w:rPr>
          <w:color w:val="000000"/>
          <w:sz w:val="28"/>
          <w:szCs w:val="28"/>
        </w:rPr>
        <w:tab/>
      </w:r>
      <w:r w:rsidRPr="00063BA6">
        <w:rPr>
          <w:color w:val="000000"/>
          <w:sz w:val="28"/>
          <w:szCs w:val="28"/>
        </w:rPr>
        <w:t>)</w:t>
      </w:r>
      <w:r>
        <w:rPr>
          <w:color w:val="000000"/>
          <w:sz w:val="28"/>
          <w:szCs w:val="28"/>
        </w:rPr>
        <w:t xml:space="preserve"> </w:t>
      </w:r>
      <w:r w:rsidR="00F872D0">
        <w:rPr>
          <w:color w:val="000000"/>
          <w:sz w:val="28"/>
          <w:szCs w:val="28"/>
        </w:rPr>
        <w:t xml:space="preserve">   </w:t>
      </w:r>
    </w:p>
    <w:p w14:paraId="506CC4E2" w14:textId="77777777" w:rsidR="00C41CA7" w:rsidRPr="001F3F71" w:rsidRDefault="00C41CA7">
      <w:pPr>
        <w:jc w:val="both"/>
        <w:rPr>
          <w:sz w:val="28"/>
          <w:szCs w:val="28"/>
        </w:rPr>
      </w:pPr>
    </w:p>
    <w:p w14:paraId="4731C1BF" w14:textId="1CF3477F" w:rsidR="003C3420" w:rsidRPr="000B7555" w:rsidRDefault="00716C66" w:rsidP="00E931EE">
      <w:pPr>
        <w:spacing w:line="480" w:lineRule="auto"/>
        <w:ind w:left="144"/>
        <w:jc w:val="both"/>
        <w:rPr>
          <w:rFonts w:ascii="Century Schoolbook" w:hAnsi="Century Schoolbook"/>
          <w:bCs/>
          <w:color w:val="000000"/>
          <w:sz w:val="26"/>
          <w:szCs w:val="26"/>
        </w:rPr>
      </w:pPr>
      <w:r w:rsidRPr="000B7555">
        <w:rPr>
          <w:rFonts w:ascii="Century Schoolbook" w:hAnsi="Century Schoolbook"/>
          <w:sz w:val="26"/>
          <w:szCs w:val="26"/>
        </w:rPr>
        <w:tab/>
      </w:r>
      <w:r w:rsidR="002F4789" w:rsidRPr="000B7555">
        <w:rPr>
          <w:rFonts w:ascii="Century Schoolbook" w:hAnsi="Century Schoolbook"/>
          <w:sz w:val="26"/>
          <w:szCs w:val="26"/>
        </w:rPr>
        <w:t xml:space="preserve">Undersigned, on behalf of the </w:t>
      </w:r>
      <w:r w:rsidR="004E3A71" w:rsidRPr="000B7555">
        <w:rPr>
          <w:rFonts w:ascii="Century Schoolbook" w:hAnsi="Century Schoolbook"/>
          <w:sz w:val="26"/>
          <w:szCs w:val="26"/>
        </w:rPr>
        <w:t>Committee</w:t>
      </w:r>
      <w:r w:rsidR="003C3420" w:rsidRPr="000B7555">
        <w:rPr>
          <w:rFonts w:ascii="Century Schoolbook" w:hAnsi="Century Schoolbook"/>
          <w:sz w:val="26"/>
          <w:szCs w:val="26"/>
        </w:rPr>
        <w:t xml:space="preserve"> on Family Court (“COFC”)</w:t>
      </w:r>
      <w:r w:rsidR="004E3A71" w:rsidRPr="000B7555">
        <w:rPr>
          <w:rFonts w:ascii="Century Schoolbook" w:hAnsi="Century Schoolbook"/>
          <w:sz w:val="26"/>
          <w:szCs w:val="26"/>
        </w:rPr>
        <w:t>,</w:t>
      </w:r>
      <w:r w:rsidR="00D812C0">
        <w:rPr>
          <w:rFonts w:ascii="Century Schoolbook" w:hAnsi="Century Schoolbook"/>
          <w:sz w:val="26"/>
          <w:szCs w:val="26"/>
        </w:rPr>
        <w:t xml:space="preserve"> </w:t>
      </w:r>
      <w:proofErr w:type="spellStart"/>
      <w:r w:rsidR="00D812C0">
        <w:rPr>
          <w:rFonts w:ascii="Century Schoolbook" w:hAnsi="Century Schoolbook"/>
          <w:sz w:val="26"/>
          <w:szCs w:val="26"/>
        </w:rPr>
        <w:t>f.k.a</w:t>
      </w:r>
      <w:proofErr w:type="spellEnd"/>
      <w:r w:rsidR="00D812C0">
        <w:rPr>
          <w:rFonts w:ascii="Century Schoolbook" w:hAnsi="Century Schoolbook"/>
          <w:sz w:val="26"/>
          <w:szCs w:val="26"/>
        </w:rPr>
        <w:t xml:space="preserve">. Family Court Improvement Committee, </w:t>
      </w:r>
      <w:r w:rsidR="00E931EE" w:rsidRPr="000B7555">
        <w:rPr>
          <w:rFonts w:ascii="Century Schoolbook" w:hAnsi="Century Schoolbook"/>
          <w:sz w:val="26"/>
          <w:szCs w:val="26"/>
        </w:rPr>
        <w:t xml:space="preserve">files this </w:t>
      </w:r>
      <w:r w:rsidR="003C3420" w:rsidRPr="000B7555">
        <w:rPr>
          <w:rFonts w:ascii="Century Schoolbook" w:hAnsi="Century Schoolbook"/>
          <w:sz w:val="26"/>
          <w:szCs w:val="26"/>
        </w:rPr>
        <w:t>Comment in opposition to the Petition insofar as the Petition seeks to amend Rule 41(c)</w:t>
      </w:r>
      <w:r w:rsidR="004C5D91" w:rsidRPr="000B7555">
        <w:rPr>
          <w:rFonts w:ascii="Century Schoolbook" w:hAnsi="Century Schoolbook"/>
          <w:sz w:val="26"/>
          <w:szCs w:val="26"/>
        </w:rPr>
        <w:t>(2)</w:t>
      </w:r>
      <w:r w:rsidR="003C3420" w:rsidRPr="000B7555">
        <w:rPr>
          <w:rFonts w:ascii="Century Schoolbook" w:hAnsi="Century Schoolbook"/>
          <w:sz w:val="26"/>
          <w:szCs w:val="26"/>
        </w:rPr>
        <w:t xml:space="preserve">, </w:t>
      </w:r>
      <w:r w:rsidR="003C3420" w:rsidRPr="000B7555">
        <w:rPr>
          <w:rFonts w:ascii="Century Schoolbook" w:hAnsi="Century Schoolbook"/>
          <w:bCs/>
          <w:color w:val="000000"/>
          <w:sz w:val="26"/>
          <w:szCs w:val="26"/>
        </w:rPr>
        <w:t>Arizona Rules of Family Law Procedure (ARFLP).</w:t>
      </w:r>
    </w:p>
    <w:p w14:paraId="16FC517A" w14:textId="6A35B40D" w:rsidR="004C5D91" w:rsidRPr="000B7555" w:rsidRDefault="007032F0" w:rsidP="007032F0">
      <w:pPr>
        <w:spacing w:line="480" w:lineRule="auto"/>
        <w:ind w:left="144" w:firstLine="576"/>
        <w:jc w:val="both"/>
        <w:rPr>
          <w:rFonts w:ascii="Century Schoolbook" w:hAnsi="Century Schoolbook"/>
          <w:bCs/>
          <w:color w:val="000000"/>
          <w:sz w:val="26"/>
          <w:szCs w:val="26"/>
        </w:rPr>
      </w:pPr>
      <w:r>
        <w:rPr>
          <w:rFonts w:ascii="Century Schoolbook" w:hAnsi="Century Schoolbook"/>
          <w:bCs/>
          <w:color w:val="000000"/>
          <w:sz w:val="26"/>
          <w:szCs w:val="26"/>
        </w:rPr>
        <w:t>T</w:t>
      </w:r>
      <w:r w:rsidR="004C5D91" w:rsidRPr="000B7555">
        <w:rPr>
          <w:rFonts w:ascii="Century Schoolbook" w:hAnsi="Century Schoolbook"/>
          <w:bCs/>
          <w:color w:val="000000"/>
          <w:sz w:val="26"/>
          <w:szCs w:val="26"/>
        </w:rPr>
        <w:t>he Petition seeks</w:t>
      </w:r>
      <w:r>
        <w:rPr>
          <w:rFonts w:ascii="Century Schoolbook" w:hAnsi="Century Schoolbook"/>
          <w:bCs/>
          <w:color w:val="000000"/>
          <w:sz w:val="26"/>
          <w:szCs w:val="26"/>
        </w:rPr>
        <w:t>, in part,</w:t>
      </w:r>
      <w:r w:rsidR="004C5D91" w:rsidRPr="000B7555">
        <w:rPr>
          <w:rFonts w:ascii="Century Schoolbook" w:hAnsi="Century Schoolbook"/>
          <w:bCs/>
          <w:color w:val="000000"/>
          <w:sz w:val="26"/>
          <w:szCs w:val="26"/>
        </w:rPr>
        <w:t xml:space="preserve"> to amend Rule 41(c)(2) which currently provides that a</w:t>
      </w:r>
      <w:r>
        <w:rPr>
          <w:rFonts w:ascii="Century Schoolbook" w:hAnsi="Century Schoolbook"/>
          <w:bCs/>
          <w:color w:val="000000"/>
          <w:sz w:val="26"/>
          <w:szCs w:val="26"/>
        </w:rPr>
        <w:t xml:space="preserve">n individual can be served “leaving a copy . . . at that’s individual’s dwelling or usual place of abode with someone of suitable age and discretion who resides there[.]” Rule 41(c)(2), ARFLP. </w:t>
      </w:r>
      <w:r w:rsidR="004C5D91" w:rsidRPr="000B7555">
        <w:rPr>
          <w:rFonts w:ascii="Century Schoolbook" w:hAnsi="Century Schoolbook"/>
          <w:bCs/>
          <w:color w:val="000000"/>
          <w:sz w:val="26"/>
          <w:szCs w:val="26"/>
        </w:rPr>
        <w:t xml:space="preserve">The proposed amendment </w:t>
      </w:r>
      <w:r>
        <w:rPr>
          <w:rFonts w:ascii="Century Schoolbook" w:hAnsi="Century Schoolbook"/>
          <w:bCs/>
          <w:color w:val="000000"/>
          <w:sz w:val="26"/>
          <w:szCs w:val="26"/>
        </w:rPr>
        <w:t xml:space="preserve">would </w:t>
      </w:r>
      <w:r w:rsidR="004C5D91" w:rsidRPr="000B7555">
        <w:rPr>
          <w:rFonts w:ascii="Century Schoolbook" w:hAnsi="Century Schoolbook"/>
          <w:bCs/>
          <w:color w:val="000000"/>
          <w:sz w:val="26"/>
          <w:szCs w:val="26"/>
        </w:rPr>
        <w:t>provide that for purposes of service, a person of suitable age and discretion must be at least 16 years of age.</w:t>
      </w:r>
    </w:p>
    <w:p w14:paraId="66B425A6" w14:textId="7637B0F6" w:rsidR="00E614FC" w:rsidRDefault="003C3420" w:rsidP="00E614FC">
      <w:pPr>
        <w:spacing w:line="480" w:lineRule="auto"/>
        <w:ind w:left="144"/>
        <w:jc w:val="both"/>
        <w:rPr>
          <w:rFonts w:ascii="Century Schoolbook" w:hAnsi="Century Schoolbook"/>
          <w:bCs/>
          <w:color w:val="000000"/>
          <w:sz w:val="26"/>
          <w:szCs w:val="26"/>
        </w:rPr>
      </w:pPr>
      <w:r w:rsidRPr="000B7555">
        <w:rPr>
          <w:rFonts w:ascii="Century Schoolbook" w:hAnsi="Century Schoolbook"/>
          <w:bCs/>
          <w:color w:val="000000"/>
          <w:sz w:val="26"/>
          <w:szCs w:val="26"/>
        </w:rPr>
        <w:lastRenderedPageBreak/>
        <w:tab/>
        <w:t xml:space="preserve">At its February 15, </w:t>
      </w:r>
      <w:proofErr w:type="gramStart"/>
      <w:r w:rsidRPr="000B7555">
        <w:rPr>
          <w:rFonts w:ascii="Century Schoolbook" w:hAnsi="Century Schoolbook"/>
          <w:bCs/>
          <w:color w:val="000000"/>
          <w:sz w:val="26"/>
          <w:szCs w:val="26"/>
        </w:rPr>
        <w:t>2024</w:t>
      </w:r>
      <w:proofErr w:type="gramEnd"/>
      <w:r w:rsidRPr="000B7555">
        <w:rPr>
          <w:rFonts w:ascii="Century Schoolbook" w:hAnsi="Century Schoolbook"/>
          <w:bCs/>
          <w:color w:val="000000"/>
          <w:sz w:val="26"/>
          <w:szCs w:val="26"/>
        </w:rPr>
        <w:t xml:space="preserve"> meeting, COFC considered the pending Petition and its members voted unanimously to oppose the Petition.</w:t>
      </w:r>
      <w:r w:rsidR="004C5D91" w:rsidRPr="000B7555">
        <w:rPr>
          <w:rFonts w:ascii="Century Schoolbook" w:hAnsi="Century Schoolbook"/>
          <w:bCs/>
          <w:color w:val="000000"/>
          <w:sz w:val="26"/>
          <w:szCs w:val="26"/>
        </w:rPr>
        <w:t xml:space="preserve">  During </w:t>
      </w:r>
      <w:r w:rsidR="007032F0">
        <w:rPr>
          <w:rFonts w:ascii="Century Schoolbook" w:hAnsi="Century Schoolbook"/>
          <w:bCs/>
          <w:color w:val="000000"/>
          <w:sz w:val="26"/>
          <w:szCs w:val="26"/>
        </w:rPr>
        <w:t xml:space="preserve">the </w:t>
      </w:r>
      <w:r w:rsidR="004C5D91" w:rsidRPr="000B7555">
        <w:rPr>
          <w:rFonts w:ascii="Century Schoolbook" w:hAnsi="Century Schoolbook"/>
          <w:bCs/>
          <w:color w:val="000000"/>
          <w:sz w:val="26"/>
          <w:szCs w:val="26"/>
        </w:rPr>
        <w:t xml:space="preserve">discussion, members raised various concerns about the proposed amendment including </w:t>
      </w:r>
      <w:r w:rsidR="007032F0">
        <w:rPr>
          <w:rFonts w:ascii="Century Schoolbook" w:hAnsi="Century Schoolbook"/>
          <w:bCs/>
          <w:color w:val="000000"/>
          <w:sz w:val="26"/>
          <w:szCs w:val="26"/>
        </w:rPr>
        <w:t xml:space="preserve">the following: </w:t>
      </w:r>
      <w:r w:rsidR="004C5D91" w:rsidRPr="000B7555">
        <w:rPr>
          <w:rFonts w:ascii="Century Schoolbook" w:hAnsi="Century Schoolbook"/>
          <w:bCs/>
          <w:color w:val="000000"/>
          <w:sz w:val="26"/>
          <w:szCs w:val="26"/>
        </w:rPr>
        <w:t xml:space="preserve">(1) </w:t>
      </w:r>
      <w:r w:rsidR="00E614FC" w:rsidRPr="000B7555">
        <w:rPr>
          <w:rFonts w:ascii="Century Schoolbook" w:hAnsi="Century Schoolbook"/>
          <w:bCs/>
          <w:color w:val="000000"/>
          <w:sz w:val="26"/>
          <w:szCs w:val="26"/>
        </w:rPr>
        <w:t xml:space="preserve">at least as to matters before the family court, a lack of any perceived problem with the current rule; </w:t>
      </w:r>
      <w:r w:rsidR="000B7555">
        <w:rPr>
          <w:rFonts w:ascii="Century Schoolbook" w:hAnsi="Century Schoolbook"/>
          <w:bCs/>
          <w:color w:val="000000"/>
          <w:sz w:val="26"/>
          <w:szCs w:val="26"/>
        </w:rPr>
        <w:t xml:space="preserve">(2) a recognition that a child under the age of 16 might be of suitable age and discretion and one over 16 may not be; </w:t>
      </w:r>
      <w:r w:rsidR="00E614FC" w:rsidRPr="000B7555">
        <w:rPr>
          <w:rFonts w:ascii="Century Schoolbook" w:hAnsi="Century Schoolbook"/>
          <w:bCs/>
          <w:color w:val="000000"/>
          <w:sz w:val="26"/>
          <w:szCs w:val="26"/>
        </w:rPr>
        <w:t>(</w:t>
      </w:r>
      <w:r w:rsidR="000B7555">
        <w:rPr>
          <w:rFonts w:ascii="Century Schoolbook" w:hAnsi="Century Schoolbook"/>
          <w:bCs/>
          <w:color w:val="000000"/>
          <w:sz w:val="26"/>
          <w:szCs w:val="26"/>
        </w:rPr>
        <w:t>3</w:t>
      </w:r>
      <w:r w:rsidR="00E614FC" w:rsidRPr="000B7555">
        <w:rPr>
          <w:rFonts w:ascii="Century Schoolbook" w:hAnsi="Century Schoolbook"/>
          <w:bCs/>
          <w:color w:val="000000"/>
          <w:sz w:val="26"/>
          <w:szCs w:val="26"/>
        </w:rPr>
        <w:t xml:space="preserve">) </w:t>
      </w:r>
      <w:r w:rsidR="000B7555">
        <w:rPr>
          <w:rFonts w:ascii="Century Schoolbook" w:hAnsi="Century Schoolbook"/>
          <w:bCs/>
          <w:color w:val="000000"/>
          <w:sz w:val="26"/>
          <w:szCs w:val="26"/>
        </w:rPr>
        <w:t xml:space="preserve">a practical concern of </w:t>
      </w:r>
      <w:r w:rsidR="00E614FC" w:rsidRPr="000B7555">
        <w:rPr>
          <w:rFonts w:ascii="Century Schoolbook" w:hAnsi="Century Schoolbook"/>
          <w:bCs/>
          <w:color w:val="000000"/>
          <w:sz w:val="26"/>
          <w:szCs w:val="26"/>
        </w:rPr>
        <w:t>how are process servers to determine the age of a 16 year old</w:t>
      </w:r>
      <w:r w:rsidR="007032F0">
        <w:rPr>
          <w:rFonts w:ascii="Century Schoolbook" w:hAnsi="Century Schoolbook"/>
          <w:bCs/>
          <w:color w:val="000000"/>
          <w:sz w:val="26"/>
          <w:szCs w:val="26"/>
        </w:rPr>
        <w:t>, as opposed to slightly younger</w:t>
      </w:r>
      <w:r w:rsidR="00E614FC" w:rsidRPr="000B7555">
        <w:rPr>
          <w:rFonts w:ascii="Century Schoolbook" w:hAnsi="Century Schoolbook"/>
          <w:bCs/>
          <w:color w:val="000000"/>
          <w:sz w:val="26"/>
          <w:szCs w:val="26"/>
        </w:rPr>
        <w:t xml:space="preserve">; and </w:t>
      </w:r>
      <w:r w:rsidR="004C5D91" w:rsidRPr="000B7555">
        <w:rPr>
          <w:rFonts w:ascii="Century Schoolbook" w:hAnsi="Century Schoolbook"/>
          <w:bCs/>
          <w:color w:val="000000"/>
          <w:sz w:val="26"/>
          <w:szCs w:val="26"/>
        </w:rPr>
        <w:t>(</w:t>
      </w:r>
      <w:r w:rsidR="000B7555">
        <w:rPr>
          <w:rFonts w:ascii="Century Schoolbook" w:hAnsi="Century Schoolbook"/>
          <w:bCs/>
          <w:color w:val="000000"/>
          <w:sz w:val="26"/>
          <w:szCs w:val="26"/>
        </w:rPr>
        <w:t>4</w:t>
      </w:r>
      <w:r w:rsidR="004C5D91" w:rsidRPr="000B7555">
        <w:rPr>
          <w:rFonts w:ascii="Century Schoolbook" w:hAnsi="Century Schoolbook"/>
          <w:bCs/>
          <w:color w:val="000000"/>
          <w:sz w:val="26"/>
          <w:szCs w:val="26"/>
        </w:rPr>
        <w:t xml:space="preserve">) </w:t>
      </w:r>
      <w:r w:rsidR="00117EC9" w:rsidRPr="000B7555">
        <w:rPr>
          <w:rFonts w:ascii="Century Schoolbook" w:hAnsi="Century Schoolbook"/>
          <w:bCs/>
          <w:color w:val="000000"/>
          <w:sz w:val="26"/>
          <w:szCs w:val="26"/>
        </w:rPr>
        <w:t>the potential consequences of serving someone less than 16 years old but who is still of suitable age and discretion</w:t>
      </w:r>
      <w:r w:rsidR="00E614FC" w:rsidRPr="000B7555">
        <w:rPr>
          <w:rFonts w:ascii="Century Schoolbook" w:hAnsi="Century Schoolbook"/>
          <w:bCs/>
          <w:color w:val="000000"/>
          <w:sz w:val="26"/>
          <w:szCs w:val="26"/>
        </w:rPr>
        <w:t>. Ultimately, the consensus was that the proposed amendment would create more problems for the family courts</w:t>
      </w:r>
      <w:r w:rsidR="005F4724">
        <w:rPr>
          <w:rFonts w:ascii="Century Schoolbook" w:hAnsi="Century Schoolbook"/>
          <w:bCs/>
          <w:color w:val="000000"/>
          <w:sz w:val="26"/>
          <w:szCs w:val="26"/>
        </w:rPr>
        <w:t>, and those that appear before them,</w:t>
      </w:r>
      <w:r w:rsidR="00E614FC" w:rsidRPr="000B7555">
        <w:rPr>
          <w:rFonts w:ascii="Century Schoolbook" w:hAnsi="Century Schoolbook"/>
          <w:bCs/>
          <w:color w:val="000000"/>
          <w:sz w:val="26"/>
          <w:szCs w:val="26"/>
        </w:rPr>
        <w:t xml:space="preserve"> than it would solve.</w:t>
      </w:r>
    </w:p>
    <w:p w14:paraId="62F18178" w14:textId="3776F61B" w:rsidR="001B29F1" w:rsidRPr="000B7555" w:rsidRDefault="007032F0" w:rsidP="00E614FC">
      <w:pPr>
        <w:spacing w:line="480" w:lineRule="auto"/>
        <w:ind w:left="144"/>
        <w:jc w:val="both"/>
        <w:rPr>
          <w:rFonts w:ascii="Century Schoolbook" w:hAnsi="Century Schoolbook"/>
          <w:bCs/>
          <w:color w:val="000000"/>
          <w:sz w:val="26"/>
          <w:szCs w:val="26"/>
        </w:rPr>
      </w:pPr>
      <w:r>
        <w:rPr>
          <w:rFonts w:ascii="Century Schoolbook" w:hAnsi="Century Schoolbook"/>
          <w:bCs/>
          <w:color w:val="000000"/>
          <w:sz w:val="26"/>
          <w:szCs w:val="26"/>
        </w:rPr>
        <w:tab/>
        <w:t>In addition, t</w:t>
      </w:r>
      <w:r w:rsidR="001B29F1">
        <w:rPr>
          <w:rFonts w:ascii="Century Schoolbook" w:hAnsi="Century Schoolbook"/>
          <w:bCs/>
          <w:color w:val="000000"/>
          <w:sz w:val="26"/>
          <w:szCs w:val="26"/>
        </w:rPr>
        <w:t xml:space="preserve">he Petition seems to argue that the “suitable age and discretion” standard requires the party receiving the papers to “possess the </w:t>
      </w:r>
      <w:proofErr w:type="gramStart"/>
      <w:r w:rsidR="001B29F1">
        <w:rPr>
          <w:rFonts w:ascii="Century Schoolbook" w:hAnsi="Century Schoolbook"/>
          <w:bCs/>
          <w:color w:val="000000"/>
          <w:sz w:val="26"/>
          <w:szCs w:val="26"/>
        </w:rPr>
        <w:t>decision making</w:t>
      </w:r>
      <w:proofErr w:type="gramEnd"/>
      <w:r w:rsidR="001B29F1">
        <w:rPr>
          <w:rFonts w:ascii="Century Schoolbook" w:hAnsi="Century Schoolbook"/>
          <w:bCs/>
          <w:color w:val="000000"/>
          <w:sz w:val="26"/>
          <w:szCs w:val="26"/>
        </w:rPr>
        <w:t xml:space="preserve"> capability of an adult.”  Petition, p. 5.  That appears to be too high a standard as courts interpreting similar rules have focused on whether the </w:t>
      </w:r>
      <w:r>
        <w:rPr>
          <w:rFonts w:ascii="Century Schoolbook" w:hAnsi="Century Schoolbook"/>
          <w:bCs/>
          <w:color w:val="000000"/>
          <w:sz w:val="26"/>
          <w:szCs w:val="26"/>
        </w:rPr>
        <w:t>recipient</w:t>
      </w:r>
      <w:r w:rsidR="001B29F1">
        <w:rPr>
          <w:rFonts w:ascii="Century Schoolbook" w:hAnsi="Century Schoolbook"/>
          <w:bCs/>
          <w:color w:val="000000"/>
          <w:sz w:val="26"/>
          <w:szCs w:val="26"/>
        </w:rPr>
        <w:t xml:space="preserve"> understood</w:t>
      </w:r>
      <w:r>
        <w:rPr>
          <w:rFonts w:ascii="Century Schoolbook" w:hAnsi="Century Schoolbook"/>
          <w:bCs/>
          <w:color w:val="000000"/>
          <w:sz w:val="26"/>
          <w:szCs w:val="26"/>
        </w:rPr>
        <w:t xml:space="preserve"> the nature and importance of the served documents</w:t>
      </w:r>
      <w:r w:rsidR="001B29F1">
        <w:rPr>
          <w:rFonts w:ascii="Century Schoolbook" w:hAnsi="Century Schoolbook"/>
          <w:bCs/>
          <w:color w:val="000000"/>
          <w:sz w:val="26"/>
          <w:szCs w:val="26"/>
        </w:rPr>
        <w:t xml:space="preserve">.  </w:t>
      </w:r>
      <w:r>
        <w:rPr>
          <w:rFonts w:ascii="Century Schoolbook" w:hAnsi="Century Schoolbook"/>
          <w:bCs/>
          <w:i/>
          <w:iCs/>
          <w:color w:val="000000"/>
          <w:sz w:val="26"/>
          <w:szCs w:val="26"/>
        </w:rPr>
        <w:t xml:space="preserve">Veracity Research Co. v. Bateman, </w:t>
      </w:r>
      <w:r>
        <w:rPr>
          <w:rFonts w:ascii="Century Schoolbook" w:hAnsi="Century Schoolbook"/>
          <w:bCs/>
          <w:color w:val="000000"/>
          <w:sz w:val="26"/>
          <w:szCs w:val="26"/>
        </w:rPr>
        <w:t xml:space="preserve">2008 WL 2951910, *7 (N.D. Tex. 2008); </w:t>
      </w:r>
      <w:r w:rsidR="001B29F1" w:rsidRPr="007032F0">
        <w:rPr>
          <w:rFonts w:ascii="Century Schoolbook" w:hAnsi="Century Schoolbook"/>
          <w:bCs/>
          <w:i/>
          <w:iCs/>
          <w:color w:val="000000"/>
          <w:sz w:val="26"/>
          <w:szCs w:val="26"/>
        </w:rPr>
        <w:t>Yuga Labs, Inc. v. Hickman</w:t>
      </w:r>
      <w:r w:rsidR="001B29F1">
        <w:rPr>
          <w:rFonts w:ascii="Century Schoolbook" w:hAnsi="Century Schoolbook"/>
          <w:bCs/>
          <w:color w:val="000000"/>
          <w:sz w:val="26"/>
          <w:szCs w:val="26"/>
        </w:rPr>
        <w:t xml:space="preserve">, 2024 WL 1011121, </w:t>
      </w:r>
      <w:r>
        <w:rPr>
          <w:rFonts w:ascii="Century Schoolbook" w:hAnsi="Century Schoolbook"/>
          <w:bCs/>
          <w:color w:val="000000"/>
          <w:sz w:val="26"/>
          <w:szCs w:val="26"/>
        </w:rPr>
        <w:t>*3</w:t>
      </w:r>
      <w:r w:rsidR="001B29F1">
        <w:rPr>
          <w:rFonts w:ascii="Century Schoolbook" w:hAnsi="Century Schoolbook"/>
          <w:bCs/>
          <w:color w:val="000000"/>
          <w:sz w:val="26"/>
          <w:szCs w:val="26"/>
        </w:rPr>
        <w:t xml:space="preserve"> (D. Nev. 2024)</w:t>
      </w:r>
      <w:r>
        <w:rPr>
          <w:rFonts w:ascii="Century Schoolbook" w:hAnsi="Century Schoolbook"/>
          <w:bCs/>
          <w:color w:val="000000"/>
          <w:sz w:val="26"/>
          <w:szCs w:val="26"/>
        </w:rPr>
        <w:t xml:space="preserve">; </w:t>
      </w:r>
      <w:r w:rsidRPr="007032F0">
        <w:rPr>
          <w:rFonts w:ascii="Century Schoolbook" w:hAnsi="Century Schoolbook"/>
          <w:bCs/>
          <w:i/>
          <w:iCs/>
          <w:color w:val="000000"/>
          <w:sz w:val="26"/>
          <w:szCs w:val="26"/>
        </w:rPr>
        <w:t>Houston Cas. Co. v. Int’l Grand Tours, Inc.</w:t>
      </w:r>
      <w:r>
        <w:rPr>
          <w:rFonts w:ascii="Century Schoolbook" w:hAnsi="Century Schoolbook"/>
          <w:bCs/>
          <w:color w:val="000000"/>
          <w:sz w:val="26"/>
          <w:szCs w:val="26"/>
        </w:rPr>
        <w:t>, 2008 WL 4822545, *4 (N.D. Cal. 2008).</w:t>
      </w:r>
    </w:p>
    <w:p w14:paraId="00463C88" w14:textId="7786AAC0" w:rsidR="008A412C" w:rsidRDefault="001B29F1" w:rsidP="00E614FC">
      <w:pPr>
        <w:spacing w:line="480" w:lineRule="auto"/>
        <w:ind w:left="144"/>
        <w:jc w:val="both"/>
        <w:rPr>
          <w:rFonts w:ascii="Century Schoolbook" w:hAnsi="Century Schoolbook"/>
          <w:bCs/>
          <w:color w:val="000000"/>
          <w:sz w:val="26"/>
          <w:szCs w:val="26"/>
        </w:rPr>
      </w:pPr>
      <w:r>
        <w:rPr>
          <w:rFonts w:ascii="Century Schoolbook" w:hAnsi="Century Schoolbook"/>
          <w:bCs/>
          <w:color w:val="000000"/>
          <w:sz w:val="26"/>
          <w:szCs w:val="26"/>
        </w:rPr>
        <w:lastRenderedPageBreak/>
        <w:tab/>
      </w:r>
      <w:r w:rsidR="007032F0">
        <w:rPr>
          <w:rFonts w:ascii="Century Schoolbook" w:hAnsi="Century Schoolbook"/>
          <w:bCs/>
          <w:color w:val="000000"/>
          <w:sz w:val="26"/>
          <w:szCs w:val="26"/>
        </w:rPr>
        <w:t>Insofar as the Petition raises a concern about a lack of guidance in this area, t</w:t>
      </w:r>
      <w:r>
        <w:rPr>
          <w:rFonts w:ascii="Century Schoolbook" w:hAnsi="Century Schoolbook"/>
          <w:bCs/>
          <w:color w:val="000000"/>
          <w:sz w:val="26"/>
          <w:szCs w:val="26"/>
        </w:rPr>
        <w:t>here is persuasive guidance for those interested in service of process in Arizona under the “suitable age and discretion” standard.  T</w:t>
      </w:r>
      <w:r w:rsidR="00E614FC" w:rsidRPr="000B7555">
        <w:rPr>
          <w:rFonts w:ascii="Century Schoolbook" w:hAnsi="Century Schoolbook"/>
          <w:bCs/>
          <w:color w:val="000000"/>
          <w:sz w:val="26"/>
          <w:szCs w:val="26"/>
        </w:rPr>
        <w:t xml:space="preserve">he language in the </w:t>
      </w:r>
      <w:r w:rsidR="00A400D4" w:rsidRPr="000B7555">
        <w:rPr>
          <w:rFonts w:ascii="Century Schoolbook" w:hAnsi="Century Schoolbook"/>
          <w:bCs/>
          <w:color w:val="000000"/>
          <w:sz w:val="26"/>
          <w:szCs w:val="26"/>
        </w:rPr>
        <w:t xml:space="preserve">current </w:t>
      </w:r>
      <w:r w:rsidR="00E614FC" w:rsidRPr="000B7555">
        <w:rPr>
          <w:rFonts w:ascii="Century Schoolbook" w:hAnsi="Century Schoolbook"/>
          <w:bCs/>
          <w:color w:val="000000"/>
          <w:sz w:val="26"/>
          <w:szCs w:val="26"/>
        </w:rPr>
        <w:t xml:space="preserve">Rule </w:t>
      </w:r>
      <w:r>
        <w:rPr>
          <w:rFonts w:ascii="Century Schoolbook" w:hAnsi="Century Schoolbook"/>
          <w:bCs/>
          <w:color w:val="000000"/>
          <w:sz w:val="26"/>
          <w:szCs w:val="26"/>
        </w:rPr>
        <w:t xml:space="preserve">41(c)(2) </w:t>
      </w:r>
      <w:r w:rsidR="00E614FC" w:rsidRPr="000B7555">
        <w:rPr>
          <w:rFonts w:ascii="Century Schoolbook" w:hAnsi="Century Schoolbook"/>
          <w:bCs/>
          <w:color w:val="000000"/>
          <w:sz w:val="26"/>
          <w:szCs w:val="26"/>
        </w:rPr>
        <w:t xml:space="preserve">tracks </w:t>
      </w:r>
      <w:r w:rsidR="000B7555" w:rsidRPr="000B7555">
        <w:rPr>
          <w:rFonts w:ascii="Century Schoolbook" w:hAnsi="Century Schoolbook"/>
          <w:bCs/>
          <w:color w:val="000000"/>
          <w:sz w:val="26"/>
          <w:szCs w:val="26"/>
        </w:rPr>
        <w:t>Rule 4(e)(2)(B), Fed. R. Civ. P.</w:t>
      </w:r>
      <w:r>
        <w:rPr>
          <w:rFonts w:ascii="Century Schoolbook" w:hAnsi="Century Schoolbook"/>
          <w:bCs/>
          <w:color w:val="000000"/>
          <w:sz w:val="26"/>
          <w:szCs w:val="26"/>
        </w:rPr>
        <w:t xml:space="preserve">, and similar rules in other states.  Courts </w:t>
      </w:r>
      <w:r w:rsidR="000B7555" w:rsidRPr="000B7555">
        <w:rPr>
          <w:rFonts w:ascii="Century Schoolbook" w:hAnsi="Century Schoolbook"/>
          <w:bCs/>
          <w:color w:val="000000"/>
          <w:sz w:val="26"/>
          <w:szCs w:val="26"/>
        </w:rPr>
        <w:t xml:space="preserve">have found that service on teenagers less than 16 years of age </w:t>
      </w:r>
      <w:r>
        <w:rPr>
          <w:rFonts w:ascii="Century Schoolbook" w:hAnsi="Century Schoolbook"/>
          <w:bCs/>
          <w:color w:val="000000"/>
          <w:sz w:val="26"/>
          <w:szCs w:val="26"/>
        </w:rPr>
        <w:t>can be</w:t>
      </w:r>
      <w:r w:rsidR="000B7555" w:rsidRPr="000B7555">
        <w:rPr>
          <w:rFonts w:ascii="Century Schoolbook" w:hAnsi="Century Schoolbook"/>
          <w:bCs/>
          <w:color w:val="000000"/>
          <w:sz w:val="26"/>
          <w:szCs w:val="26"/>
        </w:rPr>
        <w:t xml:space="preserve"> appropriate under the “suitable age and discretion” standard.  </w:t>
      </w:r>
      <w:r w:rsidR="000B7555" w:rsidRPr="000B7555">
        <w:rPr>
          <w:rFonts w:ascii="Century Schoolbook" w:hAnsi="Century Schoolbook"/>
          <w:bCs/>
          <w:i/>
          <w:iCs/>
          <w:color w:val="000000"/>
          <w:sz w:val="26"/>
          <w:szCs w:val="26"/>
        </w:rPr>
        <w:t xml:space="preserve">See, e.g., </w:t>
      </w:r>
      <w:r w:rsidR="005F4724">
        <w:rPr>
          <w:rFonts w:ascii="Century Schoolbook" w:hAnsi="Century Schoolbook"/>
          <w:bCs/>
          <w:color w:val="000000"/>
          <w:sz w:val="26"/>
          <w:szCs w:val="26"/>
        </w:rPr>
        <w:t xml:space="preserve">91 A.L.R.3d 827 (2013) (collecting cases in which “individuals ranging in years from 13 to 20 were held to be within the purview of statutes or rules relating to substituted service by delivery of process to a person of suitable age and discretion); </w:t>
      </w:r>
      <w:r w:rsidR="000B7555" w:rsidRPr="000B7555">
        <w:rPr>
          <w:rFonts w:ascii="Century Schoolbook" w:hAnsi="Century Schoolbook"/>
          <w:bCs/>
          <w:i/>
          <w:iCs/>
          <w:color w:val="000000"/>
          <w:sz w:val="26"/>
          <w:szCs w:val="26"/>
        </w:rPr>
        <w:t>Perkins v. Johnson</w:t>
      </w:r>
      <w:r w:rsidR="000B7555" w:rsidRPr="000B7555">
        <w:rPr>
          <w:rFonts w:ascii="Century Schoolbook" w:hAnsi="Century Schoolbook"/>
          <w:bCs/>
          <w:color w:val="000000"/>
          <w:sz w:val="26"/>
          <w:szCs w:val="26"/>
        </w:rPr>
        <w:t>, 2008 WL 275768, *3 (D. Colo. 2008) (collecting cases)</w:t>
      </w:r>
      <w:r w:rsidR="008A412C">
        <w:rPr>
          <w:rFonts w:ascii="Century Schoolbook" w:hAnsi="Century Schoolbook"/>
          <w:bCs/>
          <w:color w:val="000000"/>
          <w:sz w:val="26"/>
          <w:szCs w:val="26"/>
        </w:rPr>
        <w:t xml:space="preserve">; </w:t>
      </w:r>
      <w:r w:rsidRPr="001B29F1">
        <w:rPr>
          <w:rFonts w:ascii="Century Schoolbook" w:hAnsi="Century Schoolbook"/>
          <w:bCs/>
          <w:i/>
          <w:iCs/>
          <w:color w:val="000000"/>
          <w:sz w:val="26"/>
          <w:szCs w:val="26"/>
        </w:rPr>
        <w:t>Trammel v. National Bank of Ga.</w:t>
      </w:r>
      <w:r>
        <w:rPr>
          <w:rFonts w:ascii="Century Schoolbook" w:hAnsi="Century Schoolbook"/>
          <w:bCs/>
          <w:color w:val="000000"/>
          <w:sz w:val="26"/>
          <w:szCs w:val="26"/>
        </w:rPr>
        <w:t xml:space="preserve">, 285 S.E.2d 590, 592 (Ga. App. 1981) (refusing “to hold as a matter of law that a twelve year old is not “a person of suitable age and discretion”); </w:t>
      </w:r>
      <w:r w:rsidR="008A412C">
        <w:rPr>
          <w:rFonts w:ascii="Century Schoolbook" w:hAnsi="Century Schoolbook"/>
          <w:bCs/>
          <w:i/>
          <w:iCs/>
          <w:color w:val="000000"/>
          <w:sz w:val="26"/>
          <w:szCs w:val="26"/>
        </w:rPr>
        <w:t xml:space="preserve">United Servs. Auto </w:t>
      </w:r>
      <w:proofErr w:type="spellStart"/>
      <w:r w:rsidR="008A412C">
        <w:rPr>
          <w:rFonts w:ascii="Century Schoolbook" w:hAnsi="Century Schoolbook"/>
          <w:bCs/>
          <w:i/>
          <w:iCs/>
          <w:color w:val="000000"/>
          <w:sz w:val="26"/>
          <w:szCs w:val="26"/>
        </w:rPr>
        <w:t>Ass’n</w:t>
      </w:r>
      <w:proofErr w:type="spellEnd"/>
      <w:r w:rsidR="008A412C">
        <w:rPr>
          <w:rFonts w:ascii="Century Schoolbook" w:hAnsi="Century Schoolbook"/>
          <w:bCs/>
          <w:i/>
          <w:iCs/>
          <w:color w:val="000000"/>
          <w:sz w:val="26"/>
          <w:szCs w:val="26"/>
        </w:rPr>
        <w:t xml:space="preserve">. v. Barger, </w:t>
      </w:r>
      <w:r w:rsidR="008A412C">
        <w:rPr>
          <w:rFonts w:ascii="Century Schoolbook" w:hAnsi="Century Schoolbook"/>
          <w:bCs/>
          <w:color w:val="000000"/>
          <w:sz w:val="26"/>
          <w:szCs w:val="26"/>
        </w:rPr>
        <w:t>910 F.2d 321, 324 (6th Cir. 1990) (</w:t>
      </w:r>
      <w:r w:rsidR="005F4724">
        <w:rPr>
          <w:rFonts w:ascii="Century Schoolbook" w:hAnsi="Century Schoolbook"/>
          <w:bCs/>
          <w:color w:val="000000"/>
          <w:sz w:val="26"/>
          <w:szCs w:val="26"/>
        </w:rPr>
        <w:t xml:space="preserve">holding </w:t>
      </w:r>
      <w:r w:rsidR="008A412C">
        <w:rPr>
          <w:rFonts w:ascii="Century Schoolbook" w:hAnsi="Century Schoolbook"/>
          <w:bCs/>
          <w:color w:val="000000"/>
          <w:sz w:val="26"/>
          <w:szCs w:val="26"/>
        </w:rPr>
        <w:t xml:space="preserve">service on thirteen-year-old son was </w:t>
      </w:r>
      <w:r w:rsidR="005F4724">
        <w:rPr>
          <w:rFonts w:ascii="Century Schoolbook" w:hAnsi="Century Schoolbook"/>
          <w:bCs/>
          <w:color w:val="000000"/>
          <w:sz w:val="26"/>
          <w:szCs w:val="26"/>
        </w:rPr>
        <w:t>suitable</w:t>
      </w:r>
      <w:r w:rsidR="008A412C">
        <w:rPr>
          <w:rFonts w:ascii="Century Schoolbook" w:hAnsi="Century Schoolbook"/>
          <w:bCs/>
          <w:color w:val="000000"/>
          <w:sz w:val="26"/>
          <w:szCs w:val="26"/>
        </w:rPr>
        <w:t xml:space="preserve">); </w:t>
      </w:r>
      <w:r w:rsidR="005F4724" w:rsidRPr="000B7555">
        <w:rPr>
          <w:rFonts w:ascii="Century Schoolbook" w:hAnsi="Century Schoolbook"/>
          <w:i/>
          <w:iCs/>
          <w:sz w:val="26"/>
          <w:szCs w:val="26"/>
        </w:rPr>
        <w:t>Holmen v. Miller</w:t>
      </w:r>
      <w:r w:rsidR="005F4724">
        <w:rPr>
          <w:rFonts w:ascii="Century Schoolbook" w:hAnsi="Century Schoolbook"/>
          <w:sz w:val="26"/>
          <w:szCs w:val="26"/>
        </w:rPr>
        <w:t xml:space="preserve">, 206 N.W.2d 916, 920 (Minn. 1973) (holding same); </w:t>
      </w:r>
      <w:r w:rsidR="0089734A">
        <w:rPr>
          <w:rFonts w:ascii="Century Schoolbook" w:hAnsi="Century Schoolbook"/>
          <w:i/>
          <w:iCs/>
          <w:sz w:val="26"/>
          <w:szCs w:val="26"/>
        </w:rPr>
        <w:t xml:space="preserve">Van Buren v. Glasco, </w:t>
      </w:r>
      <w:r w:rsidR="0089734A">
        <w:rPr>
          <w:rFonts w:ascii="Century Schoolbook" w:hAnsi="Century Schoolbook"/>
          <w:sz w:val="26"/>
          <w:szCs w:val="26"/>
        </w:rPr>
        <w:t xml:space="preserve">217 S.E.2d 579, 583 (N.C. App. 1975) (holding same as to 15-year-old child); </w:t>
      </w:r>
      <w:proofErr w:type="spellStart"/>
      <w:r w:rsidR="0089734A" w:rsidRPr="0089734A">
        <w:rPr>
          <w:rFonts w:ascii="Century Schoolbook" w:hAnsi="Century Schoolbook"/>
          <w:i/>
          <w:iCs/>
          <w:sz w:val="26"/>
          <w:szCs w:val="26"/>
        </w:rPr>
        <w:t>Miebach</w:t>
      </w:r>
      <w:proofErr w:type="spellEnd"/>
      <w:r w:rsidR="0089734A" w:rsidRPr="0089734A">
        <w:rPr>
          <w:rFonts w:ascii="Century Schoolbook" w:hAnsi="Century Schoolbook"/>
          <w:i/>
          <w:iCs/>
          <w:sz w:val="26"/>
          <w:szCs w:val="26"/>
        </w:rPr>
        <w:t xml:space="preserve"> v. Colasurdo</w:t>
      </w:r>
      <w:r w:rsidR="0089734A">
        <w:rPr>
          <w:rFonts w:ascii="Century Schoolbook" w:hAnsi="Century Schoolbook"/>
          <w:sz w:val="26"/>
          <w:szCs w:val="26"/>
        </w:rPr>
        <w:t xml:space="preserve">, 670 P.2d 276, 280 (Wash. App. 1983) (holding same); </w:t>
      </w:r>
      <w:r w:rsidR="005F4724" w:rsidRPr="0089734A">
        <w:rPr>
          <w:rFonts w:ascii="Century Schoolbook" w:hAnsi="Century Schoolbook"/>
          <w:i/>
          <w:iCs/>
          <w:sz w:val="26"/>
          <w:szCs w:val="26"/>
        </w:rPr>
        <w:t>Villegas-Rubi v. Dynamic Change, Inc.</w:t>
      </w:r>
      <w:r w:rsidR="005F4724">
        <w:rPr>
          <w:rFonts w:ascii="Century Schoolbook" w:hAnsi="Century Schoolbook"/>
          <w:sz w:val="26"/>
          <w:szCs w:val="26"/>
        </w:rPr>
        <w:t xml:space="preserve">, 2018 WL 706485, *1 (D. Or. 2018) (holding service on a person “over the age of 14 year” was suitable); </w:t>
      </w:r>
      <w:r w:rsidR="008A412C" w:rsidRPr="008A412C">
        <w:rPr>
          <w:rFonts w:ascii="Century Schoolbook" w:hAnsi="Century Schoolbook"/>
          <w:bCs/>
          <w:i/>
          <w:iCs/>
          <w:color w:val="000000"/>
          <w:sz w:val="26"/>
          <w:szCs w:val="26"/>
        </w:rPr>
        <w:t xml:space="preserve">G.W. Palmer &amp; Co. v. Fla. Fresh </w:t>
      </w:r>
      <w:r w:rsidR="008A412C" w:rsidRPr="008A412C">
        <w:rPr>
          <w:rFonts w:ascii="Century Schoolbook" w:hAnsi="Century Schoolbook"/>
          <w:bCs/>
          <w:i/>
          <w:iCs/>
          <w:color w:val="000000"/>
          <w:sz w:val="26"/>
          <w:szCs w:val="26"/>
        </w:rPr>
        <w:lastRenderedPageBreak/>
        <w:t>Produce Corp.</w:t>
      </w:r>
      <w:r w:rsidR="008A412C">
        <w:rPr>
          <w:rFonts w:ascii="Century Schoolbook" w:hAnsi="Century Schoolbook"/>
          <w:bCs/>
          <w:color w:val="000000"/>
          <w:sz w:val="26"/>
          <w:szCs w:val="26"/>
        </w:rPr>
        <w:t>, 2018 WL 3860125 (M.D. Fla. 2018) (</w:t>
      </w:r>
      <w:r w:rsidR="005F4724">
        <w:rPr>
          <w:rFonts w:ascii="Century Schoolbook" w:hAnsi="Century Schoolbook"/>
          <w:bCs/>
          <w:color w:val="000000"/>
          <w:sz w:val="26"/>
          <w:szCs w:val="26"/>
        </w:rPr>
        <w:t xml:space="preserve">holding </w:t>
      </w:r>
      <w:r w:rsidR="008A412C">
        <w:rPr>
          <w:rFonts w:ascii="Century Schoolbook" w:hAnsi="Century Schoolbook"/>
          <w:bCs/>
          <w:color w:val="000000"/>
          <w:sz w:val="26"/>
          <w:szCs w:val="26"/>
        </w:rPr>
        <w:t>service on fifteen-year-old was proper service)</w:t>
      </w:r>
      <w:r>
        <w:rPr>
          <w:rFonts w:ascii="Century Schoolbook" w:hAnsi="Century Schoolbook"/>
          <w:bCs/>
          <w:color w:val="000000"/>
          <w:sz w:val="26"/>
          <w:szCs w:val="26"/>
        </w:rPr>
        <w:t>.</w:t>
      </w:r>
    </w:p>
    <w:p w14:paraId="448BF5FC" w14:textId="4505D9DD" w:rsidR="005F4724" w:rsidRPr="000B7555" w:rsidRDefault="000B7555" w:rsidP="005F4724">
      <w:pPr>
        <w:spacing w:line="480" w:lineRule="auto"/>
        <w:ind w:left="144" w:firstLine="576"/>
        <w:jc w:val="both"/>
        <w:rPr>
          <w:rFonts w:ascii="Century Schoolbook" w:hAnsi="Century Schoolbook"/>
          <w:bCs/>
          <w:color w:val="000000"/>
          <w:sz w:val="26"/>
          <w:szCs w:val="26"/>
        </w:rPr>
      </w:pPr>
      <w:r w:rsidRPr="000B7555">
        <w:rPr>
          <w:rFonts w:ascii="Century Schoolbook" w:hAnsi="Century Schoolbook"/>
          <w:bCs/>
          <w:color w:val="000000"/>
          <w:sz w:val="26"/>
          <w:szCs w:val="26"/>
        </w:rPr>
        <w:t>T</w:t>
      </w:r>
      <w:r w:rsidR="001B29F1">
        <w:rPr>
          <w:rFonts w:ascii="Century Schoolbook" w:hAnsi="Century Schoolbook"/>
          <w:bCs/>
          <w:color w:val="000000"/>
          <w:sz w:val="26"/>
          <w:szCs w:val="26"/>
        </w:rPr>
        <w:t>h</w:t>
      </w:r>
      <w:r w:rsidRPr="000B7555">
        <w:rPr>
          <w:rFonts w:ascii="Century Schoolbook" w:hAnsi="Century Schoolbook"/>
          <w:bCs/>
          <w:color w:val="000000"/>
          <w:sz w:val="26"/>
          <w:szCs w:val="26"/>
        </w:rPr>
        <w:t xml:space="preserve">e cases </w:t>
      </w:r>
      <w:r w:rsidR="001B29F1">
        <w:rPr>
          <w:rFonts w:ascii="Century Schoolbook" w:hAnsi="Century Schoolbook"/>
          <w:bCs/>
          <w:color w:val="000000"/>
          <w:sz w:val="26"/>
          <w:szCs w:val="26"/>
        </w:rPr>
        <w:t xml:space="preserve">cited above </w:t>
      </w:r>
      <w:r w:rsidR="008A412C">
        <w:rPr>
          <w:rFonts w:ascii="Century Schoolbook" w:hAnsi="Century Schoolbook"/>
          <w:bCs/>
          <w:color w:val="000000"/>
          <w:sz w:val="26"/>
          <w:szCs w:val="26"/>
        </w:rPr>
        <w:t>are consistent with COFC’s views</w:t>
      </w:r>
      <w:r w:rsidR="005F4724">
        <w:rPr>
          <w:rFonts w:ascii="Century Schoolbook" w:hAnsi="Century Schoolbook"/>
          <w:bCs/>
          <w:color w:val="000000"/>
          <w:sz w:val="26"/>
          <w:szCs w:val="26"/>
        </w:rPr>
        <w:t xml:space="preserve"> that a case-by-case approach is best</w:t>
      </w:r>
      <w:r w:rsidR="008A412C">
        <w:rPr>
          <w:rFonts w:ascii="Century Schoolbook" w:hAnsi="Century Schoolbook"/>
          <w:bCs/>
          <w:color w:val="000000"/>
          <w:sz w:val="26"/>
          <w:szCs w:val="26"/>
        </w:rPr>
        <w:t xml:space="preserve">. </w:t>
      </w:r>
    </w:p>
    <w:p w14:paraId="7F135525" w14:textId="01C780BC" w:rsidR="00E614FC" w:rsidRPr="000B7555" w:rsidRDefault="00E614FC" w:rsidP="00E931EE">
      <w:pPr>
        <w:spacing w:line="480" w:lineRule="auto"/>
        <w:ind w:left="144"/>
        <w:jc w:val="both"/>
        <w:rPr>
          <w:rFonts w:ascii="Century Schoolbook" w:hAnsi="Century Schoolbook"/>
          <w:bCs/>
          <w:color w:val="000000"/>
          <w:sz w:val="26"/>
          <w:szCs w:val="26"/>
        </w:rPr>
      </w:pPr>
      <w:r w:rsidRPr="000B7555">
        <w:rPr>
          <w:rFonts w:ascii="Century Schoolbook" w:hAnsi="Century Schoolbook"/>
          <w:bCs/>
          <w:color w:val="000000"/>
          <w:sz w:val="26"/>
          <w:szCs w:val="26"/>
        </w:rPr>
        <w:tab/>
        <w:t>For the foregoing reasons, COFC respectfully requests that the Court deny the Petition.</w:t>
      </w:r>
    </w:p>
    <w:p w14:paraId="13EAD0F2" w14:textId="3653B9A6" w:rsidR="00C41CA7" w:rsidRPr="000B7555" w:rsidRDefault="00511B7B" w:rsidP="00511B7B">
      <w:pPr>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00C41CA7" w:rsidRPr="000B7555">
        <w:rPr>
          <w:rFonts w:ascii="Century Schoolbook" w:hAnsi="Century Schoolbook"/>
          <w:sz w:val="26"/>
          <w:szCs w:val="26"/>
        </w:rPr>
        <w:t xml:space="preserve">DATED this </w:t>
      </w:r>
      <w:r w:rsidR="00BB1A03">
        <w:rPr>
          <w:rFonts w:ascii="Century Schoolbook" w:hAnsi="Century Schoolbook"/>
          <w:sz w:val="26"/>
          <w:szCs w:val="26"/>
        </w:rPr>
        <w:t>30th</w:t>
      </w:r>
      <w:r w:rsidR="00D50863" w:rsidRPr="000B7555">
        <w:rPr>
          <w:rFonts w:ascii="Century Schoolbook" w:hAnsi="Century Schoolbook"/>
          <w:sz w:val="26"/>
          <w:szCs w:val="26"/>
        </w:rPr>
        <w:t xml:space="preserve"> </w:t>
      </w:r>
      <w:r w:rsidR="00C41CA7" w:rsidRPr="000B7555">
        <w:rPr>
          <w:rFonts w:ascii="Century Schoolbook" w:hAnsi="Century Schoolbook"/>
          <w:sz w:val="26"/>
          <w:szCs w:val="26"/>
        </w:rPr>
        <w:t xml:space="preserve">day of </w:t>
      </w:r>
      <w:r w:rsidR="003C3420" w:rsidRPr="000B7555">
        <w:rPr>
          <w:rFonts w:ascii="Century Schoolbook" w:hAnsi="Century Schoolbook"/>
          <w:sz w:val="26"/>
          <w:szCs w:val="26"/>
        </w:rPr>
        <w:t>April</w:t>
      </w:r>
      <w:r w:rsidR="00F42685" w:rsidRPr="000B7555">
        <w:rPr>
          <w:rFonts w:ascii="Century Schoolbook" w:hAnsi="Century Schoolbook"/>
          <w:sz w:val="26"/>
          <w:szCs w:val="26"/>
        </w:rPr>
        <w:t xml:space="preserve"> 2</w:t>
      </w:r>
      <w:r w:rsidR="00C41CA7" w:rsidRPr="000B7555">
        <w:rPr>
          <w:rFonts w:ascii="Century Schoolbook" w:hAnsi="Century Schoolbook"/>
          <w:sz w:val="26"/>
          <w:szCs w:val="26"/>
        </w:rPr>
        <w:t>0</w:t>
      </w:r>
      <w:r w:rsidR="00FA3A0D" w:rsidRPr="000B7555">
        <w:rPr>
          <w:rFonts w:ascii="Century Schoolbook" w:hAnsi="Century Schoolbook"/>
          <w:sz w:val="26"/>
          <w:szCs w:val="26"/>
        </w:rPr>
        <w:t>2</w:t>
      </w:r>
      <w:r w:rsidR="003C3420" w:rsidRPr="000B7555">
        <w:rPr>
          <w:rFonts w:ascii="Century Schoolbook" w:hAnsi="Century Schoolbook"/>
          <w:sz w:val="26"/>
          <w:szCs w:val="26"/>
        </w:rPr>
        <w:t>4</w:t>
      </w:r>
      <w:r w:rsidR="00C41CA7" w:rsidRPr="000B7555">
        <w:rPr>
          <w:rFonts w:ascii="Century Schoolbook" w:hAnsi="Century Schoolbook"/>
          <w:sz w:val="26"/>
          <w:szCs w:val="26"/>
        </w:rPr>
        <w:t>.</w:t>
      </w:r>
    </w:p>
    <w:p w14:paraId="325E9E2B" w14:textId="77777777" w:rsidR="00C41CA7" w:rsidRDefault="00C41CA7">
      <w:pPr>
        <w:jc w:val="both"/>
        <w:rPr>
          <w:rFonts w:ascii="Century Schoolbook" w:hAnsi="Century Schoolbook"/>
          <w:sz w:val="26"/>
          <w:szCs w:val="26"/>
        </w:rPr>
      </w:pPr>
    </w:p>
    <w:p w14:paraId="6F2E5900" w14:textId="77777777" w:rsidR="005F4724" w:rsidRPr="000B7555" w:rsidRDefault="005F4724">
      <w:pPr>
        <w:jc w:val="both"/>
        <w:rPr>
          <w:rFonts w:ascii="Century Schoolbook" w:hAnsi="Century Schoolbook"/>
          <w:sz w:val="26"/>
          <w:szCs w:val="26"/>
        </w:rPr>
      </w:pPr>
    </w:p>
    <w:p w14:paraId="257CB363" w14:textId="464FB67B" w:rsidR="00C41CA7" w:rsidRPr="000B7555" w:rsidRDefault="00FF2B36" w:rsidP="00B44D1E">
      <w:pPr>
        <w:jc w:val="both"/>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00DD4E3C" w:rsidRPr="000B7555">
        <w:rPr>
          <w:rFonts w:ascii="Century Schoolbook" w:hAnsi="Century Schoolbook"/>
          <w:sz w:val="26"/>
          <w:szCs w:val="26"/>
        </w:rPr>
        <w:tab/>
      </w:r>
      <w:r w:rsidR="00DD4E3C"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00F42685" w:rsidRPr="000B7555">
        <w:rPr>
          <w:rFonts w:ascii="Century Schoolbook" w:hAnsi="Century Schoolbook"/>
          <w:sz w:val="26"/>
          <w:szCs w:val="26"/>
        </w:rPr>
        <w:t>Greg Sakall</w:t>
      </w:r>
    </w:p>
    <w:p w14:paraId="081CDB18" w14:textId="43D723A0" w:rsidR="00656F65" w:rsidRPr="000B7555" w:rsidRDefault="00656F65" w:rsidP="00B44D1E">
      <w:pPr>
        <w:jc w:val="both"/>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t xml:space="preserve">Chair, </w:t>
      </w:r>
      <w:r w:rsidR="003C3420" w:rsidRPr="000B7555">
        <w:rPr>
          <w:rFonts w:ascii="Century Schoolbook" w:hAnsi="Century Schoolbook"/>
          <w:sz w:val="26"/>
          <w:szCs w:val="26"/>
        </w:rPr>
        <w:t>Committee on Family Court</w:t>
      </w:r>
    </w:p>
    <w:p w14:paraId="3BFA9A08" w14:textId="77777777" w:rsidR="0041229A" w:rsidRPr="00E931EE" w:rsidRDefault="0041229A" w:rsidP="00FF2B36">
      <w:pPr>
        <w:jc w:val="both"/>
        <w:rPr>
          <w:rFonts w:ascii="Book Antiqua" w:hAnsi="Book Antiqua"/>
          <w:szCs w:val="24"/>
        </w:rPr>
      </w:pPr>
    </w:p>
    <w:p w14:paraId="42356FC3" w14:textId="36EAE8D3" w:rsidR="0041229A" w:rsidRPr="001F3F71" w:rsidRDefault="0041229A" w:rsidP="0041229A">
      <w:pPr>
        <w:spacing w:line="480" w:lineRule="auto"/>
        <w:jc w:val="both"/>
        <w:rPr>
          <w:sz w:val="28"/>
          <w:szCs w:val="28"/>
        </w:rPr>
      </w:pPr>
    </w:p>
    <w:p w14:paraId="3A429070" w14:textId="044BC89A" w:rsidR="00E63346" w:rsidRPr="00E63346" w:rsidRDefault="00E63346" w:rsidP="00F42685">
      <w:pPr>
        <w:rPr>
          <w:sz w:val="28"/>
          <w:szCs w:val="28"/>
        </w:rPr>
      </w:pPr>
    </w:p>
    <w:sectPr w:rsidR="00E63346" w:rsidRPr="00E63346" w:rsidSect="0042795F">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67BA" w14:textId="62691BC1"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r w:rsidR="0089734A">
      <w:fldChar w:fldCharType="begin"/>
    </w:r>
    <w:r w:rsidR="0089734A">
      <w:instrText xml:space="preserve"> NUMPAGES </w:instrText>
    </w:r>
    <w:r w:rsidR="0089734A">
      <w:fldChar w:fldCharType="separate"/>
    </w:r>
    <w:r w:rsidR="00E03DC7">
      <w:rPr>
        <w:noProof/>
      </w:rPr>
      <w:t>6</w:t>
    </w:r>
    <w:r w:rsidR="0089734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6"/>
  </w:num>
  <w:num w:numId="3" w16cid:durableId="370226306">
    <w:abstractNumId w:val="8"/>
  </w:num>
  <w:num w:numId="4" w16cid:durableId="367801761">
    <w:abstractNumId w:val="1"/>
  </w:num>
  <w:num w:numId="5" w16cid:durableId="1139834692">
    <w:abstractNumId w:val="9"/>
  </w:num>
  <w:num w:numId="6" w16cid:durableId="499737626">
    <w:abstractNumId w:val="7"/>
  </w:num>
  <w:num w:numId="7" w16cid:durableId="978533070">
    <w:abstractNumId w:val="3"/>
  </w:num>
  <w:num w:numId="8" w16cid:durableId="1097822676">
    <w:abstractNumId w:val="5"/>
  </w:num>
  <w:num w:numId="9" w16cid:durableId="1751077909">
    <w:abstractNumId w:val="4"/>
  </w:num>
  <w:num w:numId="10" w16cid:durableId="502553845">
    <w:abstractNumId w:val="10"/>
  </w:num>
  <w:num w:numId="11" w16cid:durableId="128175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4019A"/>
    <w:rsid w:val="000409A2"/>
    <w:rsid w:val="00041FC5"/>
    <w:rsid w:val="0004337F"/>
    <w:rsid w:val="000463A4"/>
    <w:rsid w:val="00051848"/>
    <w:rsid w:val="00063A90"/>
    <w:rsid w:val="00063BA6"/>
    <w:rsid w:val="000648F0"/>
    <w:rsid w:val="00064955"/>
    <w:rsid w:val="00073A6B"/>
    <w:rsid w:val="000751F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83BD6"/>
    <w:rsid w:val="00192F27"/>
    <w:rsid w:val="00195CF1"/>
    <w:rsid w:val="001A3658"/>
    <w:rsid w:val="001A7EF9"/>
    <w:rsid w:val="001B0885"/>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2D6"/>
    <w:rsid w:val="002D5B9B"/>
    <w:rsid w:val="002E007E"/>
    <w:rsid w:val="002E4500"/>
    <w:rsid w:val="002E475E"/>
    <w:rsid w:val="002E5DA5"/>
    <w:rsid w:val="002F4789"/>
    <w:rsid w:val="002F5030"/>
    <w:rsid w:val="002F52F0"/>
    <w:rsid w:val="002F68BE"/>
    <w:rsid w:val="00300D46"/>
    <w:rsid w:val="003037A0"/>
    <w:rsid w:val="00305EF7"/>
    <w:rsid w:val="0030696F"/>
    <w:rsid w:val="00307CA9"/>
    <w:rsid w:val="0031002A"/>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795F"/>
    <w:rsid w:val="00430699"/>
    <w:rsid w:val="004323A2"/>
    <w:rsid w:val="004332E1"/>
    <w:rsid w:val="0043489C"/>
    <w:rsid w:val="00434DBF"/>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E42B8"/>
    <w:rsid w:val="005F1FBA"/>
    <w:rsid w:val="005F2E95"/>
    <w:rsid w:val="005F4724"/>
    <w:rsid w:val="005F7BBA"/>
    <w:rsid w:val="006007F5"/>
    <w:rsid w:val="0060153C"/>
    <w:rsid w:val="0060188F"/>
    <w:rsid w:val="006052DE"/>
    <w:rsid w:val="00605591"/>
    <w:rsid w:val="006072CC"/>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68FA"/>
    <w:rsid w:val="00707AF0"/>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3789"/>
    <w:rsid w:val="007640C5"/>
    <w:rsid w:val="00771B9A"/>
    <w:rsid w:val="00792D43"/>
    <w:rsid w:val="007977BA"/>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7057A"/>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F2BF1"/>
    <w:rsid w:val="00AF381A"/>
    <w:rsid w:val="00AF3BF5"/>
    <w:rsid w:val="00B021F3"/>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1A03"/>
    <w:rsid w:val="00BB2893"/>
    <w:rsid w:val="00BB3511"/>
    <w:rsid w:val="00BC1957"/>
    <w:rsid w:val="00BC212F"/>
    <w:rsid w:val="00BC383F"/>
    <w:rsid w:val="00BD092A"/>
    <w:rsid w:val="00BD373E"/>
    <w:rsid w:val="00BE69E3"/>
    <w:rsid w:val="00BF086C"/>
    <w:rsid w:val="00BF4EFC"/>
    <w:rsid w:val="00BF6C43"/>
    <w:rsid w:val="00C04B6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2696"/>
    <w:rsid w:val="00D812C0"/>
    <w:rsid w:val="00D8168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1457"/>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ard@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2024-04-30T19:27:00Z</dcterms:created>
  <dcterms:modified xsi:type="dcterms:W3CDTF">2024-04-30T19:27:00Z</dcterms:modified>
</cp:coreProperties>
</file>