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0FD476B6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425B94">
              <w:rPr>
                <w:sz w:val="28"/>
                <w:szCs w:val="28"/>
              </w:rPr>
              <w:t>SUPREME COURT RULES 32(b) AND (c)</w:t>
            </w:r>
          </w:p>
          <w:p w14:paraId="7891272B" w14:textId="5DDE8221" w:rsidR="00ED2DDF" w:rsidRPr="00826F75" w:rsidRDefault="00ED2DDF" w:rsidP="0089425E">
            <w:pPr>
              <w:rPr>
                <w:sz w:val="28"/>
                <w:szCs w:val="28"/>
              </w:rPr>
            </w:pPr>
          </w:p>
          <w:p w14:paraId="7891272C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236AAC5B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Pr="00AC2147">
              <w:rPr>
                <w:bCs/>
                <w:sz w:val="28"/>
                <w:szCs w:val="28"/>
              </w:rPr>
              <w:t>R-</w:t>
            </w:r>
            <w:r w:rsidR="009A51FE">
              <w:rPr>
                <w:bCs/>
                <w:sz w:val="28"/>
                <w:szCs w:val="28"/>
              </w:rPr>
              <w:t>24-0030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5F39A8CE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CA1029">
              <w:rPr>
                <w:b/>
                <w:sz w:val="28"/>
                <w:szCs w:val="28"/>
              </w:rPr>
              <w:t>OPPOSING</w:t>
            </w:r>
            <w:r w:rsidR="0061015E">
              <w:rPr>
                <w:b/>
                <w:sz w:val="28"/>
                <w:szCs w:val="28"/>
              </w:rPr>
              <w:t xml:space="preserve">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690EF759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C40C7A">
        <w:rPr>
          <w:sz w:val="28"/>
          <w:szCs w:val="28"/>
        </w:rPr>
        <w:t>oppose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AC2147" w:rsidRPr="00AC2147">
        <w:rPr>
          <w:sz w:val="28"/>
          <w:szCs w:val="28"/>
        </w:rPr>
        <w:t>R-24-0030</w:t>
      </w:r>
      <w:r w:rsidR="00AC2147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C40C7A" w:rsidRPr="00AC2147">
        <w:rPr>
          <w:sz w:val="28"/>
          <w:szCs w:val="28"/>
        </w:rPr>
        <w:lastRenderedPageBreak/>
        <w:t>by majority vote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</w:t>
      </w:r>
      <w:r w:rsidR="009C1EE0">
        <w:rPr>
          <w:sz w:val="28"/>
          <w:szCs w:val="28"/>
        </w:rPr>
        <w:t xml:space="preserve">opposition to </w:t>
      </w:r>
      <w:r w:rsidR="003829BC" w:rsidRPr="003829BC">
        <w:rPr>
          <w:sz w:val="28"/>
          <w:szCs w:val="28"/>
        </w:rPr>
        <w:t xml:space="preserve">the changes requested in the Petition.  </w:t>
      </w:r>
    </w:p>
    <w:p w14:paraId="13CA212C" w14:textId="6561F15E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7C2">
        <w:rPr>
          <w:sz w:val="28"/>
          <w:szCs w:val="28"/>
        </w:rPr>
        <w:t xml:space="preserve">This </w:t>
      </w:r>
      <w:r w:rsidR="009C1EE0">
        <w:rPr>
          <w:sz w:val="28"/>
          <w:szCs w:val="28"/>
        </w:rPr>
        <w:t>P</w:t>
      </w:r>
      <w:r w:rsidR="008777C2">
        <w:rPr>
          <w:sz w:val="28"/>
          <w:szCs w:val="28"/>
        </w:rPr>
        <w:t xml:space="preserve">etition seeks to eliminate membership dues for non-regulatory functions of the State Bar of Arizona. </w:t>
      </w:r>
      <w:r w:rsidR="000471A0">
        <w:rPr>
          <w:sz w:val="28"/>
          <w:szCs w:val="28"/>
        </w:rPr>
        <w:t>As part of its mission, the State Bar is tasked with addressing access to justice</w:t>
      </w:r>
      <w:r w:rsidR="00C61A88">
        <w:rPr>
          <w:sz w:val="28"/>
          <w:szCs w:val="28"/>
        </w:rPr>
        <w:t xml:space="preserve"> in our state. To fulfill that mission, it partners with the Arizona Bar Foundation to provide funding for access to justice initiatives</w:t>
      </w:r>
      <w:r w:rsidR="009E33A7">
        <w:rPr>
          <w:sz w:val="28"/>
          <w:szCs w:val="28"/>
        </w:rPr>
        <w:t xml:space="preserve"> that assist non-profit legal aid organizations which service low-income citizens in need of legal representation. Additionally, it encourages </w:t>
      </w:r>
      <w:r w:rsidR="0005316C">
        <w:rPr>
          <w:sz w:val="28"/>
          <w:szCs w:val="28"/>
        </w:rPr>
        <w:t>its members to participate in pro bono opportunities to provide no cost legal assistance through phone banks</w:t>
      </w:r>
      <w:r w:rsidR="00555D1D">
        <w:rPr>
          <w:sz w:val="28"/>
          <w:szCs w:val="28"/>
        </w:rPr>
        <w:t xml:space="preserve">, community events and online. </w:t>
      </w:r>
      <w:r w:rsidR="004336AD">
        <w:rPr>
          <w:sz w:val="28"/>
          <w:szCs w:val="28"/>
        </w:rPr>
        <w:t xml:space="preserve">The adoption of this rule petition would have a negative effect on </w:t>
      </w:r>
      <w:r w:rsidR="00B83AB1">
        <w:rPr>
          <w:sz w:val="28"/>
          <w:szCs w:val="28"/>
        </w:rPr>
        <w:t xml:space="preserve">the efforts of the Commission and those of the legal profession. </w:t>
      </w:r>
      <w:r w:rsidR="000471A0">
        <w:rPr>
          <w:sz w:val="28"/>
          <w:szCs w:val="28"/>
        </w:rPr>
        <w:t xml:space="preserve"> </w:t>
      </w:r>
    </w:p>
    <w:p w14:paraId="35B595AF" w14:textId="3EE40BC0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  <w:t xml:space="preserve">For these reasons, the Commission </w:t>
      </w:r>
      <w:r w:rsidR="000C7F8D">
        <w:rPr>
          <w:sz w:val="28"/>
          <w:szCs w:val="28"/>
        </w:rPr>
        <w:t xml:space="preserve">opposes </w:t>
      </w:r>
      <w:r w:rsidRPr="00826F75">
        <w:rPr>
          <w:sz w:val="28"/>
          <w:szCs w:val="28"/>
        </w:rPr>
        <w:t xml:space="preserve">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AC2147" w:rsidRPr="00AC2147">
        <w:rPr>
          <w:sz w:val="28"/>
          <w:szCs w:val="28"/>
        </w:rPr>
        <w:t>R-24-0030</w:t>
      </w:r>
      <w:r w:rsidRPr="00826F75">
        <w:rPr>
          <w:sz w:val="28"/>
          <w:szCs w:val="28"/>
        </w:rPr>
        <w:t>.</w:t>
      </w:r>
    </w:p>
    <w:p w14:paraId="78912760" w14:textId="11246A55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AC2147">
        <w:rPr>
          <w:sz w:val="28"/>
          <w:szCs w:val="28"/>
        </w:rPr>
        <w:t>29</w:t>
      </w:r>
      <w:r w:rsidR="00AC2147" w:rsidRPr="00AC2147">
        <w:rPr>
          <w:sz w:val="28"/>
          <w:szCs w:val="28"/>
          <w:vertAlign w:val="superscript"/>
        </w:rPr>
        <w:t>th</w:t>
      </w:r>
      <w:r w:rsidR="00AC2147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143377DF" w:rsidR="00ED2DDF" w:rsidRPr="00826F75" w:rsidRDefault="00495C76" w:rsidP="00B83AB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66EC8" w14:textId="77777777" w:rsidR="00D84A98" w:rsidRDefault="00D84A98">
      <w:r>
        <w:separator/>
      </w:r>
    </w:p>
  </w:endnote>
  <w:endnote w:type="continuationSeparator" w:id="0">
    <w:p w14:paraId="66F3D1A4" w14:textId="77777777" w:rsidR="00D84A98" w:rsidRDefault="00D8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DA3E" w14:textId="77777777" w:rsidR="00D84A98" w:rsidRDefault="00D84A98">
      <w:r>
        <w:separator/>
      </w:r>
    </w:p>
  </w:footnote>
  <w:footnote w:type="continuationSeparator" w:id="0">
    <w:p w14:paraId="03B85FFB" w14:textId="77777777" w:rsidR="00D84A98" w:rsidRDefault="00D8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1A0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16C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C7F8D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20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B94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6AD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1D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15E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7C2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1FE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1EE0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3A7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4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3AB1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88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29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79CE3-D266-4A1A-9C82-C7BA9BFDAF00}">
  <ds:schemaRefs>
    <ds:schemaRef ds:uri="http://schemas.microsoft.com/office/infopath/2007/PartnerControls"/>
    <ds:schemaRef ds:uri="03ac0a3b-1637-4631-b848-3e367ee1a35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7</cp:revision>
  <cp:lastPrinted>2012-12-05T16:46:00Z</cp:lastPrinted>
  <dcterms:created xsi:type="dcterms:W3CDTF">2024-04-24T18:07:00Z</dcterms:created>
  <dcterms:modified xsi:type="dcterms:W3CDTF">2024-04-25T15:50:00Z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