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51D1D392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CD65C3">
              <w:rPr>
                <w:sz w:val="28"/>
                <w:szCs w:val="28"/>
              </w:rPr>
              <w:t>ARIZONA RULE OF EVIDENCE 801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C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39807094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D71F8A" w:rsidRPr="00D71F8A">
              <w:rPr>
                <w:bCs/>
                <w:sz w:val="28"/>
                <w:szCs w:val="28"/>
              </w:rPr>
              <w:t>R-24-0020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6F7992FC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CD65C3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6688C21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D71F8A" w:rsidRPr="00D71F8A">
        <w:rPr>
          <w:sz w:val="28"/>
          <w:szCs w:val="28"/>
        </w:rPr>
        <w:t>R-24-0020</w:t>
      </w:r>
      <w:r w:rsidR="00D71F8A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B8022A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2D4768C8" w14:textId="77777777" w:rsidR="00CC1702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6C3" w:rsidRPr="00AA16C3">
        <w:rPr>
          <w:sz w:val="28"/>
          <w:szCs w:val="28"/>
        </w:rPr>
        <w:t>Th</w:t>
      </w:r>
      <w:r w:rsidR="007E39B7">
        <w:rPr>
          <w:sz w:val="28"/>
          <w:szCs w:val="28"/>
        </w:rPr>
        <w:t>e</w:t>
      </w:r>
      <w:r w:rsidR="00AA16C3" w:rsidRPr="00AA16C3">
        <w:rPr>
          <w:sz w:val="28"/>
          <w:szCs w:val="28"/>
        </w:rPr>
        <w:t xml:space="preserve"> </w:t>
      </w:r>
      <w:r w:rsidR="007E39B7">
        <w:rPr>
          <w:sz w:val="28"/>
          <w:szCs w:val="28"/>
        </w:rPr>
        <w:t>P</w:t>
      </w:r>
      <w:r w:rsidR="00AA16C3" w:rsidRPr="00AA16C3">
        <w:rPr>
          <w:sz w:val="28"/>
          <w:szCs w:val="28"/>
        </w:rPr>
        <w:t>etition would amend Ariz. R. Evid. 801 to conform to the anticipated 2024 amendments to Fed. R. Evid. 801, clarifying that a declarant’s out-of-court statement is not hearsay if potential liability against a party is derived from the declarant or the declarant’s principal. This prevents possible strategic action, such as assigning a claim to avoid admissibility of a statement, thereby increasing the fairness of the civil justice process.</w:t>
      </w:r>
    </w:p>
    <w:p w14:paraId="35B595AF" w14:textId="36106034" w:rsidR="000639A9" w:rsidRPr="00826F75" w:rsidRDefault="002101A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D71F8A" w:rsidRPr="00D71F8A">
        <w:rPr>
          <w:sz w:val="28"/>
          <w:szCs w:val="28"/>
        </w:rPr>
        <w:t>R-24-0020</w:t>
      </w:r>
      <w:r w:rsidR="004F6D50" w:rsidRPr="00826F75">
        <w:rPr>
          <w:sz w:val="28"/>
          <w:szCs w:val="28"/>
        </w:rPr>
        <w:t>.</w:t>
      </w:r>
    </w:p>
    <w:p w14:paraId="78912760" w14:textId="66780B3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E073F9">
        <w:rPr>
          <w:sz w:val="28"/>
          <w:szCs w:val="28"/>
        </w:rPr>
        <w:t>29</w:t>
      </w:r>
      <w:r w:rsidR="00E073F9" w:rsidRPr="00E073F9">
        <w:rPr>
          <w:sz w:val="28"/>
          <w:szCs w:val="28"/>
          <w:vertAlign w:val="superscript"/>
        </w:rPr>
        <w:t>th</w:t>
      </w:r>
      <w:r w:rsidR="00E073F9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6EC8" w14:textId="77777777" w:rsidR="00D84A98" w:rsidRDefault="00D84A98">
      <w:r>
        <w:separator/>
      </w:r>
    </w:p>
  </w:endnote>
  <w:endnote w:type="continuationSeparator" w:id="0">
    <w:p w14:paraId="66F3D1A4" w14:textId="77777777" w:rsidR="00D84A98" w:rsidRDefault="00D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DA3E" w14:textId="77777777" w:rsidR="00D84A98" w:rsidRDefault="00D84A98">
      <w:r>
        <w:separator/>
      </w:r>
    </w:p>
  </w:footnote>
  <w:footnote w:type="continuationSeparator" w:id="0">
    <w:p w14:paraId="03B85FFB" w14:textId="77777777" w:rsidR="00D84A98" w:rsidRDefault="00D8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1AB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9B7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6C3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22A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702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5C3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1F8A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3F9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D7C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79CE3-D266-4A1A-9C82-C7BA9BFDAF00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df7ae14-26c4-4efb-b852-2477244499ae"/>
    <ds:schemaRef ds:uri="03ac0a3b-1637-4631-b848-3e367ee1a3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10</cp:revision>
  <cp:lastPrinted>2012-12-05T16:46:00Z</cp:lastPrinted>
  <dcterms:created xsi:type="dcterms:W3CDTF">2024-04-23T23:19:00Z</dcterms:created>
  <dcterms:modified xsi:type="dcterms:W3CDTF">2024-04-26T16:52:00Z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