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4260"/>
      </w:tblGrid>
      <w:tr w:rsidR="00BC4A0B" w14:paraId="4D5C385B" w14:textId="77777777" w:rsidTr="00C50157">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934CB9D" w14:textId="46A6CD5E"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Rosemarie </w:t>
            </w:r>
            <w:r w:rsidR="00F844CA" w:rsidRPr="00F844CA">
              <w:rPr>
                <w:rFonts w:ascii="Century Schoolbook" w:eastAsia="Century Schoolbook" w:hAnsi="Century Schoolbook" w:cs="Century Schoolbook"/>
                <w:sz w:val="28"/>
                <w:szCs w:val="28"/>
              </w:rPr>
              <w:t>Peña</w:t>
            </w:r>
            <w:r>
              <w:rPr>
                <w:rFonts w:ascii="Century Schoolbook" w:eastAsia="Century Schoolbook" w:hAnsi="Century Schoolbook" w:cs="Century Schoolbook"/>
                <w:sz w:val="28"/>
                <w:szCs w:val="28"/>
              </w:rPr>
              <w:t xml:space="preserve">-Lynch </w:t>
            </w:r>
          </w:p>
          <w:p w14:paraId="79743A52"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Bar No. 023400</w:t>
            </w:r>
          </w:p>
          <w:p w14:paraId="7AEE5864"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Office of Public Defense Services</w:t>
            </w:r>
          </w:p>
          <w:p w14:paraId="24C1F73B"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620 W. Jackson, Suite 3076</w:t>
            </w:r>
          </w:p>
          <w:p w14:paraId="4036527F"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Phoenix, AZ 85003</w:t>
            </w:r>
          </w:p>
          <w:p w14:paraId="7F07B796"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(602) 506-7228</w:t>
            </w:r>
          </w:p>
          <w:p w14:paraId="661AF372" w14:textId="77777777" w:rsidR="00BC4A0B" w:rsidRDefault="00000000" w:rsidP="00C50157">
            <w:pPr>
              <w:spacing w:line="240" w:lineRule="auto"/>
              <w:rPr>
                <w:rFonts w:ascii="Century Schoolbook" w:eastAsia="Century Schoolbook" w:hAnsi="Century Schoolbook" w:cs="Century Schoolbook"/>
                <w:sz w:val="28"/>
                <w:szCs w:val="28"/>
              </w:rPr>
            </w:pPr>
            <w:hyperlink r:id="rId7">
              <w:r w:rsidR="00BC4A0B">
                <w:rPr>
                  <w:rFonts w:ascii="Century Schoolbook" w:eastAsia="Century Schoolbook" w:hAnsi="Century Schoolbook" w:cs="Century Schoolbook"/>
                  <w:color w:val="1155CC"/>
                  <w:sz w:val="28"/>
                  <w:szCs w:val="28"/>
                  <w:u w:val="single"/>
                </w:rPr>
                <w:t>Rosemarie.Pena-Lynch@maricopa.gov</w:t>
              </w:r>
            </w:hyperlink>
            <w:r w:rsidR="00BC4A0B">
              <w:rPr>
                <w:rFonts w:ascii="Century Schoolbook" w:eastAsia="Century Schoolbook" w:hAnsi="Century Schoolbook" w:cs="Century Schoolbook"/>
                <w:sz w:val="28"/>
                <w:szCs w:val="28"/>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2FA434B"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Gary Kula</w:t>
            </w:r>
          </w:p>
          <w:p w14:paraId="45F456C8"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Bar No. 012507</w:t>
            </w:r>
          </w:p>
          <w:p w14:paraId="49B21BE2"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Public Defender’s Office</w:t>
            </w:r>
          </w:p>
          <w:p w14:paraId="50E49626"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620 W. Jackson, Suite 4015</w:t>
            </w:r>
          </w:p>
          <w:p w14:paraId="6C6122F8"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Phoenix, AZ 85003</w:t>
            </w:r>
          </w:p>
          <w:p w14:paraId="658764E6"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(602) 506-7711</w:t>
            </w:r>
          </w:p>
          <w:p w14:paraId="1636BF79" w14:textId="77777777" w:rsidR="00BC4A0B" w:rsidRDefault="00000000" w:rsidP="00C50157">
            <w:pPr>
              <w:spacing w:line="240" w:lineRule="auto"/>
              <w:rPr>
                <w:rFonts w:ascii="Century Schoolbook" w:eastAsia="Century Schoolbook" w:hAnsi="Century Schoolbook" w:cs="Century Schoolbook"/>
                <w:sz w:val="28"/>
                <w:szCs w:val="28"/>
              </w:rPr>
            </w:pPr>
            <w:hyperlink r:id="rId8">
              <w:r w:rsidR="00BC4A0B">
                <w:rPr>
                  <w:rFonts w:ascii="Century Schoolbook" w:eastAsia="Century Schoolbook" w:hAnsi="Century Schoolbook" w:cs="Century Schoolbook"/>
                  <w:color w:val="1155CC"/>
                  <w:sz w:val="28"/>
                  <w:szCs w:val="28"/>
                  <w:u w:val="single"/>
                </w:rPr>
                <w:t>Gary.Kula@maricopa.gov</w:t>
              </w:r>
            </w:hyperlink>
            <w:r w:rsidR="00BC4A0B">
              <w:rPr>
                <w:rFonts w:ascii="Century Schoolbook" w:eastAsia="Century Schoolbook" w:hAnsi="Century Schoolbook" w:cs="Century Schoolbook"/>
                <w:sz w:val="28"/>
                <w:szCs w:val="28"/>
              </w:rPr>
              <w:t xml:space="preserve"> </w:t>
            </w:r>
          </w:p>
        </w:tc>
      </w:tr>
      <w:tr w:rsidR="00BC4A0B" w14:paraId="397E4851" w14:textId="77777777" w:rsidTr="00C50157">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EAEC20"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Steve Koestner</w:t>
            </w:r>
          </w:p>
          <w:p w14:paraId="00716524"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Bar No. 011566</w:t>
            </w:r>
          </w:p>
          <w:p w14:paraId="1941BD91"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Maricopa County Office of the Legal Advocate </w:t>
            </w:r>
          </w:p>
          <w:p w14:paraId="0A1232F4"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222 N. Central, Suite 154</w:t>
            </w:r>
          </w:p>
          <w:p w14:paraId="7739805C"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Phoenix, AZ 85004</w:t>
            </w:r>
          </w:p>
          <w:p w14:paraId="73FE3714"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(602) 506-4111</w:t>
            </w:r>
          </w:p>
          <w:p w14:paraId="7A93E0D7" w14:textId="77777777" w:rsidR="00BC4A0B" w:rsidRDefault="00000000" w:rsidP="00C50157">
            <w:pPr>
              <w:spacing w:line="240" w:lineRule="auto"/>
              <w:rPr>
                <w:rFonts w:ascii="Century Schoolbook" w:eastAsia="Century Schoolbook" w:hAnsi="Century Schoolbook" w:cs="Century Schoolbook"/>
                <w:sz w:val="28"/>
                <w:szCs w:val="28"/>
              </w:rPr>
            </w:pPr>
            <w:hyperlink r:id="rId9">
              <w:r w:rsidR="00BC4A0B">
                <w:rPr>
                  <w:rFonts w:ascii="Century Schoolbook" w:eastAsia="Century Schoolbook" w:hAnsi="Century Schoolbook" w:cs="Century Schoolbook"/>
                  <w:color w:val="1155CC"/>
                  <w:sz w:val="28"/>
                  <w:szCs w:val="28"/>
                  <w:u w:val="single"/>
                </w:rPr>
                <w:t>Steve.Koestner@maricopa.gov</w:t>
              </w:r>
            </w:hyperlink>
            <w:r w:rsidR="00BC4A0B">
              <w:rPr>
                <w:rFonts w:ascii="Century Schoolbook" w:eastAsia="Century Schoolbook" w:hAnsi="Century Schoolbook" w:cs="Century Schoolbook"/>
                <w:sz w:val="28"/>
                <w:szCs w:val="28"/>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6258B93"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Shannon Burns</w:t>
            </w:r>
          </w:p>
          <w:p w14:paraId="3968366F"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Bar No. 015976</w:t>
            </w:r>
          </w:p>
          <w:p w14:paraId="6DFD045B"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Office of the Public Advocate</w:t>
            </w:r>
          </w:p>
          <w:p w14:paraId="1E9D1491"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106 E. Baseline Rd.</w:t>
            </w:r>
          </w:p>
          <w:p w14:paraId="0B2ABBBF"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Mesa, AZ 85210</w:t>
            </w:r>
          </w:p>
          <w:p w14:paraId="0171434A"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(602) 372-2815</w:t>
            </w:r>
          </w:p>
          <w:p w14:paraId="712F2A7F" w14:textId="77777777" w:rsidR="00BC4A0B" w:rsidRDefault="00000000" w:rsidP="00C50157">
            <w:pPr>
              <w:spacing w:line="240" w:lineRule="auto"/>
              <w:rPr>
                <w:rFonts w:ascii="Century Schoolbook" w:eastAsia="Century Schoolbook" w:hAnsi="Century Schoolbook" w:cs="Century Schoolbook"/>
                <w:sz w:val="28"/>
                <w:szCs w:val="28"/>
              </w:rPr>
            </w:pPr>
            <w:hyperlink r:id="rId10">
              <w:r w:rsidR="00BC4A0B">
                <w:rPr>
                  <w:rFonts w:ascii="Century Schoolbook" w:eastAsia="Century Schoolbook" w:hAnsi="Century Schoolbook" w:cs="Century Schoolbook"/>
                  <w:color w:val="1155CC"/>
                  <w:sz w:val="28"/>
                  <w:szCs w:val="28"/>
                  <w:u w:val="single"/>
                </w:rPr>
                <w:t>Shannon.Burns@maricopa.gov</w:t>
              </w:r>
            </w:hyperlink>
            <w:r w:rsidR="00BC4A0B">
              <w:rPr>
                <w:rFonts w:ascii="Century Schoolbook" w:eastAsia="Century Schoolbook" w:hAnsi="Century Schoolbook" w:cs="Century Schoolbook"/>
                <w:sz w:val="28"/>
                <w:szCs w:val="28"/>
              </w:rPr>
              <w:t xml:space="preserve"> </w:t>
            </w:r>
          </w:p>
        </w:tc>
      </w:tr>
      <w:tr w:rsidR="00BC4A0B" w14:paraId="7BE183CB" w14:textId="77777777" w:rsidTr="00C50157">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CA92C4F"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Sherri McGuire Lawson</w:t>
            </w:r>
          </w:p>
          <w:p w14:paraId="4115A738"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Bar No. 013605</w:t>
            </w:r>
          </w:p>
          <w:p w14:paraId="76BCE4FC"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Office of the Legal Defender</w:t>
            </w:r>
          </w:p>
          <w:p w14:paraId="47A988FD"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222 N. Central, Suite 8100</w:t>
            </w:r>
          </w:p>
          <w:p w14:paraId="4DF92C0C"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Phoenix, AZ 85004</w:t>
            </w:r>
          </w:p>
          <w:p w14:paraId="6B1BB5E7" w14:textId="77777777" w:rsidR="00BC4A0B" w:rsidRDefault="00BC4A0B" w:rsidP="00C50157">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(602) 506-8800</w:t>
            </w:r>
          </w:p>
          <w:p w14:paraId="211E4E30" w14:textId="77777777" w:rsidR="00BC4A0B" w:rsidRDefault="00000000" w:rsidP="00C50157">
            <w:pPr>
              <w:spacing w:line="240" w:lineRule="auto"/>
              <w:rPr>
                <w:rFonts w:ascii="Century Schoolbook" w:eastAsia="Century Schoolbook" w:hAnsi="Century Schoolbook" w:cs="Century Schoolbook"/>
                <w:sz w:val="28"/>
                <w:szCs w:val="28"/>
              </w:rPr>
            </w:pPr>
            <w:hyperlink r:id="rId11">
              <w:r w:rsidR="00BC4A0B">
                <w:rPr>
                  <w:rFonts w:ascii="Century Schoolbook" w:eastAsia="Century Schoolbook" w:hAnsi="Century Schoolbook" w:cs="Century Schoolbook"/>
                  <w:color w:val="1155CC"/>
                  <w:sz w:val="28"/>
                  <w:szCs w:val="28"/>
                  <w:u w:val="single"/>
                </w:rPr>
                <w:t>Sherri.Mcguire@maricopa.gov</w:t>
              </w:r>
            </w:hyperlink>
            <w:r w:rsidR="00BC4A0B">
              <w:rPr>
                <w:rFonts w:ascii="Century Schoolbook" w:eastAsia="Century Schoolbook" w:hAnsi="Century Schoolbook" w:cs="Century Schoolbook"/>
                <w:sz w:val="28"/>
                <w:szCs w:val="28"/>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2AA573D" w14:textId="77777777" w:rsidR="00BC4A0B" w:rsidRDefault="00BC4A0B" w:rsidP="00C50157">
            <w:pPr>
              <w:widowControl w:val="0"/>
              <w:spacing w:line="240" w:lineRule="auto"/>
              <w:rPr>
                <w:rFonts w:ascii="Century Schoolbook" w:eastAsia="Century Schoolbook" w:hAnsi="Century Schoolbook" w:cs="Century Schoolbook"/>
                <w:sz w:val="28"/>
                <w:szCs w:val="28"/>
              </w:rPr>
            </w:pPr>
          </w:p>
        </w:tc>
      </w:tr>
    </w:tbl>
    <w:p w14:paraId="5D86339B" w14:textId="77777777" w:rsidR="00BC4A0B" w:rsidRDefault="00BC4A0B">
      <w:pPr>
        <w:spacing w:line="240" w:lineRule="auto"/>
        <w:jc w:val="center"/>
        <w:rPr>
          <w:rFonts w:ascii="Century Schoolbook" w:eastAsia="Century Schoolbook" w:hAnsi="Century Schoolbook" w:cs="Century Schoolbook"/>
          <w:b/>
          <w:sz w:val="32"/>
          <w:szCs w:val="32"/>
        </w:rPr>
      </w:pPr>
    </w:p>
    <w:p w14:paraId="38964672" w14:textId="3C77DDD6" w:rsidR="00DC4D3A" w:rsidRDefault="00000000">
      <w:pPr>
        <w:spacing w:line="240" w:lineRule="auto"/>
        <w:jc w:val="center"/>
        <w:rPr>
          <w:rFonts w:ascii="Century Schoolbook" w:eastAsia="Century Schoolbook" w:hAnsi="Century Schoolbook" w:cs="Century Schoolbook"/>
          <w:b/>
          <w:sz w:val="32"/>
          <w:szCs w:val="32"/>
        </w:rPr>
      </w:pPr>
      <w:r>
        <w:rPr>
          <w:rFonts w:ascii="Century Schoolbook" w:eastAsia="Century Schoolbook" w:hAnsi="Century Schoolbook" w:cs="Century Schoolbook"/>
          <w:b/>
          <w:sz w:val="32"/>
          <w:szCs w:val="32"/>
        </w:rPr>
        <w:t>ARIZONA SUPREME COURT</w:t>
      </w:r>
    </w:p>
    <w:p w14:paraId="78194D11" w14:textId="77777777" w:rsidR="00DC4D3A" w:rsidRDefault="00DC4D3A">
      <w:pPr>
        <w:spacing w:line="240" w:lineRule="auto"/>
        <w:jc w:val="both"/>
        <w:rPr>
          <w:rFonts w:ascii="Century Schoolbook" w:eastAsia="Century Schoolbook" w:hAnsi="Century Schoolbook" w:cs="Century Schoolbook"/>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C4D3A" w14:paraId="537F5887" w14:textId="77777777">
        <w:tc>
          <w:tcPr>
            <w:tcW w:w="4680" w:type="dxa"/>
            <w:tcBorders>
              <w:top w:val="single" w:sz="8" w:space="0" w:color="FFFFFF"/>
              <w:left w:val="single" w:sz="8" w:space="0" w:color="FFFFFF"/>
            </w:tcBorders>
            <w:shd w:val="clear" w:color="auto" w:fill="auto"/>
            <w:tcMar>
              <w:top w:w="100" w:type="dxa"/>
              <w:left w:w="100" w:type="dxa"/>
              <w:bottom w:w="100" w:type="dxa"/>
              <w:right w:w="100" w:type="dxa"/>
            </w:tcMar>
          </w:tcPr>
          <w:p w14:paraId="7DAE7437" w14:textId="77777777" w:rsidR="00DC4D3A" w:rsidRDefault="00000000">
            <w:pPr>
              <w:spacing w:line="240" w:lineRule="auto"/>
              <w:ind w:left="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In the Matter of:</w:t>
            </w:r>
          </w:p>
          <w:p w14:paraId="28AD69AD" w14:textId="77777777" w:rsidR="00DC4D3A" w:rsidRDefault="00000000">
            <w:pPr>
              <w:spacing w:line="240" w:lineRule="auto"/>
              <w:ind w:left="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p>
          <w:p w14:paraId="1FBBE9E4" w14:textId="77777777" w:rsidR="00DC4D3A" w:rsidRDefault="00000000">
            <w:pPr>
              <w:spacing w:line="240" w:lineRule="auto"/>
              <w:ind w:left="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Petition to Amend Ariz. R. Crim. P. 31.2(a)(2)(A)</w:t>
            </w:r>
          </w:p>
        </w:tc>
        <w:tc>
          <w:tcPr>
            <w:tcW w:w="4680" w:type="dxa"/>
            <w:tcBorders>
              <w:top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70893B8" w14:textId="77777777" w:rsidR="00DC4D3A" w:rsidRDefault="00000000">
            <w:pPr>
              <w:spacing w:line="240" w:lineRule="auto"/>
              <w:ind w:left="16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Supreme Court No. R-24-0007</w:t>
            </w:r>
          </w:p>
          <w:p w14:paraId="6F179CAF" w14:textId="77777777" w:rsidR="00DC4D3A" w:rsidRDefault="00000000">
            <w:pPr>
              <w:spacing w:line="240" w:lineRule="auto"/>
              <w:ind w:left="16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p>
          <w:p w14:paraId="77E2D12B" w14:textId="77777777" w:rsidR="00DC4D3A" w:rsidRDefault="00000000">
            <w:pPr>
              <w:spacing w:line="240" w:lineRule="auto"/>
              <w:ind w:left="16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Joint Comment by the Directors of the Maricopa County Indigent Defense Agencies</w:t>
            </w:r>
          </w:p>
        </w:tc>
      </w:tr>
    </w:tbl>
    <w:p w14:paraId="57742143" w14:textId="77777777" w:rsidR="00DC4D3A" w:rsidRDefault="00DC4D3A">
      <w:pPr>
        <w:spacing w:line="240" w:lineRule="auto"/>
        <w:jc w:val="both"/>
        <w:rPr>
          <w:rFonts w:ascii="Century Schoolbook" w:eastAsia="Century Schoolbook" w:hAnsi="Century Schoolbook" w:cs="Century Schoolbook"/>
          <w:sz w:val="28"/>
          <w:szCs w:val="28"/>
        </w:rPr>
      </w:pPr>
    </w:p>
    <w:p w14:paraId="284E8031" w14:textId="77777777" w:rsidR="00DC4D3A" w:rsidRDefault="00000000">
      <w:pPr>
        <w:spacing w:line="480" w:lineRule="auto"/>
        <w:ind w:firstLine="720"/>
        <w:rPr>
          <w:rFonts w:ascii="Century Schoolbook" w:eastAsia="Century Schoolbook" w:hAnsi="Century Schoolbook" w:cs="Century Schoolbook"/>
          <w:sz w:val="28"/>
          <w:szCs w:val="28"/>
        </w:rPr>
      </w:pPr>
      <w:r>
        <w:br w:type="page"/>
      </w:r>
    </w:p>
    <w:p w14:paraId="6698AB32" w14:textId="165F5033" w:rsidR="00DC4D3A" w:rsidRDefault="005E409E">
      <w:pPr>
        <w:spacing w:line="480" w:lineRule="auto"/>
        <w:ind w:firstLine="720"/>
        <w:rPr>
          <w:rFonts w:ascii="Century Schoolbook" w:eastAsia="Century Schoolbook" w:hAnsi="Century Schoolbook" w:cs="Century Schoolbook"/>
          <w:sz w:val="28"/>
          <w:szCs w:val="28"/>
        </w:rPr>
      </w:pPr>
      <w:r w:rsidRPr="005E409E">
        <w:rPr>
          <w:rFonts w:ascii="Century Schoolbook" w:eastAsia="Century Schoolbook" w:hAnsi="Century Schoolbook" w:cs="Century Schoolbook"/>
          <w:sz w:val="28"/>
          <w:szCs w:val="28"/>
        </w:rPr>
        <w:lastRenderedPageBreak/>
        <w:t xml:space="preserve">The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 We jointly submit this comment </w:t>
      </w:r>
      <w:r>
        <w:rPr>
          <w:rFonts w:ascii="Century Schoolbook" w:eastAsia="Century Schoolbook" w:hAnsi="Century Schoolbook" w:cs="Century Schoolbook"/>
          <w:sz w:val="28"/>
          <w:szCs w:val="28"/>
        </w:rPr>
        <w:t>in support of the proposal to amend Rule 31.2. But we believe the proposed amendment would better fit in subsection 31.2(c)(1).</w:t>
      </w:r>
    </w:p>
    <w:p w14:paraId="09EC7D60" w14:textId="004C8B79"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is one of the largest and fastest-growing counties in the United States.</w:t>
      </w:r>
      <w:r>
        <w:rPr>
          <w:rFonts w:ascii="Century Schoolbook" w:eastAsia="Century Schoolbook" w:hAnsi="Century Schoolbook" w:cs="Century Schoolbook"/>
          <w:sz w:val="28"/>
          <w:szCs w:val="28"/>
          <w:vertAlign w:val="superscript"/>
        </w:rPr>
        <w:footnoteReference w:id="1"/>
      </w:r>
      <w:r>
        <w:rPr>
          <w:rFonts w:ascii="Century Schoolbook" w:eastAsia="Century Schoolbook" w:hAnsi="Century Schoolbook" w:cs="Century Schoolbook"/>
          <w:sz w:val="28"/>
          <w:szCs w:val="28"/>
        </w:rPr>
        <w:t xml:space="preserve"> Nearly 29,000 felony criminal cases were filed in Maricopa County Superior Court last fiscal year.</w:t>
      </w:r>
      <w:r>
        <w:rPr>
          <w:rFonts w:ascii="Century Schoolbook" w:eastAsia="Century Schoolbook" w:hAnsi="Century Schoolbook" w:cs="Century Schoolbook"/>
          <w:sz w:val="28"/>
          <w:szCs w:val="28"/>
          <w:vertAlign w:val="superscript"/>
        </w:rPr>
        <w:footnoteReference w:id="2"/>
      </w:r>
      <w:r>
        <w:rPr>
          <w:rFonts w:ascii="Century Schoolbook" w:eastAsia="Century Schoolbook" w:hAnsi="Century Schoolbook" w:cs="Century Schoolbook"/>
          <w:sz w:val="28"/>
          <w:szCs w:val="28"/>
        </w:rPr>
        <w:t xml:space="preserve"> A significant number of those defendants cannot afford counsel, either at trial or on appeal.</w:t>
      </w:r>
      <w:r w:rsidR="005E409E">
        <w:rPr>
          <w:rFonts w:ascii="Century Schoolbook" w:eastAsia="Century Schoolbook" w:hAnsi="Century Schoolbook" w:cs="Century Schoolbook"/>
          <w:sz w:val="28"/>
          <w:szCs w:val="28"/>
        </w:rPr>
        <w:t xml:space="preserve"> Collectively, IR </w:t>
      </w:r>
      <w:r>
        <w:rPr>
          <w:rFonts w:ascii="Century Schoolbook" w:eastAsia="Century Schoolbook" w:hAnsi="Century Schoolbook" w:cs="Century Schoolbook"/>
          <w:sz w:val="28"/>
          <w:szCs w:val="28"/>
        </w:rPr>
        <w:t>represent</w:t>
      </w:r>
      <w:r w:rsidR="005E409E">
        <w:rPr>
          <w:rFonts w:ascii="Century Schoolbook" w:eastAsia="Century Schoolbook" w:hAnsi="Century Schoolbook" w:cs="Century Schoolbook"/>
          <w:sz w:val="28"/>
          <w:szCs w:val="28"/>
        </w:rPr>
        <w:t>s</w:t>
      </w:r>
      <w:r>
        <w:rPr>
          <w:rFonts w:ascii="Century Schoolbook" w:eastAsia="Century Schoolbook" w:hAnsi="Century Schoolbook" w:cs="Century Schoolbook"/>
          <w:sz w:val="28"/>
          <w:szCs w:val="28"/>
        </w:rPr>
        <w:t xml:space="preserve"> thousands of clients per year. And when </w:t>
      </w:r>
      <w:r>
        <w:rPr>
          <w:rFonts w:ascii="Century Schoolbook" w:eastAsia="Century Schoolbook" w:hAnsi="Century Schoolbook" w:cs="Century Schoolbook"/>
          <w:sz w:val="28"/>
          <w:szCs w:val="28"/>
        </w:rPr>
        <w:lastRenderedPageBreak/>
        <w:t>these cases proceed to appeal, the majority are handled by the indigent representation system.</w:t>
      </w:r>
    </w:p>
    <w:p w14:paraId="2079E25E" w14:textId="3E4C5F5B" w:rsidR="00DC4D3A" w:rsidRDefault="00000000" w:rsidP="005E409E">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We support Petition R-24-0007 because a person’s constitutionally protected right to appeal should be protected from needless hurdles. Hurdles like the procedural </w:t>
      </w:r>
      <w:r w:rsidR="005E409E">
        <w:rPr>
          <w:rFonts w:ascii="Century Schoolbook" w:eastAsia="Century Schoolbook" w:hAnsi="Century Schoolbook" w:cs="Century Schoolbook"/>
          <w:sz w:val="28"/>
          <w:szCs w:val="28"/>
        </w:rPr>
        <w:t>hurdle</w:t>
      </w:r>
      <w:r>
        <w:rPr>
          <w:rFonts w:ascii="Century Schoolbook" w:eastAsia="Century Schoolbook" w:hAnsi="Century Schoolbook" w:cs="Century Schoolbook"/>
          <w:sz w:val="28"/>
          <w:szCs w:val="28"/>
        </w:rPr>
        <w:t xml:space="preserve"> Division 2 created when it issued </w:t>
      </w:r>
      <w:r>
        <w:rPr>
          <w:rFonts w:ascii="Century Schoolbook" w:eastAsia="Century Schoolbook" w:hAnsi="Century Schoolbook" w:cs="Century Schoolbook"/>
          <w:i/>
          <w:sz w:val="28"/>
          <w:szCs w:val="28"/>
        </w:rPr>
        <w:t>State v. Sanchez</w:t>
      </w:r>
      <w:r>
        <w:rPr>
          <w:rFonts w:ascii="Century Schoolbook" w:eastAsia="Century Schoolbook" w:hAnsi="Century Schoolbook" w:cs="Century Schoolbook"/>
          <w:sz w:val="28"/>
          <w:szCs w:val="28"/>
        </w:rPr>
        <w:t xml:space="preserve">, __ Ariz. __, 537 P.3d 794 (App. 2023). This proposal is an easy solution to the problem </w:t>
      </w:r>
      <w:r>
        <w:rPr>
          <w:rFonts w:ascii="Century Schoolbook" w:eastAsia="Century Schoolbook" w:hAnsi="Century Schoolbook" w:cs="Century Schoolbook"/>
          <w:i/>
          <w:sz w:val="28"/>
          <w:szCs w:val="28"/>
        </w:rPr>
        <w:t xml:space="preserve">Sanchez </w:t>
      </w:r>
      <w:r>
        <w:rPr>
          <w:rFonts w:ascii="Century Schoolbook" w:eastAsia="Century Schoolbook" w:hAnsi="Century Schoolbook" w:cs="Century Schoolbook"/>
          <w:sz w:val="28"/>
          <w:szCs w:val="28"/>
        </w:rPr>
        <w:t xml:space="preserve">created. </w:t>
      </w:r>
    </w:p>
    <w:p w14:paraId="4EAC91F6" w14:textId="77777777" w:rsidR="005E409E" w:rsidRDefault="005E409E" w:rsidP="005E409E">
      <w:pPr>
        <w:spacing w:line="480" w:lineRule="auto"/>
        <w:ind w:firstLine="720"/>
        <w:rPr>
          <w:rFonts w:ascii="Century Schoolbook" w:eastAsia="Century Schoolbook" w:hAnsi="Century Schoolbook" w:cs="Century Schoolbook"/>
          <w:sz w:val="28"/>
          <w:szCs w:val="28"/>
        </w:rPr>
      </w:pPr>
    </w:p>
    <w:p w14:paraId="7EEDF7DA" w14:textId="77777777" w:rsidR="00DC4D3A" w:rsidRDefault="00000000">
      <w:pPr>
        <w:numPr>
          <w:ilvl w:val="0"/>
          <w:numId w:val="1"/>
        </w:numPr>
        <w:spacing w:line="240" w:lineRule="auto"/>
        <w:rPr>
          <w:rFonts w:ascii="Century Schoolbook" w:eastAsia="Century Schoolbook" w:hAnsi="Century Schoolbook" w:cs="Century Schoolbook"/>
          <w:b/>
          <w:sz w:val="28"/>
          <w:szCs w:val="28"/>
        </w:rPr>
      </w:pPr>
      <w:r>
        <w:rPr>
          <w:rFonts w:ascii="Century Schoolbook" w:eastAsia="Century Schoolbook" w:hAnsi="Century Schoolbook" w:cs="Century Schoolbook"/>
          <w:b/>
          <w:sz w:val="28"/>
          <w:szCs w:val="28"/>
        </w:rPr>
        <w:t>The proposed rule change is a common-sense fix to ensure defendants are afforded their right to appeal.</w:t>
      </w:r>
    </w:p>
    <w:p w14:paraId="0A4A5FE2" w14:textId="77777777" w:rsidR="00DC4D3A" w:rsidRDefault="00DC4D3A">
      <w:pPr>
        <w:spacing w:line="240" w:lineRule="auto"/>
        <w:rPr>
          <w:rFonts w:ascii="Century Schoolbook" w:eastAsia="Century Schoolbook" w:hAnsi="Century Schoolbook" w:cs="Century Schoolbook"/>
          <w:sz w:val="28"/>
          <w:szCs w:val="28"/>
        </w:rPr>
      </w:pPr>
    </w:p>
    <w:p w14:paraId="42044479" w14:textId="12F30898" w:rsidR="00DC4D3A" w:rsidRDefault="00000000" w:rsidP="005E409E">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This proposal stems from Division 2’s decision in </w:t>
      </w:r>
      <w:r>
        <w:rPr>
          <w:rFonts w:ascii="Century Schoolbook" w:eastAsia="Century Schoolbook" w:hAnsi="Century Schoolbook" w:cs="Century Schoolbook"/>
          <w:i/>
          <w:sz w:val="28"/>
          <w:szCs w:val="28"/>
        </w:rPr>
        <w:t>State v. Sanchez</w:t>
      </w:r>
      <w:r>
        <w:rPr>
          <w:rFonts w:ascii="Century Schoolbook" w:eastAsia="Century Schoolbook" w:hAnsi="Century Schoolbook" w:cs="Century Schoolbook"/>
          <w:sz w:val="28"/>
          <w:szCs w:val="28"/>
        </w:rPr>
        <w:t xml:space="preserve">, __ Ariz. __, 537 P.3d 794 (App. 2023). In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two members of a panel on Division 2 decided that defendants needed to specifically include any ruling on a motion for new trial in their notices of appeal. 537 P.3d 794, ¶ 9. Fortunately, this Court vacated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by Decision Order on March 5, 2024. </w:t>
      </w:r>
    </w:p>
    <w:p w14:paraId="38C3A9F4" w14:textId="7777777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Nonetheless, the proposed change would still be a positive step to ensure problems like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are avoided in the future.</w:t>
      </w:r>
    </w:p>
    <w:p w14:paraId="455BC0DE" w14:textId="7777777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As a starting point, before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our appellate courts regularly addressed motions for new trial </w:t>
      </w:r>
      <w:proofErr w:type="gramStart"/>
      <w:r>
        <w:rPr>
          <w:rFonts w:ascii="Century Schoolbook" w:eastAsia="Century Schoolbook" w:hAnsi="Century Schoolbook" w:cs="Century Schoolbook"/>
          <w:sz w:val="28"/>
          <w:szCs w:val="28"/>
        </w:rPr>
        <w:t>in the course of</w:t>
      </w:r>
      <w:proofErr w:type="gramEnd"/>
      <w:r>
        <w:rPr>
          <w:rFonts w:ascii="Century Schoolbook" w:eastAsia="Century Schoolbook" w:hAnsi="Century Schoolbook" w:cs="Century Schoolbook"/>
          <w:sz w:val="28"/>
          <w:szCs w:val="28"/>
        </w:rPr>
        <w:t xml:space="preserve"> appeals of convictions </w:t>
      </w:r>
      <w:r>
        <w:rPr>
          <w:rFonts w:ascii="Century Schoolbook" w:eastAsia="Century Schoolbook" w:hAnsi="Century Schoolbook" w:cs="Century Schoolbook"/>
          <w:sz w:val="28"/>
          <w:szCs w:val="28"/>
        </w:rPr>
        <w:lastRenderedPageBreak/>
        <w:t xml:space="preserve">and sentences. This was true in both divisions. </w:t>
      </w:r>
      <w:r>
        <w:rPr>
          <w:rFonts w:ascii="Century Schoolbook" w:eastAsia="Century Schoolbook" w:hAnsi="Century Schoolbook" w:cs="Century Schoolbook"/>
          <w:i/>
          <w:sz w:val="28"/>
          <w:szCs w:val="28"/>
        </w:rPr>
        <w:t>See, e.g., State v. Nowak</w:t>
      </w:r>
      <w:r>
        <w:rPr>
          <w:rFonts w:ascii="Century Schoolbook" w:eastAsia="Century Schoolbook" w:hAnsi="Century Schoolbook" w:cs="Century Schoolbook"/>
          <w:sz w:val="28"/>
          <w:szCs w:val="28"/>
        </w:rPr>
        <w:t xml:space="preserve">, 2021 WL 5028362 (Div. 2 2021, Memo.); </w:t>
      </w:r>
      <w:r>
        <w:rPr>
          <w:rFonts w:ascii="Century Schoolbook" w:eastAsia="Century Schoolbook" w:hAnsi="Century Schoolbook" w:cs="Century Schoolbook"/>
          <w:i/>
          <w:sz w:val="28"/>
          <w:szCs w:val="28"/>
        </w:rPr>
        <w:t>State v. Voge</w:t>
      </w:r>
      <w:r>
        <w:rPr>
          <w:rFonts w:ascii="Century Schoolbook" w:eastAsia="Century Schoolbook" w:hAnsi="Century Schoolbook" w:cs="Century Schoolbook"/>
          <w:sz w:val="28"/>
          <w:szCs w:val="28"/>
        </w:rPr>
        <w:t xml:space="preserve">, 2021 WL 1549769 (Div. 1 2021, Memo.); </w:t>
      </w:r>
      <w:r>
        <w:rPr>
          <w:rFonts w:ascii="Century Schoolbook" w:eastAsia="Century Schoolbook" w:hAnsi="Century Schoolbook" w:cs="Century Schoolbook"/>
          <w:i/>
          <w:sz w:val="28"/>
          <w:szCs w:val="28"/>
        </w:rPr>
        <w:t>State v. Ortiz</w:t>
      </w:r>
      <w:r>
        <w:rPr>
          <w:rFonts w:ascii="Century Schoolbook" w:eastAsia="Century Schoolbook" w:hAnsi="Century Schoolbook" w:cs="Century Schoolbook"/>
          <w:sz w:val="28"/>
          <w:szCs w:val="28"/>
        </w:rPr>
        <w:t xml:space="preserve">, 2021 WL 1235056 (Div. 2 2021, Memo.); </w:t>
      </w:r>
      <w:r>
        <w:rPr>
          <w:rFonts w:ascii="Century Schoolbook" w:eastAsia="Century Schoolbook" w:hAnsi="Century Schoolbook" w:cs="Century Schoolbook"/>
          <w:i/>
          <w:sz w:val="28"/>
          <w:szCs w:val="28"/>
        </w:rPr>
        <w:t>State v. Bolivar</w:t>
      </w:r>
      <w:r>
        <w:rPr>
          <w:rFonts w:ascii="Century Schoolbook" w:eastAsia="Century Schoolbook" w:hAnsi="Century Schoolbook" w:cs="Century Schoolbook"/>
          <w:sz w:val="28"/>
          <w:szCs w:val="28"/>
        </w:rPr>
        <w:t xml:space="preserve">, 250 Ariz. 213 (Div. 2 2020); </w:t>
      </w:r>
      <w:r>
        <w:rPr>
          <w:rFonts w:ascii="Century Schoolbook" w:eastAsia="Century Schoolbook" w:hAnsi="Century Schoolbook" w:cs="Century Schoolbook"/>
          <w:i/>
          <w:sz w:val="28"/>
          <w:szCs w:val="28"/>
        </w:rPr>
        <w:t>State v. Beatte</w:t>
      </w:r>
      <w:r>
        <w:rPr>
          <w:rFonts w:ascii="Century Schoolbook" w:eastAsia="Century Schoolbook" w:hAnsi="Century Schoolbook" w:cs="Century Schoolbook"/>
          <w:sz w:val="28"/>
          <w:szCs w:val="28"/>
        </w:rPr>
        <w:t>, 2020 WL 5950895 (Div. 1 2020, Memo.).</w:t>
      </w:r>
    </w:p>
    <w:p w14:paraId="6C02EC92" w14:textId="7777777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changed this. 537 P.3d 794, ¶ 9. </w:t>
      </w:r>
    </w:p>
    <w:p w14:paraId="473A9AC5" w14:textId="57A37866"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But nobody wanted the change. Both the defendant and the state “agree[d] that neither a separate notice of appeal</w:t>
      </w:r>
      <w:r w:rsidR="00BC4A0B">
        <w:rPr>
          <w:rFonts w:ascii="Century Schoolbook" w:eastAsia="Century Schoolbook" w:hAnsi="Century Schoolbook" w:cs="Century Schoolbook"/>
          <w:sz w:val="28"/>
          <w:szCs w:val="28"/>
        </w:rPr>
        <w:t>—</w:t>
      </w:r>
      <w:r>
        <w:rPr>
          <w:rFonts w:ascii="Century Schoolbook" w:eastAsia="Century Schoolbook" w:hAnsi="Century Schoolbook" w:cs="Century Schoolbook"/>
          <w:sz w:val="28"/>
          <w:szCs w:val="28"/>
        </w:rPr>
        <w:t>nor</w:t>
      </w:r>
      <w:r w:rsidR="00BC4A0B">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a specification of the denied motion for new trial in the notice of appeal of the judgment and sentence</w:t>
      </w:r>
      <w:r w:rsidR="00BC4A0B">
        <w:rPr>
          <w:rFonts w:ascii="Century Schoolbook" w:eastAsia="Century Schoolbook" w:hAnsi="Century Schoolbook" w:cs="Century Schoolbook"/>
          <w:sz w:val="28"/>
          <w:szCs w:val="28"/>
        </w:rPr>
        <w:t>—</w:t>
      </w:r>
      <w:r>
        <w:rPr>
          <w:rFonts w:ascii="Century Schoolbook" w:eastAsia="Century Schoolbook" w:hAnsi="Century Schoolbook" w:cs="Century Schoolbook"/>
          <w:sz w:val="28"/>
          <w:szCs w:val="28"/>
        </w:rPr>
        <w:t>is</w:t>
      </w:r>
      <w:r w:rsidR="00BC4A0B">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 xml:space="preserve">required to perfect an appeal of a denied motion for new trial.” </w:t>
      </w:r>
      <w:r>
        <w:rPr>
          <w:rFonts w:ascii="Century Schoolbook" w:eastAsia="Century Schoolbook" w:hAnsi="Century Schoolbook" w:cs="Century Schoolbook"/>
          <w:i/>
          <w:sz w:val="28"/>
          <w:szCs w:val="28"/>
        </w:rPr>
        <w:t>Id.</w:t>
      </w:r>
      <w:r>
        <w:rPr>
          <w:rFonts w:ascii="Century Schoolbook" w:eastAsia="Century Schoolbook" w:hAnsi="Century Schoolbook" w:cs="Century Schoolbook"/>
          <w:sz w:val="28"/>
          <w:szCs w:val="28"/>
        </w:rPr>
        <w:t xml:space="preserve"> </w:t>
      </w:r>
    </w:p>
    <w:p w14:paraId="2E50499D" w14:textId="7777777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And Judge Eckerstrom’s dissent thoughtfully explained why the two judges on the majority had reached the wrong conclusion. </w:t>
      </w:r>
      <w:r>
        <w:rPr>
          <w:rFonts w:ascii="Century Schoolbook" w:eastAsia="Century Schoolbook" w:hAnsi="Century Schoolbook" w:cs="Century Schoolbook"/>
          <w:i/>
          <w:sz w:val="28"/>
          <w:szCs w:val="28"/>
        </w:rPr>
        <w:t>Id.</w:t>
      </w:r>
      <w:r>
        <w:rPr>
          <w:rFonts w:ascii="Century Schoolbook" w:eastAsia="Century Schoolbook" w:hAnsi="Century Schoolbook" w:cs="Century Schoolbook"/>
          <w:sz w:val="28"/>
          <w:szCs w:val="28"/>
        </w:rPr>
        <w:t xml:space="preserve"> at ¶¶ 33-52 (Eckerstrom, J., dissenting).</w:t>
      </w:r>
    </w:p>
    <w:p w14:paraId="5924E1E7" w14:textId="6EE28F4D" w:rsidR="00DC4D3A" w:rsidRDefault="005E409E">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This comment will not get into the weeds of the legal dispute. The petition and Judge Eckerstrom’s dissent explain why the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majority was wrong. And this Court has already vacated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The legal discussion need not be repeated.</w:t>
      </w:r>
    </w:p>
    <w:p w14:paraId="76FB3AE6" w14:textId="73C9F499"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lastRenderedPageBreak/>
        <w:t xml:space="preserve">But the impact of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was </w:t>
      </w:r>
      <w:r w:rsidR="00470C2F">
        <w:rPr>
          <w:rFonts w:ascii="Century Schoolbook" w:eastAsia="Century Schoolbook" w:hAnsi="Century Schoolbook" w:cs="Century Schoolbook"/>
          <w:sz w:val="28"/>
          <w:szCs w:val="28"/>
        </w:rPr>
        <w:t>real and</w:t>
      </w:r>
      <w:r>
        <w:rPr>
          <w:rFonts w:ascii="Century Schoolbook" w:eastAsia="Century Schoolbook" w:hAnsi="Century Schoolbook" w:cs="Century Schoolbook"/>
          <w:sz w:val="28"/>
          <w:szCs w:val="28"/>
        </w:rPr>
        <w:t xml:space="preserve"> should be avoided in the future.</w:t>
      </w:r>
    </w:p>
    <w:p w14:paraId="1F0F7D8C" w14:textId="3889C350"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created a much more onerous litigation process. The </w:t>
      </w:r>
      <w:r w:rsidR="00F844CA">
        <w:rPr>
          <w:rFonts w:ascii="Century Schoolbook" w:eastAsia="Century Schoolbook" w:hAnsi="Century Schoolbook" w:cs="Century Schoolbook"/>
          <w:sz w:val="28"/>
          <w:szCs w:val="28"/>
        </w:rPr>
        <w:t>IR</w:t>
      </w:r>
      <w:r>
        <w:rPr>
          <w:rFonts w:ascii="Century Schoolbook" w:eastAsia="Century Schoolbook" w:hAnsi="Century Schoolbook" w:cs="Century Schoolbook"/>
          <w:sz w:val="28"/>
          <w:szCs w:val="28"/>
        </w:rPr>
        <w:t xml:space="preserve"> Offices saw several cases in which the trial court denied a motion for new trial and the defense attorney filed a standard notice of appeal</w:t>
      </w:r>
      <w:r w:rsidR="00BC4A0B">
        <w:rPr>
          <w:rFonts w:ascii="Century Schoolbook" w:eastAsia="Century Schoolbook" w:hAnsi="Century Schoolbook" w:cs="Century Schoolbook"/>
          <w:sz w:val="28"/>
          <w:szCs w:val="28"/>
        </w:rPr>
        <w:t>—</w:t>
      </w:r>
      <w:r>
        <w:rPr>
          <w:rFonts w:ascii="Century Schoolbook" w:eastAsia="Century Schoolbook" w:hAnsi="Century Schoolbook" w:cs="Century Schoolbook"/>
          <w:sz w:val="28"/>
          <w:szCs w:val="28"/>
        </w:rPr>
        <w:t>a</w:t>
      </w:r>
      <w:r w:rsidR="00BC4A0B">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 xml:space="preserve">notice that was sufficient before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In those cases, the parties and courts had to take on far more work:</w:t>
      </w:r>
    </w:p>
    <w:p w14:paraId="30501E3B" w14:textId="77777777" w:rsidR="00DC4D3A" w:rsidRDefault="00000000">
      <w:pPr>
        <w:numPr>
          <w:ilvl w:val="0"/>
          <w:numId w:val="2"/>
        </w:num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The appellate attorney had to amend the notice of appeal, which was filed in the superior court.</w:t>
      </w:r>
    </w:p>
    <w:p w14:paraId="0CA48405" w14:textId="77777777" w:rsidR="00DC4D3A" w:rsidRDefault="00DC4D3A">
      <w:pPr>
        <w:spacing w:line="240" w:lineRule="auto"/>
        <w:ind w:left="720"/>
        <w:rPr>
          <w:rFonts w:ascii="Century Schoolbook" w:eastAsia="Century Schoolbook" w:hAnsi="Century Schoolbook" w:cs="Century Schoolbook"/>
          <w:sz w:val="28"/>
          <w:szCs w:val="28"/>
        </w:rPr>
      </w:pPr>
    </w:p>
    <w:p w14:paraId="1E696B57" w14:textId="77777777" w:rsidR="00DC4D3A" w:rsidRDefault="00000000">
      <w:pPr>
        <w:numPr>
          <w:ilvl w:val="0"/>
          <w:numId w:val="2"/>
        </w:num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The superior court then had to process the notice of appeal and send it to the court of appeals.</w:t>
      </w:r>
    </w:p>
    <w:p w14:paraId="4D47B2EF" w14:textId="77777777" w:rsidR="00DC4D3A" w:rsidRDefault="00DC4D3A">
      <w:pPr>
        <w:spacing w:line="240" w:lineRule="auto"/>
        <w:ind w:left="720"/>
        <w:rPr>
          <w:rFonts w:ascii="Century Schoolbook" w:eastAsia="Century Schoolbook" w:hAnsi="Century Schoolbook" w:cs="Century Schoolbook"/>
          <w:sz w:val="28"/>
          <w:szCs w:val="28"/>
        </w:rPr>
      </w:pPr>
    </w:p>
    <w:p w14:paraId="52A85BDB" w14:textId="77777777" w:rsidR="00DC4D3A" w:rsidRDefault="00000000">
      <w:pPr>
        <w:numPr>
          <w:ilvl w:val="0"/>
          <w:numId w:val="2"/>
        </w:num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The court of appeals created a new case number.</w:t>
      </w:r>
    </w:p>
    <w:p w14:paraId="1FD8C304" w14:textId="77777777" w:rsidR="00DC4D3A" w:rsidRDefault="00DC4D3A">
      <w:pPr>
        <w:spacing w:line="240" w:lineRule="auto"/>
        <w:ind w:left="720"/>
        <w:rPr>
          <w:rFonts w:ascii="Century Schoolbook" w:eastAsia="Century Schoolbook" w:hAnsi="Century Schoolbook" w:cs="Century Schoolbook"/>
          <w:sz w:val="28"/>
          <w:szCs w:val="28"/>
        </w:rPr>
      </w:pPr>
    </w:p>
    <w:p w14:paraId="59BE3DDA" w14:textId="77777777" w:rsidR="00DC4D3A" w:rsidRDefault="00000000">
      <w:pPr>
        <w:numPr>
          <w:ilvl w:val="0"/>
          <w:numId w:val="2"/>
        </w:num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The appellate attorney would then move to consolidate the two appeals. </w:t>
      </w:r>
    </w:p>
    <w:p w14:paraId="7257C662" w14:textId="77777777" w:rsidR="00DC4D3A" w:rsidRDefault="00DC4D3A">
      <w:pPr>
        <w:spacing w:line="240" w:lineRule="auto"/>
        <w:ind w:left="720"/>
        <w:rPr>
          <w:rFonts w:ascii="Century Schoolbook" w:eastAsia="Century Schoolbook" w:hAnsi="Century Schoolbook" w:cs="Century Schoolbook"/>
          <w:sz w:val="28"/>
          <w:szCs w:val="28"/>
        </w:rPr>
      </w:pPr>
    </w:p>
    <w:p w14:paraId="2C6296E9" w14:textId="3DB74FA9" w:rsidR="00DC4D3A" w:rsidRDefault="00000000">
      <w:pPr>
        <w:numPr>
          <w:ilvl w:val="0"/>
          <w:numId w:val="2"/>
        </w:num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And the court of appeals had to process the motion</w:t>
      </w:r>
      <w:r w:rsidR="00BC4A0B">
        <w:rPr>
          <w:rFonts w:ascii="Century Schoolbook" w:eastAsia="Century Schoolbook" w:hAnsi="Century Schoolbook" w:cs="Century Schoolbook"/>
          <w:sz w:val="28"/>
          <w:szCs w:val="28"/>
        </w:rPr>
        <w:t>—</w:t>
      </w:r>
      <w:r>
        <w:rPr>
          <w:rFonts w:ascii="Century Schoolbook" w:eastAsia="Century Schoolbook" w:hAnsi="Century Schoolbook" w:cs="Century Schoolbook"/>
          <w:sz w:val="28"/>
          <w:szCs w:val="28"/>
        </w:rPr>
        <w:t>generally</w:t>
      </w:r>
      <w:r w:rsidR="00BC4A0B">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granting the motion.</w:t>
      </w:r>
    </w:p>
    <w:p w14:paraId="5D44457B" w14:textId="77777777" w:rsidR="00DC4D3A" w:rsidRDefault="00DC4D3A">
      <w:pPr>
        <w:spacing w:line="240" w:lineRule="auto"/>
        <w:ind w:left="720"/>
        <w:rPr>
          <w:rFonts w:ascii="Century Schoolbook" w:eastAsia="Century Schoolbook" w:hAnsi="Century Schoolbook" w:cs="Century Schoolbook"/>
          <w:sz w:val="28"/>
          <w:szCs w:val="28"/>
        </w:rPr>
      </w:pPr>
    </w:p>
    <w:p w14:paraId="1F2A5B8C" w14:textId="77777777" w:rsidR="00DC4D3A" w:rsidRDefault="00000000">
      <w:pPr>
        <w:spacing w:line="48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This is the process several cases had to go through </w:t>
      </w:r>
      <w:proofErr w:type="gramStart"/>
      <w:r>
        <w:rPr>
          <w:rFonts w:ascii="Century Schoolbook" w:eastAsia="Century Schoolbook" w:hAnsi="Century Schoolbook" w:cs="Century Schoolbook"/>
          <w:sz w:val="28"/>
          <w:szCs w:val="28"/>
        </w:rPr>
        <w:t>as a result of</w:t>
      </w:r>
      <w:proofErr w:type="gramEnd"/>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i/>
          <w:sz w:val="28"/>
          <w:szCs w:val="28"/>
        </w:rPr>
        <w:t>See, e.g., State v. Griffin</w:t>
      </w:r>
      <w:r>
        <w:rPr>
          <w:rFonts w:ascii="Century Schoolbook" w:eastAsia="Century Schoolbook" w:hAnsi="Century Schoolbook" w:cs="Century Schoolbook"/>
          <w:sz w:val="28"/>
          <w:szCs w:val="28"/>
        </w:rPr>
        <w:t xml:space="preserve">, 1 CA-CR 22-0380 consolidated with 1 CA-CR 23-0083; </w:t>
      </w:r>
      <w:r>
        <w:rPr>
          <w:rFonts w:ascii="Century Schoolbook" w:eastAsia="Century Schoolbook" w:hAnsi="Century Schoolbook" w:cs="Century Schoolbook"/>
          <w:i/>
          <w:sz w:val="28"/>
          <w:szCs w:val="28"/>
        </w:rPr>
        <w:t>State v. Nash</w:t>
      </w:r>
      <w:r>
        <w:rPr>
          <w:rFonts w:ascii="Century Schoolbook" w:eastAsia="Century Schoolbook" w:hAnsi="Century Schoolbook" w:cs="Century Schoolbook"/>
          <w:sz w:val="28"/>
          <w:szCs w:val="28"/>
        </w:rPr>
        <w:t xml:space="preserve">, 1 CA-CR 23-0188 consolidated with 1 CA-CR 23-0422; </w:t>
      </w:r>
      <w:r>
        <w:rPr>
          <w:rFonts w:ascii="Century Schoolbook" w:eastAsia="Century Schoolbook" w:hAnsi="Century Schoolbook" w:cs="Century Schoolbook"/>
          <w:i/>
          <w:sz w:val="28"/>
          <w:szCs w:val="28"/>
        </w:rPr>
        <w:t>State v. Trinidad</w:t>
      </w:r>
      <w:r>
        <w:rPr>
          <w:rFonts w:ascii="Century Schoolbook" w:eastAsia="Century Schoolbook" w:hAnsi="Century Schoolbook" w:cs="Century Schoolbook"/>
          <w:sz w:val="28"/>
          <w:szCs w:val="28"/>
        </w:rPr>
        <w:t>, 1 CA-CR 22-0538 consolidated with 1 CA-CR 23-0228.</w:t>
      </w:r>
    </w:p>
    <w:p w14:paraId="3706D7DC" w14:textId="6C44436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lastRenderedPageBreak/>
        <w:t xml:space="preserve">Five new steps, all to get back to where we </w:t>
      </w:r>
      <w:r w:rsidR="005E409E">
        <w:rPr>
          <w:rFonts w:ascii="Century Schoolbook" w:eastAsia="Century Schoolbook" w:hAnsi="Century Schoolbook" w:cs="Century Schoolbook"/>
          <w:sz w:val="28"/>
          <w:szCs w:val="28"/>
        </w:rPr>
        <w:t>were</w:t>
      </w:r>
      <w:r>
        <w:rPr>
          <w:rFonts w:ascii="Century Schoolbook" w:eastAsia="Century Schoolbook" w:hAnsi="Century Schoolbook" w:cs="Century Schoolbook"/>
          <w:sz w:val="28"/>
          <w:szCs w:val="28"/>
        </w:rPr>
        <w:t xml:space="preserve"> before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Under Rule 31.4, consolidation was generally required. “Unless good cause exists not to do so, an appellate court </w:t>
      </w:r>
      <w:r>
        <w:rPr>
          <w:rFonts w:ascii="Century Schoolbook" w:eastAsia="Century Schoolbook" w:hAnsi="Century Schoolbook" w:cs="Century Schoolbook"/>
          <w:i/>
          <w:sz w:val="28"/>
          <w:szCs w:val="28"/>
        </w:rPr>
        <w:t xml:space="preserve">must </w:t>
      </w:r>
      <w:r>
        <w:rPr>
          <w:rFonts w:ascii="Century Schoolbook" w:eastAsia="Century Schoolbook" w:hAnsi="Century Schoolbook" w:cs="Century Schoolbook"/>
          <w:sz w:val="28"/>
          <w:szCs w:val="28"/>
        </w:rPr>
        <w:t>consolidate an appeal from a judgment or sentence with an appeal from a final decision on a Rule 24 motion … if the motion … was filed … before a notice of appeal is filed; or … while an appeal is pending and the motion … was decided while the appeal is stayed.” Ariz. R. Crim. P. 31.4(b) (emphasis added).</w:t>
      </w:r>
    </w:p>
    <w:p w14:paraId="1C93F023" w14:textId="7777777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While this Court vacated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it did so in a Decision Order. </w:t>
      </w:r>
    </w:p>
    <w:p w14:paraId="727020B0" w14:textId="2E831D41"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The proposal is thus a common-sense way to ensure we do</w:t>
      </w:r>
      <w:r w:rsidR="00F844CA">
        <w:rPr>
          <w:rFonts w:ascii="Century Schoolbook" w:eastAsia="Century Schoolbook" w:hAnsi="Century Schoolbook" w:cs="Century Schoolbook"/>
          <w:sz w:val="28"/>
          <w:szCs w:val="28"/>
        </w:rPr>
        <w:t xml:space="preserve"> not</w:t>
      </w:r>
      <w:r>
        <w:rPr>
          <w:rFonts w:ascii="Century Schoolbook" w:eastAsia="Century Schoolbook" w:hAnsi="Century Schoolbook" w:cs="Century Schoolbook"/>
          <w:sz w:val="28"/>
          <w:szCs w:val="28"/>
        </w:rPr>
        <w:t xml:space="preserve"> end up with another </w:t>
      </w:r>
      <w:r>
        <w:rPr>
          <w:rFonts w:ascii="Century Schoolbook" w:eastAsia="Century Schoolbook" w:hAnsi="Century Schoolbook" w:cs="Century Schoolbook"/>
          <w:i/>
          <w:sz w:val="28"/>
          <w:szCs w:val="28"/>
        </w:rPr>
        <w:t>Sanchez</w:t>
      </w:r>
      <w:r>
        <w:rPr>
          <w:rFonts w:ascii="Century Schoolbook" w:eastAsia="Century Schoolbook" w:hAnsi="Century Schoolbook" w:cs="Century Schoolbook"/>
          <w:sz w:val="28"/>
          <w:szCs w:val="28"/>
        </w:rPr>
        <w:t xml:space="preserve"> in five or ten years. </w:t>
      </w:r>
    </w:p>
    <w:p w14:paraId="52A3060F" w14:textId="77777777" w:rsidR="00DC4D3A" w:rsidRDefault="00DC4D3A">
      <w:pPr>
        <w:spacing w:line="480" w:lineRule="auto"/>
        <w:rPr>
          <w:rFonts w:ascii="Century Schoolbook" w:eastAsia="Century Schoolbook" w:hAnsi="Century Schoolbook" w:cs="Century Schoolbook"/>
          <w:sz w:val="28"/>
          <w:szCs w:val="28"/>
        </w:rPr>
      </w:pPr>
    </w:p>
    <w:p w14:paraId="532C4CAF" w14:textId="77777777" w:rsidR="00DC4D3A" w:rsidRDefault="00000000">
      <w:pPr>
        <w:numPr>
          <w:ilvl w:val="0"/>
          <w:numId w:val="1"/>
        </w:numPr>
        <w:spacing w:line="240" w:lineRule="auto"/>
        <w:rPr>
          <w:rFonts w:ascii="Century Schoolbook" w:eastAsia="Century Schoolbook" w:hAnsi="Century Schoolbook" w:cs="Century Schoolbook"/>
          <w:b/>
          <w:sz w:val="28"/>
          <w:szCs w:val="28"/>
        </w:rPr>
      </w:pPr>
      <w:r>
        <w:rPr>
          <w:rFonts w:ascii="Century Schoolbook" w:eastAsia="Century Schoolbook" w:hAnsi="Century Schoolbook" w:cs="Century Schoolbook"/>
          <w:b/>
          <w:sz w:val="28"/>
          <w:szCs w:val="28"/>
        </w:rPr>
        <w:t>The proposed rule change would fit better in Rule 31.2(c)(1).</w:t>
      </w:r>
    </w:p>
    <w:p w14:paraId="6586AA3E" w14:textId="77777777" w:rsidR="00DC4D3A" w:rsidRDefault="00DC4D3A">
      <w:pPr>
        <w:spacing w:line="240" w:lineRule="auto"/>
        <w:ind w:left="720"/>
        <w:rPr>
          <w:rFonts w:ascii="Century Schoolbook" w:eastAsia="Century Schoolbook" w:hAnsi="Century Schoolbook" w:cs="Century Schoolbook"/>
          <w:b/>
          <w:sz w:val="28"/>
          <w:szCs w:val="28"/>
        </w:rPr>
      </w:pPr>
    </w:p>
    <w:p w14:paraId="7A3DF01A" w14:textId="7EF43FE0"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While </w:t>
      </w:r>
      <w:r w:rsidR="00374DDD">
        <w:rPr>
          <w:rFonts w:ascii="Century Schoolbook" w:eastAsia="Century Schoolbook" w:hAnsi="Century Schoolbook" w:cs="Century Schoolbook"/>
          <w:sz w:val="28"/>
          <w:szCs w:val="28"/>
        </w:rPr>
        <w:t>IR</w:t>
      </w:r>
      <w:r>
        <w:rPr>
          <w:rFonts w:ascii="Century Schoolbook" w:eastAsia="Century Schoolbook" w:hAnsi="Century Schoolbook" w:cs="Century Schoolbook"/>
          <w:sz w:val="28"/>
          <w:szCs w:val="28"/>
        </w:rPr>
        <w:t xml:space="preserve"> support</w:t>
      </w:r>
      <w:r w:rsidR="00374DDD">
        <w:rPr>
          <w:rFonts w:ascii="Century Schoolbook" w:eastAsia="Century Schoolbook" w:hAnsi="Century Schoolbook" w:cs="Century Schoolbook"/>
          <w:sz w:val="28"/>
          <w:szCs w:val="28"/>
        </w:rPr>
        <w:t>s</w:t>
      </w:r>
      <w:r>
        <w:rPr>
          <w:rFonts w:ascii="Century Schoolbook" w:eastAsia="Century Schoolbook" w:hAnsi="Century Schoolbook" w:cs="Century Schoolbook"/>
          <w:sz w:val="28"/>
          <w:szCs w:val="28"/>
        </w:rPr>
        <w:t xml:space="preserve"> the proposed rule change, they note that it makes more sense in Rule 31.2(c)(1). The proposal currently places the addition in Rule 31.2(a)(2), which deals with the time for filing a notice of appeal or cross-appeal. The proposal, however, has nothing to do with the time for filing. The proposal deals with content. Content is covered in subsection (c).</w:t>
      </w:r>
    </w:p>
    <w:p w14:paraId="405CFC38" w14:textId="77777777" w:rsidR="00F844CA" w:rsidRDefault="00F844CA">
      <w:pPr>
        <w:spacing w:line="480" w:lineRule="auto"/>
        <w:ind w:firstLine="720"/>
        <w:rPr>
          <w:rFonts w:ascii="Century Schoolbook" w:eastAsia="Century Schoolbook" w:hAnsi="Century Schoolbook" w:cs="Century Schoolbook"/>
          <w:sz w:val="28"/>
          <w:szCs w:val="28"/>
        </w:rPr>
      </w:pPr>
    </w:p>
    <w:p w14:paraId="3530FEA5" w14:textId="77777777"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lastRenderedPageBreak/>
        <w:t>Subsection (c)(1) provides:</w:t>
      </w:r>
    </w:p>
    <w:p w14:paraId="33A5DAAE" w14:textId="77777777" w:rsidR="00DC4D3A" w:rsidRDefault="00000000">
      <w:pPr>
        <w:spacing w:line="240" w:lineRule="auto"/>
        <w:ind w:left="720" w:right="720"/>
        <w:rPr>
          <w:rFonts w:ascii="Century Schoolbook" w:eastAsia="Century Schoolbook" w:hAnsi="Century Schoolbook" w:cs="Century Schoolbook"/>
          <w:sz w:val="28"/>
          <w:szCs w:val="28"/>
        </w:rPr>
      </w:pPr>
      <w:r>
        <w:rPr>
          <w:rFonts w:ascii="Century Schoolbook" w:eastAsia="Century Schoolbook" w:hAnsi="Century Schoolbook" w:cs="Century Schoolbook"/>
          <w:i/>
          <w:sz w:val="28"/>
          <w:szCs w:val="28"/>
        </w:rPr>
        <w:t>The Appeal’s Subject.</w:t>
      </w:r>
      <w:r>
        <w:rPr>
          <w:rFonts w:ascii="Century Schoolbook" w:eastAsia="Century Schoolbook" w:hAnsi="Century Schoolbook" w:cs="Century Schoolbook"/>
          <w:sz w:val="28"/>
          <w:szCs w:val="28"/>
        </w:rPr>
        <w:t xml:space="preserve"> A notice of appeal or cross-appeal must identify the order, judgment, or sentence that is being appealed.</w:t>
      </w:r>
    </w:p>
    <w:p w14:paraId="7CC31DC6" w14:textId="77777777" w:rsidR="00DC4D3A" w:rsidRDefault="00DC4D3A">
      <w:pPr>
        <w:spacing w:line="240" w:lineRule="auto"/>
        <w:rPr>
          <w:rFonts w:ascii="Century Schoolbook" w:eastAsia="Century Schoolbook" w:hAnsi="Century Schoolbook" w:cs="Century Schoolbook"/>
          <w:sz w:val="28"/>
          <w:szCs w:val="28"/>
        </w:rPr>
      </w:pPr>
    </w:p>
    <w:p w14:paraId="645A2997" w14:textId="77777777" w:rsidR="00DC4D3A" w:rsidRDefault="00000000">
      <w:pPr>
        <w:spacing w:line="48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Ariz. R. Crim. P. 31.2(c)(1). The Petition’s proposed language can be added to the end of this section:</w:t>
      </w:r>
    </w:p>
    <w:p w14:paraId="71FA7F03" w14:textId="77777777" w:rsidR="00DC4D3A" w:rsidRDefault="00000000">
      <w:pPr>
        <w:spacing w:line="240" w:lineRule="auto"/>
        <w:ind w:left="720" w:right="720"/>
        <w:rPr>
          <w:rFonts w:ascii="Century Schoolbook" w:eastAsia="Century Schoolbook" w:hAnsi="Century Schoolbook" w:cs="Century Schoolbook"/>
          <w:sz w:val="28"/>
          <w:szCs w:val="28"/>
        </w:rPr>
      </w:pPr>
      <w:r>
        <w:rPr>
          <w:rFonts w:ascii="Century Schoolbook" w:eastAsia="Century Schoolbook" w:hAnsi="Century Schoolbook" w:cs="Century Schoolbook"/>
          <w:i/>
          <w:sz w:val="28"/>
          <w:szCs w:val="28"/>
        </w:rPr>
        <w:t>The Appeal’s Subject.</w:t>
      </w:r>
      <w:r>
        <w:rPr>
          <w:rFonts w:ascii="Century Schoolbook" w:eastAsia="Century Schoolbook" w:hAnsi="Century Schoolbook" w:cs="Century Schoolbook"/>
          <w:sz w:val="28"/>
          <w:szCs w:val="28"/>
        </w:rPr>
        <w:t xml:space="preserve"> A notice of appeal or cross-appeal must identify the order, judgment, or sentence that is being appealed. </w:t>
      </w:r>
      <w:r>
        <w:rPr>
          <w:rFonts w:ascii="Century Schoolbook" w:eastAsia="Century Schoolbook" w:hAnsi="Century Schoolbook" w:cs="Century Schoolbook"/>
          <w:b/>
          <w:sz w:val="28"/>
          <w:szCs w:val="28"/>
          <w:u w:val="single"/>
        </w:rPr>
        <w:t>A notice filed pursuant to this provision includes all appealable rulings in the case prior to the imposition of sentence.</w:t>
      </w:r>
    </w:p>
    <w:p w14:paraId="31E78B47" w14:textId="77777777" w:rsidR="00DC4D3A" w:rsidRDefault="00DC4D3A">
      <w:pPr>
        <w:spacing w:line="240" w:lineRule="auto"/>
        <w:rPr>
          <w:rFonts w:ascii="Century Schoolbook" w:eastAsia="Century Schoolbook" w:hAnsi="Century Schoolbook" w:cs="Century Schoolbook"/>
          <w:sz w:val="28"/>
          <w:szCs w:val="28"/>
        </w:rPr>
      </w:pPr>
    </w:p>
    <w:p w14:paraId="063D7C15" w14:textId="3D39B748" w:rsidR="00374DDD" w:rsidRDefault="00000000" w:rsidP="00374DDD">
      <w:pPr>
        <w:spacing w:line="480" w:lineRule="auto"/>
      </w:pPr>
      <w:r>
        <w:rPr>
          <w:rFonts w:ascii="Century Schoolbook" w:eastAsia="Century Schoolbook" w:hAnsi="Century Schoolbook" w:cs="Century Schoolbook"/>
          <w:sz w:val="28"/>
          <w:szCs w:val="28"/>
        </w:rPr>
        <w:t xml:space="preserve">Placed here, the modification makes sense. It deals with </w:t>
      </w:r>
      <w:r w:rsidR="001124A3">
        <w:rPr>
          <w:rFonts w:ascii="Century Schoolbook" w:eastAsia="Century Schoolbook" w:hAnsi="Century Schoolbook" w:cs="Century Schoolbook"/>
          <w:sz w:val="28"/>
          <w:szCs w:val="28"/>
        </w:rPr>
        <w:t>content and</w:t>
      </w:r>
      <w:r>
        <w:rPr>
          <w:rFonts w:ascii="Century Schoolbook" w:eastAsia="Century Schoolbook" w:hAnsi="Century Schoolbook" w:cs="Century Schoolbook"/>
          <w:sz w:val="28"/>
          <w:szCs w:val="28"/>
        </w:rPr>
        <w:t xml:space="preserve"> is placed in the subsection that discusses content. And it clarifies that the notice includes appealable rulings prior to the order, judgment, or sentence being appealed.</w:t>
      </w:r>
    </w:p>
    <w:p w14:paraId="346283B0" w14:textId="60AA7453" w:rsidR="00DC4D3A" w:rsidRDefault="00000000" w:rsidP="00374DDD">
      <w:pPr>
        <w:spacing w:line="480" w:lineRule="auto"/>
        <w:jc w:val="center"/>
        <w:rPr>
          <w:rFonts w:ascii="Century Schoolbook" w:eastAsia="Century Schoolbook" w:hAnsi="Century Schoolbook" w:cs="Century Schoolbook"/>
          <w:sz w:val="28"/>
          <w:szCs w:val="28"/>
        </w:rPr>
      </w:pPr>
      <w:r>
        <w:rPr>
          <w:rFonts w:ascii="Century Schoolbook" w:eastAsia="Century Schoolbook" w:hAnsi="Century Schoolbook" w:cs="Century Schoolbook"/>
          <w:b/>
          <w:sz w:val="28"/>
          <w:szCs w:val="28"/>
        </w:rPr>
        <w:t>Conclusion</w:t>
      </w:r>
    </w:p>
    <w:p w14:paraId="4262C131" w14:textId="2A6E8794"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For the reasons stated in the petition and above, the directors of the defense agencies of Maricopa County support the petition to amend Criminal Rule </w:t>
      </w:r>
      <w:r w:rsidR="00470C2F">
        <w:rPr>
          <w:rFonts w:ascii="Century Schoolbook" w:eastAsia="Century Schoolbook" w:hAnsi="Century Schoolbook" w:cs="Century Schoolbook"/>
          <w:sz w:val="28"/>
          <w:szCs w:val="28"/>
        </w:rPr>
        <w:t>31.2 but</w:t>
      </w:r>
      <w:r w:rsidR="00374DDD">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believe the amendment would be better placed in subsection (c)(1).</w:t>
      </w:r>
    </w:p>
    <w:p w14:paraId="619A4EDD" w14:textId="77777777" w:rsidR="00DC4D3A" w:rsidRDefault="00DC4D3A">
      <w:pPr>
        <w:spacing w:line="480" w:lineRule="auto"/>
        <w:ind w:firstLine="720"/>
        <w:rPr>
          <w:rFonts w:ascii="Century Schoolbook" w:eastAsia="Century Schoolbook" w:hAnsi="Century Schoolbook" w:cs="Century Schoolbook"/>
          <w:sz w:val="28"/>
          <w:szCs w:val="28"/>
        </w:rPr>
      </w:pPr>
    </w:p>
    <w:p w14:paraId="2BB4B654" w14:textId="77777777" w:rsidR="001124A3" w:rsidRDefault="001124A3">
      <w:pPr>
        <w:spacing w:line="480" w:lineRule="auto"/>
        <w:ind w:firstLine="720"/>
        <w:rPr>
          <w:rFonts w:ascii="Century Schoolbook" w:eastAsia="Century Schoolbook" w:hAnsi="Century Schoolbook" w:cs="Century Schoolbook"/>
          <w:sz w:val="28"/>
          <w:szCs w:val="28"/>
        </w:rPr>
      </w:pPr>
    </w:p>
    <w:p w14:paraId="77D05ADC" w14:textId="4C01BC81" w:rsidR="00DC4D3A" w:rsidRDefault="00000000">
      <w:pPr>
        <w:spacing w:line="480" w:lineRule="auto"/>
        <w:ind w:firstLine="720"/>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lastRenderedPageBreak/>
        <w:t xml:space="preserve">Respectfully submitted this </w:t>
      </w:r>
      <w:r w:rsidR="001124A3">
        <w:rPr>
          <w:rFonts w:ascii="Century Schoolbook" w:eastAsia="Century Schoolbook" w:hAnsi="Century Schoolbook" w:cs="Century Schoolbook"/>
          <w:sz w:val="28"/>
          <w:szCs w:val="28"/>
          <w:u w:val="single"/>
        </w:rPr>
        <w:t>29</w:t>
      </w:r>
      <w:r w:rsidR="001124A3" w:rsidRPr="001124A3">
        <w:rPr>
          <w:rFonts w:ascii="Century Schoolbook" w:eastAsia="Century Schoolbook" w:hAnsi="Century Schoolbook" w:cs="Century Schoolbook"/>
          <w:sz w:val="28"/>
          <w:szCs w:val="28"/>
          <w:u w:val="single"/>
          <w:vertAlign w:val="superscript"/>
        </w:rPr>
        <w:t>th</w:t>
      </w:r>
      <w:r w:rsidR="001124A3">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 xml:space="preserve"> day of </w:t>
      </w:r>
      <w:r w:rsidR="00470C2F">
        <w:rPr>
          <w:rFonts w:ascii="Century Schoolbook" w:eastAsia="Century Schoolbook" w:hAnsi="Century Schoolbook" w:cs="Century Schoolbook"/>
          <w:sz w:val="28"/>
          <w:szCs w:val="28"/>
          <w:u w:val="single"/>
        </w:rPr>
        <w:t>April,</w:t>
      </w:r>
      <w:r>
        <w:rPr>
          <w:rFonts w:ascii="Century Schoolbook" w:eastAsia="Century Schoolbook" w:hAnsi="Century Schoolbook" w:cs="Century Schoolbook"/>
          <w:sz w:val="28"/>
          <w:szCs w:val="28"/>
        </w:rPr>
        <w:t xml:space="preserve"> 2024.</w:t>
      </w:r>
    </w:p>
    <w:p w14:paraId="0F3A9D51" w14:textId="77777777" w:rsidR="00DC4D3A" w:rsidRDefault="00000000">
      <w:pPr>
        <w:spacing w:line="240" w:lineRule="auto"/>
        <w:jc w:val="both"/>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410"/>
      </w:tblGrid>
      <w:tr w:rsidR="00DC4D3A" w14:paraId="325A3A46" w14:textId="77777777">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B1D569" w14:textId="6101E971" w:rsidR="00DC4D3A" w:rsidRDefault="00000000">
            <w:pPr>
              <w:spacing w:line="240" w:lineRule="auto"/>
              <w:rPr>
                <w:rFonts w:ascii="Century Schoolbook" w:eastAsia="Century Schoolbook" w:hAnsi="Century Schoolbook" w:cs="Century Schoolbook"/>
                <w:sz w:val="28"/>
                <w:szCs w:val="28"/>
                <w:u w:val="single"/>
              </w:rPr>
            </w:pPr>
            <w:r>
              <w:rPr>
                <w:rFonts w:ascii="Century Schoolbook" w:eastAsia="Century Schoolbook" w:hAnsi="Century Schoolbook" w:cs="Century Schoolbook"/>
                <w:sz w:val="28"/>
                <w:szCs w:val="28"/>
              </w:rPr>
              <w:t>By</w:t>
            </w:r>
            <w:r>
              <w:rPr>
                <w:rFonts w:ascii="Century Schoolbook" w:eastAsia="Century Schoolbook" w:hAnsi="Century Schoolbook" w:cs="Century Schoolbook"/>
                <w:sz w:val="28"/>
                <w:szCs w:val="28"/>
                <w:u w:val="single"/>
              </w:rPr>
              <w:t xml:space="preserve">   </w:t>
            </w:r>
            <w:r>
              <w:rPr>
                <w:rFonts w:ascii="Century Schoolbook" w:eastAsia="Century Schoolbook" w:hAnsi="Century Schoolbook" w:cs="Century Schoolbook"/>
                <w:sz w:val="28"/>
                <w:szCs w:val="28"/>
                <w:u w:val="single"/>
              </w:rPr>
              <w:tab/>
              <w:t xml:space="preserve">/s/ </w:t>
            </w:r>
            <w:r>
              <w:rPr>
                <w:rFonts w:ascii="Century Schoolbook" w:eastAsia="Century Schoolbook" w:hAnsi="Century Schoolbook" w:cs="Century Schoolbook"/>
                <w:i/>
                <w:sz w:val="28"/>
                <w:szCs w:val="28"/>
                <w:u w:val="single"/>
              </w:rPr>
              <w:t xml:space="preserve">Rosemarie </w:t>
            </w:r>
            <w:r w:rsidR="00F844CA" w:rsidRPr="00F844CA">
              <w:rPr>
                <w:rFonts w:ascii="Century Schoolbook" w:eastAsia="Century Schoolbook" w:hAnsi="Century Schoolbook" w:cs="Century Schoolbook"/>
                <w:i/>
                <w:sz w:val="28"/>
                <w:szCs w:val="28"/>
                <w:u w:val="single"/>
              </w:rPr>
              <w:t>Peña</w:t>
            </w:r>
            <w:r>
              <w:rPr>
                <w:rFonts w:ascii="Century Schoolbook" w:eastAsia="Century Schoolbook" w:hAnsi="Century Schoolbook" w:cs="Century Schoolbook"/>
                <w:i/>
                <w:sz w:val="28"/>
                <w:szCs w:val="28"/>
                <w:u w:val="single"/>
              </w:rPr>
              <w:t>-Lynch</w:t>
            </w:r>
            <w:r>
              <w:rPr>
                <w:rFonts w:ascii="Century Schoolbook" w:eastAsia="Century Schoolbook" w:hAnsi="Century Schoolbook" w:cs="Century Schoolbook"/>
                <w:sz w:val="28"/>
                <w:szCs w:val="28"/>
                <w:u w:val="single"/>
              </w:rPr>
              <w:t xml:space="preserve"> </w:t>
            </w:r>
          </w:p>
          <w:p w14:paraId="7F5504B1" w14:textId="027DF78C"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Rosemarie </w:t>
            </w:r>
            <w:r w:rsidR="00F844CA" w:rsidRPr="00F844CA">
              <w:rPr>
                <w:rFonts w:ascii="Century Schoolbook" w:eastAsia="Century Schoolbook" w:hAnsi="Century Schoolbook" w:cs="Century Schoolbook"/>
                <w:sz w:val="28"/>
                <w:szCs w:val="28"/>
              </w:rPr>
              <w:t>Peña</w:t>
            </w:r>
            <w:r>
              <w:rPr>
                <w:rFonts w:ascii="Century Schoolbook" w:eastAsia="Century Schoolbook" w:hAnsi="Century Schoolbook" w:cs="Century Schoolbook"/>
                <w:sz w:val="28"/>
                <w:szCs w:val="28"/>
              </w:rPr>
              <w:t xml:space="preserve">-Lynch, Director </w:t>
            </w:r>
          </w:p>
          <w:p w14:paraId="7BA1FB8C"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Maricopa County Office of Public Defense Services </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03C36CE" w14:textId="77777777" w:rsidR="00DC4D3A" w:rsidRDefault="00000000">
            <w:pPr>
              <w:spacing w:line="240" w:lineRule="auto"/>
              <w:rPr>
                <w:rFonts w:ascii="Century Schoolbook" w:eastAsia="Century Schoolbook" w:hAnsi="Century Schoolbook" w:cs="Century Schoolbook"/>
                <w:sz w:val="28"/>
                <w:szCs w:val="28"/>
                <w:u w:val="single"/>
              </w:rPr>
            </w:pPr>
            <w:r>
              <w:rPr>
                <w:rFonts w:ascii="Century Schoolbook" w:eastAsia="Century Schoolbook" w:hAnsi="Century Schoolbook" w:cs="Century Schoolbook"/>
                <w:sz w:val="28"/>
                <w:szCs w:val="28"/>
              </w:rPr>
              <w:t>By</w:t>
            </w:r>
            <w:r>
              <w:rPr>
                <w:rFonts w:ascii="Century Schoolbook" w:eastAsia="Century Schoolbook" w:hAnsi="Century Schoolbook" w:cs="Century Schoolbook"/>
                <w:sz w:val="28"/>
                <w:szCs w:val="28"/>
                <w:u w:val="single"/>
              </w:rPr>
              <w:t xml:space="preserve">   </w:t>
            </w:r>
            <w:r>
              <w:rPr>
                <w:rFonts w:ascii="Century Schoolbook" w:eastAsia="Century Schoolbook" w:hAnsi="Century Schoolbook" w:cs="Century Schoolbook"/>
                <w:sz w:val="28"/>
                <w:szCs w:val="28"/>
                <w:u w:val="single"/>
              </w:rPr>
              <w:tab/>
              <w:t xml:space="preserve">/s/ </w:t>
            </w:r>
            <w:r>
              <w:rPr>
                <w:rFonts w:ascii="Century Schoolbook" w:eastAsia="Century Schoolbook" w:hAnsi="Century Schoolbook" w:cs="Century Schoolbook"/>
                <w:i/>
                <w:sz w:val="28"/>
                <w:szCs w:val="28"/>
                <w:u w:val="single"/>
              </w:rPr>
              <w:t>Gary Kula</w:t>
            </w:r>
          </w:p>
          <w:p w14:paraId="710F2392"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Gary Kula, Director</w:t>
            </w:r>
          </w:p>
          <w:p w14:paraId="6CD494B8"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Public Defender’s Office</w:t>
            </w:r>
          </w:p>
        </w:tc>
      </w:tr>
      <w:tr w:rsidR="00DC4D3A" w14:paraId="31C76339" w14:textId="77777777">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7A6AC4" w14:textId="3AE8B9BA" w:rsidR="00DC4D3A" w:rsidRDefault="00000000">
            <w:pPr>
              <w:spacing w:line="240" w:lineRule="auto"/>
              <w:rPr>
                <w:rFonts w:ascii="Century Schoolbook" w:eastAsia="Century Schoolbook" w:hAnsi="Century Schoolbook" w:cs="Century Schoolbook"/>
                <w:sz w:val="28"/>
                <w:szCs w:val="28"/>
                <w:u w:val="single"/>
              </w:rPr>
            </w:pPr>
            <w:r>
              <w:rPr>
                <w:rFonts w:ascii="Century Schoolbook" w:eastAsia="Century Schoolbook" w:hAnsi="Century Schoolbook" w:cs="Century Schoolbook"/>
                <w:sz w:val="28"/>
                <w:szCs w:val="28"/>
              </w:rPr>
              <w:t>By</w:t>
            </w:r>
            <w:r>
              <w:rPr>
                <w:rFonts w:ascii="Century Schoolbook" w:eastAsia="Century Schoolbook" w:hAnsi="Century Schoolbook" w:cs="Century Schoolbook"/>
                <w:sz w:val="28"/>
                <w:szCs w:val="28"/>
                <w:u w:val="single"/>
              </w:rPr>
              <w:t xml:space="preserve">   </w:t>
            </w:r>
            <w:r>
              <w:rPr>
                <w:rFonts w:ascii="Century Schoolbook" w:eastAsia="Century Schoolbook" w:hAnsi="Century Schoolbook" w:cs="Century Schoolbook"/>
                <w:sz w:val="28"/>
                <w:szCs w:val="28"/>
                <w:u w:val="single"/>
              </w:rPr>
              <w:tab/>
              <w:t xml:space="preserve">/s/ </w:t>
            </w:r>
            <w:r>
              <w:rPr>
                <w:rFonts w:ascii="Century Schoolbook" w:eastAsia="Century Schoolbook" w:hAnsi="Century Schoolbook" w:cs="Century Schoolbook"/>
                <w:i/>
                <w:sz w:val="28"/>
                <w:szCs w:val="28"/>
                <w:u w:val="single"/>
              </w:rPr>
              <w:t>Steve Koestner</w:t>
            </w:r>
            <w:r w:rsidR="00F844CA">
              <w:rPr>
                <w:rFonts w:ascii="Century Schoolbook" w:eastAsia="Century Schoolbook" w:hAnsi="Century Schoolbook" w:cs="Century Schoolbook"/>
                <w:i/>
                <w:sz w:val="28"/>
                <w:szCs w:val="28"/>
                <w:u w:val="single"/>
              </w:rPr>
              <w:t xml:space="preserve">            </w:t>
            </w:r>
            <w:r>
              <w:rPr>
                <w:rFonts w:ascii="Century Schoolbook" w:eastAsia="Century Schoolbook" w:hAnsi="Century Schoolbook" w:cs="Century Schoolbook"/>
                <w:sz w:val="28"/>
                <w:szCs w:val="28"/>
                <w:u w:val="single"/>
              </w:rPr>
              <w:t xml:space="preserve">                         </w:t>
            </w:r>
            <w:r>
              <w:rPr>
                <w:rFonts w:ascii="Century Schoolbook" w:eastAsia="Century Schoolbook" w:hAnsi="Century Schoolbook" w:cs="Century Schoolbook"/>
                <w:sz w:val="28"/>
                <w:szCs w:val="28"/>
              </w:rPr>
              <w:t xml:space="preserve"> </w:t>
            </w:r>
          </w:p>
          <w:p w14:paraId="555ECB27"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Steve Koestner, Director</w:t>
            </w:r>
          </w:p>
          <w:p w14:paraId="30A46ADD"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Maricopa County Office of the Legal Advocate </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EA47601" w14:textId="77777777" w:rsidR="00DC4D3A" w:rsidRDefault="00000000">
            <w:pPr>
              <w:spacing w:line="240" w:lineRule="auto"/>
              <w:rPr>
                <w:rFonts w:ascii="Century Schoolbook" w:eastAsia="Century Schoolbook" w:hAnsi="Century Schoolbook" w:cs="Century Schoolbook"/>
                <w:sz w:val="28"/>
                <w:szCs w:val="28"/>
                <w:u w:val="single"/>
              </w:rPr>
            </w:pPr>
            <w:r>
              <w:rPr>
                <w:rFonts w:ascii="Century Schoolbook" w:eastAsia="Century Schoolbook" w:hAnsi="Century Schoolbook" w:cs="Century Schoolbook"/>
                <w:sz w:val="28"/>
                <w:szCs w:val="28"/>
              </w:rPr>
              <w:t>By</w:t>
            </w:r>
            <w:r>
              <w:rPr>
                <w:rFonts w:ascii="Century Schoolbook" w:eastAsia="Century Schoolbook" w:hAnsi="Century Schoolbook" w:cs="Century Schoolbook"/>
                <w:sz w:val="28"/>
                <w:szCs w:val="28"/>
                <w:u w:val="single"/>
              </w:rPr>
              <w:t xml:space="preserve">   </w:t>
            </w:r>
            <w:r>
              <w:rPr>
                <w:rFonts w:ascii="Century Schoolbook" w:eastAsia="Century Schoolbook" w:hAnsi="Century Schoolbook" w:cs="Century Schoolbook"/>
                <w:sz w:val="28"/>
                <w:szCs w:val="28"/>
                <w:u w:val="single"/>
              </w:rPr>
              <w:tab/>
              <w:t xml:space="preserve">/s/ </w:t>
            </w:r>
            <w:r>
              <w:rPr>
                <w:rFonts w:ascii="Century Schoolbook" w:eastAsia="Century Schoolbook" w:hAnsi="Century Schoolbook" w:cs="Century Schoolbook"/>
                <w:i/>
                <w:sz w:val="28"/>
                <w:szCs w:val="28"/>
                <w:u w:val="single"/>
              </w:rPr>
              <w:t>Shannon Burns</w:t>
            </w:r>
          </w:p>
          <w:p w14:paraId="764FD668"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Shannon Burns, Director</w:t>
            </w:r>
          </w:p>
          <w:p w14:paraId="6FE15003"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Office of the Public Advocate</w:t>
            </w:r>
          </w:p>
        </w:tc>
      </w:tr>
      <w:tr w:rsidR="00DC4D3A" w14:paraId="3B1E90DA" w14:textId="77777777">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9365D58" w14:textId="77777777" w:rsidR="00DC4D3A" w:rsidRDefault="00000000">
            <w:pPr>
              <w:spacing w:line="240" w:lineRule="auto"/>
              <w:rPr>
                <w:rFonts w:ascii="Century Schoolbook" w:eastAsia="Century Schoolbook" w:hAnsi="Century Schoolbook" w:cs="Century Schoolbook"/>
                <w:i/>
                <w:sz w:val="28"/>
                <w:szCs w:val="28"/>
                <w:u w:val="single"/>
              </w:rPr>
            </w:pPr>
            <w:r>
              <w:rPr>
                <w:rFonts w:ascii="Century Schoolbook" w:eastAsia="Century Schoolbook" w:hAnsi="Century Schoolbook" w:cs="Century Schoolbook"/>
                <w:sz w:val="28"/>
                <w:szCs w:val="28"/>
              </w:rPr>
              <w:t>By</w:t>
            </w:r>
            <w:r>
              <w:rPr>
                <w:rFonts w:ascii="Century Schoolbook" w:eastAsia="Century Schoolbook" w:hAnsi="Century Schoolbook" w:cs="Century Schoolbook"/>
                <w:sz w:val="28"/>
                <w:szCs w:val="28"/>
                <w:u w:val="single"/>
              </w:rPr>
              <w:t xml:space="preserve">   </w:t>
            </w:r>
            <w:r>
              <w:rPr>
                <w:rFonts w:ascii="Century Schoolbook" w:eastAsia="Century Schoolbook" w:hAnsi="Century Schoolbook" w:cs="Century Schoolbook"/>
                <w:sz w:val="28"/>
                <w:szCs w:val="28"/>
                <w:u w:val="single"/>
              </w:rPr>
              <w:tab/>
              <w:t xml:space="preserve">/s/ </w:t>
            </w:r>
            <w:r>
              <w:rPr>
                <w:rFonts w:ascii="Century Schoolbook" w:eastAsia="Century Schoolbook" w:hAnsi="Century Schoolbook" w:cs="Century Schoolbook"/>
                <w:i/>
                <w:sz w:val="28"/>
                <w:szCs w:val="28"/>
                <w:u w:val="single"/>
              </w:rPr>
              <w:t>Sherri McGuire Lawson</w:t>
            </w:r>
          </w:p>
          <w:p w14:paraId="45A7D86D"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Sherri McGuire Lawson, Director</w:t>
            </w:r>
          </w:p>
          <w:p w14:paraId="5326B72C" w14:textId="77777777" w:rsidR="00DC4D3A" w:rsidRDefault="00000000">
            <w:pPr>
              <w:spacing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Maricopa County Office of the Legal Defender</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4DEA34" w14:textId="77777777" w:rsidR="00DC4D3A" w:rsidRDefault="00DC4D3A">
            <w:pPr>
              <w:widowControl w:val="0"/>
              <w:pBdr>
                <w:top w:val="nil"/>
                <w:left w:val="nil"/>
                <w:bottom w:val="nil"/>
                <w:right w:val="nil"/>
                <w:between w:val="nil"/>
              </w:pBdr>
              <w:spacing w:line="240" w:lineRule="auto"/>
              <w:rPr>
                <w:rFonts w:ascii="Century Schoolbook" w:eastAsia="Century Schoolbook" w:hAnsi="Century Schoolbook" w:cs="Century Schoolbook"/>
                <w:sz w:val="28"/>
                <w:szCs w:val="28"/>
              </w:rPr>
            </w:pPr>
          </w:p>
        </w:tc>
      </w:tr>
    </w:tbl>
    <w:p w14:paraId="1EA7CB5F" w14:textId="77777777" w:rsidR="00DC4D3A" w:rsidRDefault="00DC4D3A">
      <w:pPr>
        <w:spacing w:before="240" w:after="240" w:line="480" w:lineRule="auto"/>
        <w:jc w:val="both"/>
        <w:rPr>
          <w:rFonts w:ascii="Century Schoolbook" w:eastAsia="Century Schoolbook" w:hAnsi="Century Schoolbook" w:cs="Century Schoolbook"/>
          <w:sz w:val="28"/>
          <w:szCs w:val="28"/>
        </w:rPr>
      </w:pPr>
    </w:p>
    <w:p w14:paraId="2631BCA0" w14:textId="77777777" w:rsidR="00DC4D3A" w:rsidRDefault="00000000">
      <w:pPr>
        <w:spacing w:before="240" w:after="240" w:line="480" w:lineRule="auto"/>
        <w:jc w:val="both"/>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p>
    <w:p w14:paraId="5D1E1A0B" w14:textId="77777777" w:rsidR="00DC4D3A" w:rsidRDefault="00000000">
      <w:pPr>
        <w:spacing w:line="240" w:lineRule="auto"/>
        <w:jc w:val="both"/>
        <w:rPr>
          <w:rFonts w:ascii="Century Schoolbook" w:eastAsia="Century Schoolbook" w:hAnsi="Century Schoolbook" w:cs="Century Schoolbook"/>
          <w:sz w:val="28"/>
          <w:szCs w:val="28"/>
          <w:u w:val="single"/>
        </w:rPr>
      </w:pP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ab/>
        <w:t xml:space="preserve">        </w:t>
      </w:r>
      <w:r>
        <w:rPr>
          <w:rFonts w:ascii="Century Schoolbook" w:eastAsia="Century Schoolbook" w:hAnsi="Century Schoolbook" w:cs="Century Schoolbook"/>
          <w:sz w:val="28"/>
          <w:szCs w:val="28"/>
        </w:rPr>
        <w:tab/>
      </w:r>
    </w:p>
    <w:p w14:paraId="66DA029E" w14:textId="77777777" w:rsidR="00DC4D3A" w:rsidRDefault="00000000">
      <w:pPr>
        <w:spacing w:line="240" w:lineRule="auto"/>
        <w:jc w:val="both"/>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ab/>
      </w:r>
    </w:p>
    <w:p w14:paraId="54A35372" w14:textId="77777777" w:rsidR="00DC4D3A" w:rsidRDefault="00000000">
      <w:pPr>
        <w:spacing w:line="240" w:lineRule="auto"/>
        <w:jc w:val="both"/>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ab/>
      </w:r>
    </w:p>
    <w:sectPr w:rsidR="00DC4D3A" w:rsidSect="00E20ED8">
      <w:footerReference w:type="defaul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8777" w14:textId="77777777" w:rsidR="00B16415" w:rsidRDefault="00B16415">
      <w:pPr>
        <w:spacing w:line="240" w:lineRule="auto"/>
      </w:pPr>
      <w:r>
        <w:separator/>
      </w:r>
    </w:p>
  </w:endnote>
  <w:endnote w:type="continuationSeparator" w:id="0">
    <w:p w14:paraId="3DDF29FB" w14:textId="77777777" w:rsidR="00B16415" w:rsidRDefault="00B16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980994"/>
      <w:docPartObj>
        <w:docPartGallery w:val="Page Numbers (Bottom of Page)"/>
        <w:docPartUnique/>
      </w:docPartObj>
    </w:sdtPr>
    <w:sdtEndPr>
      <w:rPr>
        <w:rFonts w:ascii="Century Schoolbook" w:hAnsi="Century Schoolbook"/>
        <w:noProof/>
        <w:sz w:val="28"/>
        <w:szCs w:val="28"/>
      </w:rPr>
    </w:sdtEndPr>
    <w:sdtContent>
      <w:p w14:paraId="4AE45397" w14:textId="15EF9F52" w:rsidR="00E20ED8" w:rsidRPr="00E20ED8" w:rsidRDefault="00E20ED8">
        <w:pPr>
          <w:pStyle w:val="Footer"/>
          <w:jc w:val="center"/>
          <w:rPr>
            <w:rFonts w:ascii="Century Schoolbook" w:hAnsi="Century Schoolbook"/>
            <w:sz w:val="28"/>
            <w:szCs w:val="28"/>
          </w:rPr>
        </w:pPr>
        <w:r w:rsidRPr="00E20ED8">
          <w:rPr>
            <w:rFonts w:ascii="Century Schoolbook" w:hAnsi="Century Schoolbook"/>
            <w:sz w:val="28"/>
            <w:szCs w:val="28"/>
          </w:rPr>
          <w:fldChar w:fldCharType="begin"/>
        </w:r>
        <w:r w:rsidRPr="00E20ED8">
          <w:rPr>
            <w:rFonts w:ascii="Century Schoolbook" w:hAnsi="Century Schoolbook"/>
            <w:sz w:val="28"/>
            <w:szCs w:val="28"/>
          </w:rPr>
          <w:instrText xml:space="preserve"> PAGE   \* MERGEFORMAT </w:instrText>
        </w:r>
        <w:r w:rsidRPr="00E20ED8">
          <w:rPr>
            <w:rFonts w:ascii="Century Schoolbook" w:hAnsi="Century Schoolbook"/>
            <w:sz w:val="28"/>
            <w:szCs w:val="28"/>
          </w:rPr>
          <w:fldChar w:fldCharType="separate"/>
        </w:r>
        <w:r w:rsidRPr="00E20ED8">
          <w:rPr>
            <w:rFonts w:ascii="Century Schoolbook" w:hAnsi="Century Schoolbook"/>
            <w:noProof/>
            <w:sz w:val="28"/>
            <w:szCs w:val="28"/>
          </w:rPr>
          <w:t>2</w:t>
        </w:r>
        <w:r w:rsidRPr="00E20ED8">
          <w:rPr>
            <w:rFonts w:ascii="Century Schoolbook" w:hAnsi="Century Schoolbook"/>
            <w:noProof/>
            <w:sz w:val="28"/>
            <w:szCs w:val="28"/>
          </w:rPr>
          <w:fldChar w:fldCharType="end"/>
        </w:r>
      </w:p>
    </w:sdtContent>
  </w:sdt>
  <w:p w14:paraId="3D4E7C88" w14:textId="77777777" w:rsidR="00E20ED8" w:rsidRDefault="00E2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B0A9" w14:textId="77777777" w:rsidR="00B16415" w:rsidRDefault="00B16415">
      <w:pPr>
        <w:spacing w:line="240" w:lineRule="auto"/>
      </w:pPr>
      <w:r>
        <w:separator/>
      </w:r>
    </w:p>
  </w:footnote>
  <w:footnote w:type="continuationSeparator" w:id="0">
    <w:p w14:paraId="19EC47EB" w14:textId="77777777" w:rsidR="00B16415" w:rsidRDefault="00B16415">
      <w:pPr>
        <w:spacing w:line="240" w:lineRule="auto"/>
      </w:pPr>
      <w:r>
        <w:continuationSeparator/>
      </w:r>
    </w:p>
  </w:footnote>
  <w:footnote w:id="1">
    <w:p w14:paraId="177B705A" w14:textId="77777777" w:rsidR="00DC4D3A" w:rsidRDefault="00000000">
      <w:pPr>
        <w:spacing w:line="240" w:lineRule="auto"/>
        <w:rPr>
          <w:rFonts w:ascii="Century Schoolbook" w:eastAsia="Century Schoolbook" w:hAnsi="Century Schoolbook" w:cs="Century Schoolbook"/>
          <w:sz w:val="28"/>
          <w:szCs w:val="28"/>
        </w:rPr>
      </w:pPr>
      <w:r>
        <w:rPr>
          <w:vertAlign w:val="superscript"/>
        </w:rPr>
        <w:footnoteRef/>
      </w: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i/>
          <w:sz w:val="28"/>
          <w:szCs w:val="28"/>
        </w:rPr>
        <w:t>Maricopa County Quick Facts</w:t>
      </w: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mallCaps/>
          <w:sz w:val="28"/>
          <w:szCs w:val="28"/>
        </w:rPr>
        <w:t>Maricopa County</w:t>
      </w:r>
      <w:r>
        <w:rPr>
          <w:rFonts w:ascii="Century Schoolbook" w:eastAsia="Century Schoolbook" w:hAnsi="Century Schoolbook" w:cs="Century Schoolbook"/>
          <w:sz w:val="28"/>
          <w:szCs w:val="28"/>
        </w:rPr>
        <w:t xml:space="preserve">, </w:t>
      </w:r>
      <w:hyperlink r:id="rId1">
        <w:r>
          <w:rPr>
            <w:rFonts w:ascii="Century Schoolbook" w:eastAsia="Century Schoolbook" w:hAnsi="Century Schoolbook" w:cs="Century Schoolbook"/>
            <w:color w:val="1155CC"/>
            <w:sz w:val="28"/>
            <w:szCs w:val="28"/>
            <w:u w:val="single"/>
          </w:rPr>
          <w:t>https://www.maricopa.gov/3598/County-Quick-Facts</w:t>
        </w:r>
      </w:hyperlink>
      <w:r>
        <w:rPr>
          <w:rFonts w:ascii="Century Schoolbook" w:eastAsia="Century Schoolbook" w:hAnsi="Century Schoolbook" w:cs="Century Schoolbook"/>
          <w:sz w:val="28"/>
          <w:szCs w:val="28"/>
        </w:rPr>
        <w:t xml:space="preserve"> (last accessed March 14, 2024).</w:t>
      </w:r>
    </w:p>
  </w:footnote>
  <w:footnote w:id="2">
    <w:p w14:paraId="7591E843" w14:textId="77777777" w:rsidR="00DC4D3A" w:rsidRDefault="00000000">
      <w:pPr>
        <w:spacing w:line="240" w:lineRule="auto"/>
        <w:rPr>
          <w:rFonts w:ascii="Century Schoolbook" w:eastAsia="Century Schoolbook" w:hAnsi="Century Schoolbook" w:cs="Century Schoolbook"/>
          <w:sz w:val="28"/>
          <w:szCs w:val="28"/>
        </w:rPr>
      </w:pPr>
      <w:r>
        <w:rPr>
          <w:vertAlign w:val="superscript"/>
        </w:rPr>
        <w:footnoteRef/>
      </w: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i/>
          <w:sz w:val="28"/>
          <w:szCs w:val="28"/>
        </w:rPr>
        <w:t>Statistics: Felony Filings by Fiscal Year</w:t>
      </w:r>
      <w:r>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mallCaps/>
          <w:sz w:val="28"/>
          <w:szCs w:val="28"/>
        </w:rPr>
        <w:t>Ariz. Sup. Ct.</w:t>
      </w:r>
      <w:r>
        <w:rPr>
          <w:rFonts w:ascii="Century Schoolbook" w:eastAsia="Century Schoolbook" w:hAnsi="Century Schoolbook" w:cs="Century Schoolbook"/>
          <w:sz w:val="28"/>
          <w:szCs w:val="28"/>
        </w:rPr>
        <w:t xml:space="preserve">, </w:t>
      </w:r>
      <w:hyperlink r:id="rId2">
        <w:r>
          <w:rPr>
            <w:rFonts w:ascii="Century Schoolbook" w:eastAsia="Century Schoolbook" w:hAnsi="Century Schoolbook" w:cs="Century Schoolbook"/>
            <w:color w:val="1155CC"/>
            <w:sz w:val="28"/>
            <w:szCs w:val="28"/>
            <w:u w:val="single"/>
          </w:rPr>
          <w:t>https://www.azcourts.gov/statistics/Interactive-Data-Dashboards/Felony-Filings</w:t>
        </w:r>
      </w:hyperlink>
      <w:r>
        <w:rPr>
          <w:rFonts w:ascii="Century Schoolbook" w:eastAsia="Century Schoolbook" w:hAnsi="Century Schoolbook" w:cs="Century Schoolbook"/>
          <w:sz w:val="28"/>
          <w:szCs w:val="28"/>
        </w:rPr>
        <w:t xml:space="preserve"> (last accessed March 14,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1E0"/>
    <w:multiLevelType w:val="multilevel"/>
    <w:tmpl w:val="E1C00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B37EC7"/>
    <w:multiLevelType w:val="multilevel"/>
    <w:tmpl w:val="DD8CD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50605905">
    <w:abstractNumId w:val="1"/>
  </w:num>
  <w:num w:numId="2" w16cid:durableId="20625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3A"/>
    <w:rsid w:val="001124A3"/>
    <w:rsid w:val="00374DDD"/>
    <w:rsid w:val="0044501F"/>
    <w:rsid w:val="00470C2F"/>
    <w:rsid w:val="004E71C1"/>
    <w:rsid w:val="004F1DCB"/>
    <w:rsid w:val="005E409E"/>
    <w:rsid w:val="00752218"/>
    <w:rsid w:val="00B16415"/>
    <w:rsid w:val="00BC4A0B"/>
    <w:rsid w:val="00D33365"/>
    <w:rsid w:val="00DC4D3A"/>
    <w:rsid w:val="00E20ED8"/>
    <w:rsid w:val="00F8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922C"/>
  <w15:docId w15:val="{07B9D275-8411-4F99-881C-5A84B7DA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0ED8"/>
    <w:pPr>
      <w:tabs>
        <w:tab w:val="center" w:pos="4680"/>
        <w:tab w:val="right" w:pos="9360"/>
      </w:tabs>
      <w:spacing w:line="240" w:lineRule="auto"/>
    </w:pPr>
  </w:style>
  <w:style w:type="character" w:customStyle="1" w:styleId="HeaderChar">
    <w:name w:val="Header Char"/>
    <w:basedOn w:val="DefaultParagraphFont"/>
    <w:link w:val="Header"/>
    <w:uiPriority w:val="99"/>
    <w:rsid w:val="00E20ED8"/>
  </w:style>
  <w:style w:type="paragraph" w:styleId="Footer">
    <w:name w:val="footer"/>
    <w:basedOn w:val="Normal"/>
    <w:link w:val="FooterChar"/>
    <w:uiPriority w:val="99"/>
    <w:unhideWhenUsed/>
    <w:rsid w:val="00E20ED8"/>
    <w:pPr>
      <w:tabs>
        <w:tab w:val="center" w:pos="4680"/>
        <w:tab w:val="right" w:pos="9360"/>
      </w:tabs>
      <w:spacing w:line="240" w:lineRule="auto"/>
    </w:pPr>
  </w:style>
  <w:style w:type="character" w:customStyle="1" w:styleId="FooterChar">
    <w:name w:val="Footer Char"/>
    <w:basedOn w:val="DefaultParagraphFont"/>
    <w:link w:val="Footer"/>
    <w:uiPriority w:val="99"/>
    <w:rsid w:val="00E2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ry.Kula@marico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emarie.Pena-Lynch@maricopa.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rri.Mcguire@maricopa.gov" TargetMode="External"/><Relationship Id="rId5" Type="http://schemas.openxmlformats.org/officeDocument/2006/relationships/footnotes" Target="footnotes.xml"/><Relationship Id="rId10" Type="http://schemas.openxmlformats.org/officeDocument/2006/relationships/hyperlink" Target="mailto:Shannon.Burns@maricopa.gov" TargetMode="External"/><Relationship Id="rId4" Type="http://schemas.openxmlformats.org/officeDocument/2006/relationships/webSettings" Target="webSettings.xml"/><Relationship Id="rId9" Type="http://schemas.openxmlformats.org/officeDocument/2006/relationships/hyperlink" Target="mailto:Steve.Koestner@marico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zcourts.gov/statistics/Interactive-Data-Dashboards/Felony-Filings" TargetMode="External"/><Relationship Id="rId1" Type="http://schemas.openxmlformats.org/officeDocument/2006/relationships/hyperlink" Target="https://www.maricopa.gov/3598/County-Quick-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1286</Words>
  <Characters>7104</Characters>
  <Application>Microsoft Office Word</Application>
  <DocSecurity>0</DocSecurity>
  <Lines>202</Lines>
  <Paragraphs>103</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Garcia (OPD)</cp:lastModifiedBy>
  <cp:revision>6</cp:revision>
  <dcterms:created xsi:type="dcterms:W3CDTF">2024-04-01T03:05:00Z</dcterms:created>
  <dcterms:modified xsi:type="dcterms:W3CDTF">2024-04-29T18:27:00Z</dcterms:modified>
</cp:coreProperties>
</file>