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0"/>
        <w:gridCol w:w="4260"/>
      </w:tblGrid>
      <w:tr w:rsidR="00C666D8" w:rsidRPr="004C4607" w14:paraId="6FF80D94" w14:textId="77777777" w:rsidTr="00843C61">
        <w:tc>
          <w:tcPr>
            <w:tcW w:w="51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30919BE" w14:textId="2B05AD12"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 xml:space="preserve">Rosemarie </w:t>
            </w:r>
            <w:r w:rsidR="004A6FF8" w:rsidRPr="004A6FF8">
              <w:rPr>
                <w:rFonts w:ascii="Century Schoolbook" w:eastAsia="Century Schoolbook" w:hAnsi="Century Schoolbook" w:cs="Century Schoolbook"/>
                <w:snapToGrid/>
                <w:kern w:val="0"/>
                <w:sz w:val="28"/>
                <w:lang w:val="en"/>
                <w14:ligatures w14:val="none"/>
              </w:rPr>
              <w:t>Peña</w:t>
            </w:r>
            <w:r w:rsidRPr="004C4607">
              <w:rPr>
                <w:rFonts w:ascii="Century Schoolbook" w:eastAsia="Century Schoolbook" w:hAnsi="Century Schoolbook" w:cs="Century Schoolbook"/>
                <w:snapToGrid/>
                <w:kern w:val="0"/>
                <w:sz w:val="28"/>
                <w:lang w:val="en"/>
                <w14:ligatures w14:val="none"/>
              </w:rPr>
              <w:t xml:space="preserve">-Lynch </w:t>
            </w:r>
          </w:p>
          <w:p w14:paraId="5F2D5A00"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Bar No. 023400</w:t>
            </w:r>
          </w:p>
          <w:p w14:paraId="69E292E1"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Maricopa County Office of Public Defense Services</w:t>
            </w:r>
          </w:p>
          <w:p w14:paraId="3429BC9F"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620 W. Jackson, Suite 3076</w:t>
            </w:r>
          </w:p>
          <w:p w14:paraId="4035F568"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Phoenix, AZ 85003</w:t>
            </w:r>
          </w:p>
          <w:p w14:paraId="711461DB"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(602) 506-7228</w:t>
            </w:r>
          </w:p>
          <w:p w14:paraId="35FB0EE9" w14:textId="77777777" w:rsidR="00C666D8" w:rsidRPr="004C4607" w:rsidRDefault="00000000" w:rsidP="00843C61">
            <w:pPr>
              <w:spacing w:after="0" w:line="240" w:lineRule="auto"/>
              <w:rPr>
                <w:rFonts w:ascii="Century Schoolbook" w:eastAsia="Century Schoolbook" w:hAnsi="Century Schoolbook" w:cs="Century Schoolbook"/>
                <w:snapToGrid/>
                <w:kern w:val="0"/>
                <w:sz w:val="28"/>
                <w:lang w:val="en"/>
                <w14:ligatures w14:val="none"/>
              </w:rPr>
            </w:pPr>
            <w:hyperlink r:id="rId7">
              <w:r w:rsidR="00C666D8" w:rsidRPr="004C4607">
                <w:rPr>
                  <w:rFonts w:ascii="Century Schoolbook" w:eastAsia="Century Schoolbook" w:hAnsi="Century Schoolbook" w:cs="Century Schoolbook"/>
                  <w:snapToGrid/>
                  <w:color w:val="1155CC"/>
                  <w:kern w:val="0"/>
                  <w:sz w:val="28"/>
                  <w:u w:val="single"/>
                  <w:lang w:val="en"/>
                  <w14:ligatures w14:val="none"/>
                </w:rPr>
                <w:t>Rosemarie.Pena-Lynch@maricopa.gov</w:t>
              </w:r>
            </w:hyperlink>
            <w:r w:rsidR="00C666D8" w:rsidRPr="004C4607">
              <w:rPr>
                <w:rFonts w:ascii="Century Schoolbook" w:eastAsia="Century Schoolbook" w:hAnsi="Century Schoolbook" w:cs="Century Schoolbook"/>
                <w:snapToGrid/>
                <w:kern w:val="0"/>
                <w:sz w:val="28"/>
                <w:lang w:val="en"/>
                <w14:ligatures w14:val="none"/>
              </w:rPr>
              <w:t xml:space="preserve"> </w:t>
            </w:r>
          </w:p>
        </w:tc>
        <w:tc>
          <w:tcPr>
            <w:tcW w:w="4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B77E053"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Gary Kula</w:t>
            </w:r>
          </w:p>
          <w:p w14:paraId="40E5CEA2"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Bar No. 012507</w:t>
            </w:r>
          </w:p>
          <w:p w14:paraId="4B34E7B4"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Maricopa County Public Defender’s Office</w:t>
            </w:r>
          </w:p>
          <w:p w14:paraId="47A9CFD6"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620 W. Jackson, Suite 4015</w:t>
            </w:r>
          </w:p>
          <w:p w14:paraId="589730B6"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Phoenix, AZ 85003</w:t>
            </w:r>
          </w:p>
          <w:p w14:paraId="3B34AC81"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(602) 506-7711</w:t>
            </w:r>
          </w:p>
          <w:p w14:paraId="6ECAAA66" w14:textId="77777777" w:rsidR="00C666D8" w:rsidRPr="004C4607" w:rsidRDefault="00000000" w:rsidP="00843C61">
            <w:pPr>
              <w:spacing w:after="0" w:line="240" w:lineRule="auto"/>
              <w:rPr>
                <w:rFonts w:ascii="Century Schoolbook" w:eastAsia="Century Schoolbook" w:hAnsi="Century Schoolbook" w:cs="Century Schoolbook"/>
                <w:snapToGrid/>
                <w:kern w:val="0"/>
                <w:sz w:val="28"/>
                <w:lang w:val="en"/>
                <w14:ligatures w14:val="none"/>
              </w:rPr>
            </w:pPr>
            <w:hyperlink r:id="rId8">
              <w:r w:rsidR="00C666D8" w:rsidRPr="004C4607">
                <w:rPr>
                  <w:rFonts w:ascii="Century Schoolbook" w:eastAsia="Century Schoolbook" w:hAnsi="Century Schoolbook" w:cs="Century Schoolbook"/>
                  <w:snapToGrid/>
                  <w:color w:val="1155CC"/>
                  <w:kern w:val="0"/>
                  <w:sz w:val="28"/>
                  <w:u w:val="single"/>
                  <w:lang w:val="en"/>
                  <w14:ligatures w14:val="none"/>
                </w:rPr>
                <w:t>Gary.Kula@maricopa.gov</w:t>
              </w:r>
            </w:hyperlink>
            <w:r w:rsidR="00C666D8" w:rsidRPr="004C4607">
              <w:rPr>
                <w:rFonts w:ascii="Century Schoolbook" w:eastAsia="Century Schoolbook" w:hAnsi="Century Schoolbook" w:cs="Century Schoolbook"/>
                <w:snapToGrid/>
                <w:kern w:val="0"/>
                <w:sz w:val="28"/>
                <w:lang w:val="en"/>
                <w14:ligatures w14:val="none"/>
              </w:rPr>
              <w:t xml:space="preserve"> </w:t>
            </w:r>
          </w:p>
        </w:tc>
      </w:tr>
      <w:tr w:rsidR="00C666D8" w:rsidRPr="004C4607" w14:paraId="04FDAE80" w14:textId="77777777" w:rsidTr="00843C61">
        <w:tc>
          <w:tcPr>
            <w:tcW w:w="51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A2DD0CB"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Steve Koestner</w:t>
            </w:r>
          </w:p>
          <w:p w14:paraId="6AAFB01E"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Bar No. 011566</w:t>
            </w:r>
          </w:p>
          <w:p w14:paraId="71046DD3"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 xml:space="preserve">Maricopa County Office of the Legal Advocate </w:t>
            </w:r>
          </w:p>
          <w:p w14:paraId="51F62C51"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222 N. Central, Suite 154</w:t>
            </w:r>
          </w:p>
          <w:p w14:paraId="6C0EF238"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Phoenix, AZ 85004</w:t>
            </w:r>
          </w:p>
          <w:p w14:paraId="146F4389"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(602) 506-4111</w:t>
            </w:r>
          </w:p>
          <w:p w14:paraId="0B7E958C" w14:textId="77777777" w:rsidR="00C666D8" w:rsidRPr="004C4607" w:rsidRDefault="00000000" w:rsidP="00843C61">
            <w:pPr>
              <w:spacing w:after="0" w:line="240" w:lineRule="auto"/>
              <w:rPr>
                <w:rFonts w:ascii="Century Schoolbook" w:eastAsia="Century Schoolbook" w:hAnsi="Century Schoolbook" w:cs="Century Schoolbook"/>
                <w:snapToGrid/>
                <w:kern w:val="0"/>
                <w:sz w:val="28"/>
                <w:lang w:val="en"/>
                <w14:ligatures w14:val="none"/>
              </w:rPr>
            </w:pPr>
            <w:hyperlink r:id="rId9">
              <w:r w:rsidR="00C666D8" w:rsidRPr="004C4607">
                <w:rPr>
                  <w:rFonts w:ascii="Century Schoolbook" w:eastAsia="Century Schoolbook" w:hAnsi="Century Schoolbook" w:cs="Century Schoolbook"/>
                  <w:snapToGrid/>
                  <w:color w:val="1155CC"/>
                  <w:kern w:val="0"/>
                  <w:sz w:val="28"/>
                  <w:u w:val="single"/>
                  <w:lang w:val="en"/>
                  <w14:ligatures w14:val="none"/>
                </w:rPr>
                <w:t>Steve.Koestner@maricopa.gov</w:t>
              </w:r>
            </w:hyperlink>
            <w:r w:rsidR="00C666D8" w:rsidRPr="004C4607">
              <w:rPr>
                <w:rFonts w:ascii="Century Schoolbook" w:eastAsia="Century Schoolbook" w:hAnsi="Century Schoolbook" w:cs="Century Schoolbook"/>
                <w:snapToGrid/>
                <w:kern w:val="0"/>
                <w:sz w:val="28"/>
                <w:lang w:val="en"/>
                <w14:ligatures w14:val="none"/>
              </w:rPr>
              <w:t xml:space="preserve"> </w:t>
            </w:r>
          </w:p>
        </w:tc>
        <w:tc>
          <w:tcPr>
            <w:tcW w:w="4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23BC6DF"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Shannon Burns</w:t>
            </w:r>
          </w:p>
          <w:p w14:paraId="1A491688"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Bar No. 015976</w:t>
            </w:r>
          </w:p>
          <w:p w14:paraId="00F217C2"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Maricopa County Office of the Public Advocate</w:t>
            </w:r>
          </w:p>
          <w:p w14:paraId="6286115E"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106 E. Baseline Rd.</w:t>
            </w:r>
          </w:p>
          <w:p w14:paraId="4C551D37"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Mesa, AZ 85210</w:t>
            </w:r>
          </w:p>
          <w:p w14:paraId="784E92A8"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(602) 372-2815</w:t>
            </w:r>
          </w:p>
          <w:p w14:paraId="795D2266" w14:textId="77777777" w:rsidR="00C666D8" w:rsidRPr="004C4607" w:rsidRDefault="00000000" w:rsidP="00843C61">
            <w:pPr>
              <w:spacing w:after="0" w:line="240" w:lineRule="auto"/>
              <w:rPr>
                <w:rFonts w:ascii="Century Schoolbook" w:eastAsia="Century Schoolbook" w:hAnsi="Century Schoolbook" w:cs="Century Schoolbook"/>
                <w:snapToGrid/>
                <w:kern w:val="0"/>
                <w:sz w:val="28"/>
                <w:lang w:val="en"/>
                <w14:ligatures w14:val="none"/>
              </w:rPr>
            </w:pPr>
            <w:hyperlink r:id="rId10">
              <w:r w:rsidR="00C666D8" w:rsidRPr="004C4607">
                <w:rPr>
                  <w:rFonts w:ascii="Century Schoolbook" w:eastAsia="Century Schoolbook" w:hAnsi="Century Schoolbook" w:cs="Century Schoolbook"/>
                  <w:snapToGrid/>
                  <w:color w:val="1155CC"/>
                  <w:kern w:val="0"/>
                  <w:sz w:val="28"/>
                  <w:u w:val="single"/>
                  <w:lang w:val="en"/>
                  <w14:ligatures w14:val="none"/>
                </w:rPr>
                <w:t>Shannon.Burns@maricopa.gov</w:t>
              </w:r>
            </w:hyperlink>
            <w:r w:rsidR="00C666D8" w:rsidRPr="004C4607">
              <w:rPr>
                <w:rFonts w:ascii="Century Schoolbook" w:eastAsia="Century Schoolbook" w:hAnsi="Century Schoolbook" w:cs="Century Schoolbook"/>
                <w:snapToGrid/>
                <w:kern w:val="0"/>
                <w:sz w:val="28"/>
                <w:lang w:val="en"/>
                <w14:ligatures w14:val="none"/>
              </w:rPr>
              <w:t xml:space="preserve"> </w:t>
            </w:r>
          </w:p>
        </w:tc>
      </w:tr>
      <w:tr w:rsidR="00C666D8" w:rsidRPr="004C4607" w14:paraId="7962F102" w14:textId="77777777" w:rsidTr="00843C61">
        <w:tc>
          <w:tcPr>
            <w:tcW w:w="51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31C1954"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Sherri McGuire Lawson</w:t>
            </w:r>
          </w:p>
          <w:p w14:paraId="3804612A"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Bar No. 013605</w:t>
            </w:r>
          </w:p>
          <w:p w14:paraId="1B106433"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Maricopa County Office of the Legal Defender</w:t>
            </w:r>
          </w:p>
          <w:p w14:paraId="5EE0A722"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222 N. Central, Suite 8100</w:t>
            </w:r>
          </w:p>
          <w:p w14:paraId="6B789C70"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Phoenix, AZ 85004</w:t>
            </w:r>
          </w:p>
          <w:p w14:paraId="0D1673C5" w14:textId="77777777" w:rsidR="00C666D8" w:rsidRPr="004C4607" w:rsidRDefault="00C666D8" w:rsidP="00843C61">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(602) 506-8800</w:t>
            </w:r>
          </w:p>
          <w:p w14:paraId="31640271" w14:textId="77777777" w:rsidR="00C666D8" w:rsidRPr="004C4607" w:rsidRDefault="00000000" w:rsidP="00843C61">
            <w:pPr>
              <w:spacing w:after="0" w:line="240" w:lineRule="auto"/>
              <w:rPr>
                <w:rFonts w:ascii="Century Schoolbook" w:eastAsia="Century Schoolbook" w:hAnsi="Century Schoolbook" w:cs="Century Schoolbook"/>
                <w:snapToGrid/>
                <w:kern w:val="0"/>
                <w:sz w:val="28"/>
                <w:lang w:val="en"/>
                <w14:ligatures w14:val="none"/>
              </w:rPr>
            </w:pPr>
            <w:hyperlink r:id="rId11">
              <w:r w:rsidR="00C666D8" w:rsidRPr="004C4607">
                <w:rPr>
                  <w:rFonts w:ascii="Century Schoolbook" w:eastAsia="Century Schoolbook" w:hAnsi="Century Schoolbook" w:cs="Century Schoolbook"/>
                  <w:snapToGrid/>
                  <w:color w:val="1155CC"/>
                  <w:kern w:val="0"/>
                  <w:sz w:val="28"/>
                  <w:u w:val="single"/>
                  <w:lang w:val="en"/>
                  <w14:ligatures w14:val="none"/>
                </w:rPr>
                <w:t>Sherri.Mcguire@maricopa.gov</w:t>
              </w:r>
            </w:hyperlink>
            <w:r w:rsidR="00C666D8" w:rsidRPr="004C4607">
              <w:rPr>
                <w:rFonts w:ascii="Century Schoolbook" w:eastAsia="Century Schoolbook" w:hAnsi="Century Schoolbook" w:cs="Century Schoolbook"/>
                <w:snapToGrid/>
                <w:kern w:val="0"/>
                <w:sz w:val="28"/>
                <w:lang w:val="en"/>
                <w14:ligatures w14:val="none"/>
              </w:rPr>
              <w:t xml:space="preserve"> </w:t>
            </w:r>
          </w:p>
        </w:tc>
        <w:tc>
          <w:tcPr>
            <w:tcW w:w="4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4BE7387" w14:textId="77777777" w:rsidR="00C666D8" w:rsidRPr="004C4607" w:rsidRDefault="00C666D8" w:rsidP="00843C61">
            <w:pPr>
              <w:widowControl w:val="0"/>
              <w:spacing w:after="0" w:line="240" w:lineRule="auto"/>
              <w:rPr>
                <w:rFonts w:ascii="Century Schoolbook" w:eastAsia="Century Schoolbook" w:hAnsi="Century Schoolbook" w:cs="Century Schoolbook"/>
                <w:snapToGrid/>
                <w:kern w:val="0"/>
                <w:sz w:val="28"/>
                <w:lang w:val="en"/>
                <w14:ligatures w14:val="none"/>
              </w:rPr>
            </w:pPr>
          </w:p>
        </w:tc>
      </w:tr>
    </w:tbl>
    <w:p w14:paraId="4267CCDF" w14:textId="77777777" w:rsidR="00C666D8" w:rsidRPr="004C4607" w:rsidRDefault="00C666D8" w:rsidP="00A667A8">
      <w:pPr>
        <w:spacing w:after="0" w:line="240" w:lineRule="auto"/>
        <w:jc w:val="center"/>
        <w:rPr>
          <w:rFonts w:ascii="Century Schoolbook" w:eastAsia="Century Schoolbook" w:hAnsi="Century Schoolbook" w:cs="Century Schoolbook"/>
          <w:b/>
          <w:snapToGrid/>
          <w:kern w:val="0"/>
          <w:sz w:val="32"/>
          <w:szCs w:val="32"/>
          <w:lang w:val="en"/>
          <w14:ligatures w14:val="none"/>
        </w:rPr>
      </w:pPr>
    </w:p>
    <w:p w14:paraId="0C5524FA" w14:textId="6D9D30D8" w:rsidR="00A667A8" w:rsidRPr="004C4607" w:rsidRDefault="00A667A8" w:rsidP="00A667A8">
      <w:pPr>
        <w:spacing w:after="0" w:line="240" w:lineRule="auto"/>
        <w:jc w:val="center"/>
        <w:rPr>
          <w:rFonts w:ascii="Century Schoolbook" w:eastAsia="Century Schoolbook" w:hAnsi="Century Schoolbook" w:cs="Century Schoolbook"/>
          <w:b/>
          <w:snapToGrid/>
          <w:kern w:val="0"/>
          <w:sz w:val="32"/>
          <w:szCs w:val="32"/>
          <w:lang w:val="en"/>
          <w14:ligatures w14:val="none"/>
        </w:rPr>
      </w:pPr>
      <w:r w:rsidRPr="004C4607">
        <w:rPr>
          <w:rFonts w:ascii="Century Schoolbook" w:eastAsia="Century Schoolbook" w:hAnsi="Century Schoolbook" w:cs="Century Schoolbook"/>
          <w:b/>
          <w:snapToGrid/>
          <w:kern w:val="0"/>
          <w:sz w:val="32"/>
          <w:szCs w:val="32"/>
          <w:lang w:val="en"/>
          <w14:ligatures w14:val="none"/>
        </w:rPr>
        <w:t>ARIZONA SUPREME COURT</w:t>
      </w:r>
    </w:p>
    <w:p w14:paraId="39784BEF" w14:textId="77777777" w:rsidR="00A667A8" w:rsidRPr="004C4607" w:rsidRDefault="00A667A8" w:rsidP="00A667A8">
      <w:pPr>
        <w:spacing w:after="0" w:line="240" w:lineRule="auto"/>
        <w:jc w:val="both"/>
        <w:rPr>
          <w:rFonts w:ascii="Century Schoolbook" w:eastAsia="Century Schoolbook" w:hAnsi="Century Schoolbook" w:cs="Century Schoolbook"/>
          <w:snapToGrid/>
          <w:kern w:val="0"/>
          <w:sz w:val="28"/>
          <w:lang w:val="en"/>
          <w14:ligatures w14:val="none"/>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A667A8" w:rsidRPr="004C4607" w14:paraId="5B2BADB8" w14:textId="77777777" w:rsidTr="003F6206">
        <w:tc>
          <w:tcPr>
            <w:tcW w:w="4680" w:type="dxa"/>
            <w:tcBorders>
              <w:top w:val="single" w:sz="8" w:space="0" w:color="FFFFFF"/>
              <w:left w:val="single" w:sz="8" w:space="0" w:color="FFFFFF"/>
            </w:tcBorders>
            <w:shd w:val="clear" w:color="auto" w:fill="auto"/>
            <w:tcMar>
              <w:top w:w="100" w:type="dxa"/>
              <w:left w:w="100" w:type="dxa"/>
              <w:bottom w:w="100" w:type="dxa"/>
              <w:right w:w="100" w:type="dxa"/>
            </w:tcMar>
          </w:tcPr>
          <w:p w14:paraId="5705E3BE" w14:textId="77777777" w:rsidR="00A667A8" w:rsidRPr="004C4607" w:rsidRDefault="00A667A8" w:rsidP="00A667A8">
            <w:pPr>
              <w:spacing w:after="0" w:line="240" w:lineRule="auto"/>
              <w:ind w:left="20"/>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In the Matter of:</w:t>
            </w:r>
          </w:p>
          <w:p w14:paraId="17FEDAA6" w14:textId="77777777" w:rsidR="00A667A8" w:rsidRPr="004C4607" w:rsidRDefault="00A667A8" w:rsidP="00A667A8">
            <w:pPr>
              <w:spacing w:after="0" w:line="240" w:lineRule="auto"/>
              <w:ind w:left="20"/>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 xml:space="preserve"> </w:t>
            </w:r>
          </w:p>
          <w:p w14:paraId="2716D7FD" w14:textId="454B6B3D" w:rsidR="00A667A8" w:rsidRPr="004C4607" w:rsidRDefault="00A667A8" w:rsidP="00A667A8">
            <w:pPr>
              <w:spacing w:after="0" w:line="240" w:lineRule="auto"/>
              <w:ind w:left="20"/>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Petition to Amend Ariz. R. Crim. P. 31.8(b)(1)(B)</w:t>
            </w:r>
          </w:p>
        </w:tc>
        <w:tc>
          <w:tcPr>
            <w:tcW w:w="4680" w:type="dxa"/>
            <w:tcBorders>
              <w:top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268DBE7" w14:textId="20953EF1" w:rsidR="00A667A8" w:rsidRPr="004C4607" w:rsidRDefault="00A667A8" w:rsidP="00A667A8">
            <w:pPr>
              <w:spacing w:after="0" w:line="240" w:lineRule="auto"/>
              <w:ind w:left="160"/>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Supreme Court No. R-24-0008</w:t>
            </w:r>
          </w:p>
          <w:p w14:paraId="7BC90255" w14:textId="77777777" w:rsidR="00A667A8" w:rsidRPr="004C4607" w:rsidRDefault="00A667A8" w:rsidP="00A667A8">
            <w:pPr>
              <w:spacing w:after="0" w:line="240" w:lineRule="auto"/>
              <w:ind w:left="160"/>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 xml:space="preserve"> </w:t>
            </w:r>
          </w:p>
          <w:p w14:paraId="696B79C7" w14:textId="77777777" w:rsidR="00A667A8" w:rsidRPr="004C4607" w:rsidRDefault="00A667A8" w:rsidP="00A667A8">
            <w:pPr>
              <w:spacing w:after="0" w:line="240" w:lineRule="auto"/>
              <w:ind w:left="160"/>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Joint Comment by the Directors of the Maricopa County Indigent Defense Agencies</w:t>
            </w:r>
          </w:p>
        </w:tc>
      </w:tr>
    </w:tbl>
    <w:p w14:paraId="35B4514C" w14:textId="77777777" w:rsidR="00A667A8" w:rsidRPr="004C4607" w:rsidRDefault="00A667A8" w:rsidP="00A667A8">
      <w:pPr>
        <w:spacing w:after="0" w:line="240" w:lineRule="auto"/>
        <w:jc w:val="both"/>
        <w:rPr>
          <w:rFonts w:ascii="Century Schoolbook" w:eastAsia="Century Schoolbook" w:hAnsi="Century Schoolbook" w:cs="Century Schoolbook"/>
          <w:snapToGrid/>
          <w:kern w:val="0"/>
          <w:sz w:val="28"/>
          <w:lang w:val="en"/>
          <w14:ligatures w14:val="none"/>
        </w:rPr>
      </w:pPr>
    </w:p>
    <w:p w14:paraId="2C73FA45" w14:textId="77777777" w:rsidR="004A6FF8" w:rsidRDefault="004A6FF8" w:rsidP="004A6FF8">
      <w:pPr>
        <w:spacing w:after="0" w:line="480" w:lineRule="auto"/>
        <w:rPr>
          <w:rFonts w:ascii="Century Schoolbook" w:eastAsia="Century Schoolbook" w:hAnsi="Century Schoolbook" w:cs="Century Schoolbook"/>
          <w:snapToGrid/>
          <w:kern w:val="0"/>
          <w:sz w:val="28"/>
          <w:lang w:val="en"/>
          <w14:ligatures w14:val="none"/>
        </w:rPr>
      </w:pPr>
    </w:p>
    <w:p w14:paraId="4381AF85" w14:textId="2B0D2128" w:rsidR="00A667A8" w:rsidRPr="004C4607" w:rsidRDefault="004A6FF8" w:rsidP="004A6FF8">
      <w:pPr>
        <w:spacing w:after="0" w:line="480" w:lineRule="auto"/>
        <w:ind w:firstLine="720"/>
        <w:rPr>
          <w:rFonts w:ascii="Century Schoolbook" w:eastAsia="Century Schoolbook" w:hAnsi="Century Schoolbook" w:cs="Century Schoolbook"/>
          <w:snapToGrid/>
          <w:kern w:val="0"/>
          <w:sz w:val="28"/>
          <w:lang w:val="en"/>
          <w14:ligatures w14:val="none"/>
        </w:rPr>
      </w:pPr>
      <w:r w:rsidRPr="004A6FF8">
        <w:rPr>
          <w:rFonts w:ascii="Century Schoolbook" w:eastAsia="Century Schoolbook" w:hAnsi="Century Schoolbook" w:cs="Century Schoolbook"/>
          <w:snapToGrid/>
          <w:kern w:val="0"/>
          <w:sz w:val="28"/>
          <w:lang w:val="en"/>
          <w14:ligatures w14:val="none"/>
        </w:rPr>
        <w:lastRenderedPageBreak/>
        <w:t>The indigent representation offices of Maricopa County (IR) collectively handle most cases filed in Maricopa County in which there has been a finding of indigency. The Office of Public Defense Services (OPDS) provides administrative and financial oversight to the staffed offices and the Office of Contract Counsel (OCC). The staffed offices are comprised of the Office of the Public Defender (OPD), the Office of the Legal Advocate (OLA), the Office of the Legal Defender (OLD), and the Office of the Public Advocate (OPA). We jointly submit this comment</w:t>
      </w:r>
      <w:r>
        <w:rPr>
          <w:rFonts w:ascii="Century Schoolbook" w:eastAsia="Century Schoolbook" w:hAnsi="Century Schoolbook" w:cs="Century Schoolbook"/>
          <w:snapToGrid/>
          <w:kern w:val="0"/>
          <w:sz w:val="28"/>
          <w:lang w:val="en"/>
          <w14:ligatures w14:val="none"/>
        </w:rPr>
        <w:t xml:space="preserve"> </w:t>
      </w:r>
      <w:r w:rsidR="00A667A8" w:rsidRPr="004C4607">
        <w:rPr>
          <w:rFonts w:ascii="Century Schoolbook" w:eastAsia="Century Schoolbook" w:hAnsi="Century Schoolbook" w:cs="Century Schoolbook"/>
          <w:snapToGrid/>
          <w:kern w:val="0"/>
          <w:sz w:val="28"/>
          <w:lang w:val="en"/>
          <w14:ligatures w14:val="none"/>
        </w:rPr>
        <w:t>in support of the proposal to amend Rule 31.</w:t>
      </w:r>
      <w:r w:rsidR="00A05A83" w:rsidRPr="004C4607">
        <w:rPr>
          <w:rFonts w:ascii="Century Schoolbook" w:eastAsia="Century Schoolbook" w:hAnsi="Century Schoolbook" w:cs="Century Schoolbook"/>
          <w:snapToGrid/>
          <w:kern w:val="0"/>
          <w:sz w:val="28"/>
          <w:lang w:val="en"/>
          <w14:ligatures w14:val="none"/>
        </w:rPr>
        <w:t>8(b)(1)(B)</w:t>
      </w:r>
      <w:r w:rsidR="00A667A8" w:rsidRPr="004C4607">
        <w:rPr>
          <w:rFonts w:ascii="Century Schoolbook" w:eastAsia="Century Schoolbook" w:hAnsi="Century Schoolbook" w:cs="Century Schoolbook"/>
          <w:snapToGrid/>
          <w:kern w:val="0"/>
          <w:sz w:val="28"/>
          <w:lang w:val="en"/>
          <w14:ligatures w14:val="none"/>
        </w:rPr>
        <w:t>.</w:t>
      </w:r>
    </w:p>
    <w:p w14:paraId="30EF000E" w14:textId="3CC6AC8E" w:rsidR="00A667A8" w:rsidRPr="004C4607" w:rsidRDefault="00A667A8" w:rsidP="00A05A83">
      <w:pPr>
        <w:spacing w:after="0" w:line="480" w:lineRule="auto"/>
        <w:ind w:firstLine="720"/>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Maricopa County is one of the largest and fastest-growing counties in the United States.</w:t>
      </w:r>
      <w:r w:rsidRPr="004C4607">
        <w:rPr>
          <w:rFonts w:ascii="Century Schoolbook" w:eastAsia="Century Schoolbook" w:hAnsi="Century Schoolbook" w:cs="Century Schoolbook"/>
          <w:snapToGrid/>
          <w:kern w:val="0"/>
          <w:sz w:val="28"/>
          <w:vertAlign w:val="superscript"/>
          <w:lang w:val="en"/>
          <w14:ligatures w14:val="none"/>
        </w:rPr>
        <w:footnoteReference w:id="1"/>
      </w:r>
      <w:r w:rsidRPr="004C4607">
        <w:rPr>
          <w:rFonts w:ascii="Century Schoolbook" w:eastAsia="Century Schoolbook" w:hAnsi="Century Schoolbook" w:cs="Century Schoolbook"/>
          <w:snapToGrid/>
          <w:kern w:val="0"/>
          <w:sz w:val="28"/>
          <w:lang w:val="en"/>
          <w14:ligatures w14:val="none"/>
        </w:rPr>
        <w:t xml:space="preserve"> Nearly 29,000 felony criminal cases were filed in Maricopa County Superior Court last fiscal year.</w:t>
      </w:r>
      <w:r w:rsidRPr="004C4607">
        <w:rPr>
          <w:rFonts w:ascii="Century Schoolbook" w:eastAsia="Century Schoolbook" w:hAnsi="Century Schoolbook" w:cs="Century Schoolbook"/>
          <w:snapToGrid/>
          <w:kern w:val="0"/>
          <w:sz w:val="28"/>
          <w:vertAlign w:val="superscript"/>
          <w:lang w:val="en"/>
          <w14:ligatures w14:val="none"/>
        </w:rPr>
        <w:footnoteReference w:id="2"/>
      </w:r>
      <w:r w:rsidRPr="004C4607">
        <w:rPr>
          <w:rFonts w:ascii="Century Schoolbook" w:eastAsia="Century Schoolbook" w:hAnsi="Century Schoolbook" w:cs="Century Schoolbook"/>
          <w:snapToGrid/>
          <w:kern w:val="0"/>
          <w:sz w:val="28"/>
          <w:lang w:val="en"/>
          <w14:ligatures w14:val="none"/>
        </w:rPr>
        <w:t xml:space="preserve"> A significant number of those defendants cannot afford counsel, either at trial or on appeal</w:t>
      </w:r>
      <w:r w:rsidR="004A6FF8">
        <w:rPr>
          <w:rFonts w:ascii="Century Schoolbook" w:eastAsia="Century Schoolbook" w:hAnsi="Century Schoolbook" w:cs="Century Schoolbook"/>
          <w:snapToGrid/>
          <w:kern w:val="0"/>
          <w:sz w:val="28"/>
          <w:lang w:val="en"/>
          <w14:ligatures w14:val="none"/>
        </w:rPr>
        <w:t xml:space="preserve">, and </w:t>
      </w:r>
      <w:r w:rsidRPr="004C4607">
        <w:rPr>
          <w:rFonts w:ascii="Century Schoolbook" w:eastAsia="Century Schoolbook" w:hAnsi="Century Schoolbook" w:cs="Century Schoolbook"/>
          <w:snapToGrid/>
          <w:kern w:val="0"/>
          <w:sz w:val="28"/>
          <w:lang w:val="en"/>
          <w14:ligatures w14:val="none"/>
        </w:rPr>
        <w:t xml:space="preserve">the vast majority are handled by the </w:t>
      </w:r>
      <w:r w:rsidR="004A6FF8">
        <w:rPr>
          <w:rFonts w:ascii="Century Schoolbook" w:eastAsia="Century Schoolbook" w:hAnsi="Century Schoolbook" w:cs="Century Schoolbook"/>
          <w:snapToGrid/>
          <w:kern w:val="0"/>
          <w:sz w:val="28"/>
          <w:lang w:val="en"/>
          <w14:ligatures w14:val="none"/>
        </w:rPr>
        <w:t xml:space="preserve">IR offices. </w:t>
      </w:r>
    </w:p>
    <w:p w14:paraId="6A51939A" w14:textId="5638CE7B" w:rsidR="00A667A8" w:rsidRPr="004C4607" w:rsidRDefault="00A667A8" w:rsidP="00A05A83">
      <w:pPr>
        <w:spacing w:after="0" w:line="480" w:lineRule="auto"/>
        <w:ind w:firstLine="720"/>
        <w:rPr>
          <w:rFonts w:ascii="Century Schoolbook" w:hAnsi="Century Schoolbook"/>
          <w:sz w:val="28"/>
        </w:rPr>
      </w:pPr>
      <w:r w:rsidRPr="004C4607">
        <w:rPr>
          <w:rFonts w:ascii="Century Schoolbook" w:hAnsi="Century Schoolbook"/>
          <w:sz w:val="28"/>
        </w:rPr>
        <w:lastRenderedPageBreak/>
        <w:t xml:space="preserve">We support Petition R-24-0008 because voir dire and trials on prior felony convictions implicate fundamental constitutional rights and </w:t>
      </w:r>
      <w:r w:rsidR="00031D9E" w:rsidRPr="004C4607">
        <w:rPr>
          <w:rFonts w:ascii="Century Schoolbook" w:hAnsi="Century Schoolbook"/>
          <w:sz w:val="28"/>
        </w:rPr>
        <w:t xml:space="preserve">requiring appellate counsel to </w:t>
      </w:r>
      <w:r w:rsidRPr="004C4607">
        <w:rPr>
          <w:rFonts w:ascii="Century Schoolbook" w:hAnsi="Century Schoolbook"/>
          <w:sz w:val="28"/>
        </w:rPr>
        <w:t xml:space="preserve">request transcripts of those proceedings causes additional delays. </w:t>
      </w:r>
    </w:p>
    <w:p w14:paraId="040181BC" w14:textId="6B7AE297" w:rsidR="001B1F47" w:rsidRPr="004C4607" w:rsidRDefault="001B1F47" w:rsidP="00A05A83">
      <w:pPr>
        <w:pStyle w:val="ListParagraph"/>
        <w:numPr>
          <w:ilvl w:val="0"/>
          <w:numId w:val="1"/>
        </w:numPr>
        <w:spacing w:after="0" w:line="240" w:lineRule="auto"/>
        <w:rPr>
          <w:rFonts w:ascii="Century Schoolbook" w:hAnsi="Century Schoolbook"/>
          <w:b/>
          <w:bCs/>
          <w:sz w:val="28"/>
        </w:rPr>
      </w:pPr>
      <w:r w:rsidRPr="004C4607">
        <w:rPr>
          <w:rFonts w:ascii="Century Schoolbook" w:hAnsi="Century Schoolbook"/>
          <w:b/>
          <w:bCs/>
          <w:sz w:val="28"/>
        </w:rPr>
        <w:t xml:space="preserve">Voir dire transcripts are critical to appellate counsel’s diligent review of whether a defendant’s constitutional right to trial by an impartial jury was vindicated. </w:t>
      </w:r>
    </w:p>
    <w:p w14:paraId="0F152C80" w14:textId="77777777" w:rsidR="00A05A83" w:rsidRPr="004C4607" w:rsidRDefault="00A05A83" w:rsidP="00A05A83">
      <w:pPr>
        <w:pStyle w:val="ListParagraph"/>
        <w:spacing w:after="0" w:line="240" w:lineRule="auto"/>
        <w:rPr>
          <w:rFonts w:ascii="Century Schoolbook" w:hAnsi="Century Schoolbook"/>
          <w:b/>
          <w:bCs/>
          <w:sz w:val="28"/>
        </w:rPr>
      </w:pPr>
    </w:p>
    <w:p w14:paraId="7AEB83D0" w14:textId="709E41D4" w:rsidR="001B1F47" w:rsidRPr="004C4607" w:rsidRDefault="001B1F47" w:rsidP="00A05A83">
      <w:pPr>
        <w:spacing w:after="0" w:line="480" w:lineRule="auto"/>
        <w:ind w:firstLine="720"/>
        <w:rPr>
          <w:rFonts w:ascii="Century Schoolbook" w:hAnsi="Century Schoolbook"/>
          <w:sz w:val="28"/>
        </w:rPr>
      </w:pPr>
      <w:r w:rsidRPr="004C4607">
        <w:rPr>
          <w:rFonts w:ascii="Century Schoolbook" w:hAnsi="Century Schoolbook"/>
          <w:sz w:val="28"/>
        </w:rPr>
        <w:t xml:space="preserve">Before the elimination of peremptory strikes in 2022, the trial court’s justification for a denial of a motion to strike a prospective juror for legal cause was largely irrelevant under </w:t>
      </w:r>
      <w:r w:rsidRPr="004C4607">
        <w:rPr>
          <w:rFonts w:ascii="Century Schoolbook" w:hAnsi="Century Schoolbook"/>
          <w:i/>
          <w:iCs/>
          <w:sz w:val="28"/>
        </w:rPr>
        <w:t>State v. Hickman</w:t>
      </w:r>
      <w:r w:rsidRPr="004C4607">
        <w:rPr>
          <w:rFonts w:ascii="Century Schoolbook" w:hAnsi="Century Schoolbook"/>
          <w:sz w:val="28"/>
        </w:rPr>
        <w:t xml:space="preserve">, 205 Ariz. 192 (2003). Under the current rules, however, trial counsel can no longer cure or invite error with peremptory strikes. </w:t>
      </w:r>
      <w:r w:rsidR="006D5251" w:rsidRPr="004C4607">
        <w:rPr>
          <w:rFonts w:ascii="Century Schoolbook" w:hAnsi="Century Schoolbook"/>
          <w:i/>
          <w:iCs/>
          <w:sz w:val="28"/>
        </w:rPr>
        <w:t>See</w:t>
      </w:r>
      <w:r w:rsidR="006D5251" w:rsidRPr="004C4607">
        <w:rPr>
          <w:rFonts w:ascii="Century Schoolbook" w:hAnsi="Century Schoolbook"/>
          <w:sz w:val="28"/>
        </w:rPr>
        <w:t xml:space="preserve"> Ariz. R. Crim. P. 18.4</w:t>
      </w:r>
      <w:r w:rsidR="000C7AB7" w:rsidRPr="004C4607">
        <w:rPr>
          <w:rFonts w:ascii="Century Schoolbook" w:hAnsi="Century Schoolbook"/>
          <w:sz w:val="28"/>
        </w:rPr>
        <w:t xml:space="preserve">; </w:t>
      </w:r>
      <w:r w:rsidR="000C7AB7" w:rsidRPr="004C4607">
        <w:rPr>
          <w:rFonts w:ascii="Century Schoolbook" w:hAnsi="Century Schoolbook"/>
          <w:i/>
          <w:iCs/>
          <w:sz w:val="28"/>
        </w:rPr>
        <w:t>State v. Rubio</w:t>
      </w:r>
      <w:r w:rsidR="000C7AB7" w:rsidRPr="004C4607">
        <w:rPr>
          <w:rFonts w:ascii="Century Schoolbook" w:hAnsi="Century Schoolbook"/>
          <w:sz w:val="28"/>
        </w:rPr>
        <w:t>, 219 Ariz. 177, ¶</w:t>
      </w:r>
      <w:r w:rsidR="00A05A83" w:rsidRPr="004C4607">
        <w:rPr>
          <w:rFonts w:ascii="Century Schoolbook" w:hAnsi="Century Schoolbook"/>
          <w:sz w:val="28"/>
        </w:rPr>
        <w:t xml:space="preserve"> </w:t>
      </w:r>
      <w:r w:rsidR="000C7AB7" w:rsidRPr="004C4607">
        <w:rPr>
          <w:rFonts w:ascii="Century Schoolbook" w:hAnsi="Century Schoolbook"/>
          <w:sz w:val="28"/>
        </w:rPr>
        <w:t>12 (App. 2008)</w:t>
      </w:r>
      <w:r w:rsidR="00A05A83" w:rsidRPr="004C4607">
        <w:rPr>
          <w:rFonts w:ascii="Century Schoolbook" w:hAnsi="Century Schoolbook"/>
          <w:sz w:val="28"/>
        </w:rPr>
        <w:t xml:space="preserve"> </w:t>
      </w:r>
      <w:r w:rsidR="0081348C" w:rsidRPr="004C4607">
        <w:rPr>
          <w:rFonts w:ascii="Century Schoolbook" w:hAnsi="Century Schoolbook"/>
          <w:sz w:val="28"/>
        </w:rPr>
        <w:t>(articulating the “cure or waive” rule)</w:t>
      </w:r>
      <w:r w:rsidR="000C7AB7" w:rsidRPr="004C4607">
        <w:rPr>
          <w:rFonts w:ascii="Century Schoolbook" w:hAnsi="Century Schoolbook"/>
          <w:sz w:val="28"/>
        </w:rPr>
        <w:t xml:space="preserve">. </w:t>
      </w:r>
      <w:r w:rsidRPr="004C4607">
        <w:rPr>
          <w:rFonts w:ascii="Century Schoolbook" w:hAnsi="Century Schoolbook"/>
          <w:sz w:val="28"/>
        </w:rPr>
        <w:t xml:space="preserve">This has multiple implications for the record on appeal. </w:t>
      </w:r>
    </w:p>
    <w:p w14:paraId="33270420" w14:textId="73BF13D0" w:rsidR="00536CC7" w:rsidRPr="004C4607" w:rsidRDefault="001B1F47" w:rsidP="00A05A83">
      <w:pPr>
        <w:spacing w:after="0" w:line="480" w:lineRule="auto"/>
        <w:ind w:firstLine="720"/>
        <w:rPr>
          <w:rFonts w:ascii="Century Schoolbook" w:hAnsi="Century Schoolbook"/>
          <w:sz w:val="28"/>
        </w:rPr>
      </w:pPr>
      <w:r w:rsidRPr="004C4607">
        <w:rPr>
          <w:rFonts w:ascii="Century Schoolbook" w:hAnsi="Century Schoolbook"/>
          <w:sz w:val="28"/>
        </w:rPr>
        <w:t>Seating a biased juror is a structural error, violating the defendant’s Sixth Amendment right to an impartial</w:t>
      </w:r>
      <w:r w:rsidR="005A3045" w:rsidRPr="004C4607">
        <w:rPr>
          <w:rFonts w:ascii="Century Schoolbook" w:hAnsi="Century Schoolbook"/>
          <w:sz w:val="28"/>
        </w:rPr>
        <w:t xml:space="preserve"> jury</w:t>
      </w:r>
      <w:r w:rsidRPr="004C4607">
        <w:rPr>
          <w:rFonts w:ascii="Century Schoolbook" w:hAnsi="Century Schoolbook"/>
          <w:sz w:val="28"/>
        </w:rPr>
        <w:t xml:space="preserve">. </w:t>
      </w:r>
      <w:r w:rsidR="00DA0941" w:rsidRPr="004C4607">
        <w:rPr>
          <w:rFonts w:ascii="Century Schoolbook" w:hAnsi="Century Schoolbook"/>
          <w:i/>
          <w:iCs/>
          <w:sz w:val="28"/>
        </w:rPr>
        <w:t>See Gray v. Mississippi</w:t>
      </w:r>
      <w:r w:rsidR="00DA0941" w:rsidRPr="004C4607">
        <w:rPr>
          <w:rFonts w:ascii="Century Schoolbook" w:hAnsi="Century Schoolbook"/>
          <w:sz w:val="28"/>
        </w:rPr>
        <w:t xml:space="preserve">, </w:t>
      </w:r>
      <w:r w:rsidR="0016264C" w:rsidRPr="004C4607">
        <w:rPr>
          <w:rFonts w:ascii="Century Schoolbook" w:hAnsi="Century Schoolbook"/>
          <w:sz w:val="28"/>
        </w:rPr>
        <w:t xml:space="preserve">481 U.S. 648, 668 (1987). </w:t>
      </w:r>
      <w:r w:rsidR="001C6DDC" w:rsidRPr="004C4607">
        <w:rPr>
          <w:rFonts w:ascii="Century Schoolbook" w:hAnsi="Century Schoolbook"/>
          <w:sz w:val="28"/>
        </w:rPr>
        <w:t xml:space="preserve">Whether a juror can be impartial is a </w:t>
      </w:r>
      <w:r w:rsidR="004915EB" w:rsidRPr="004C4607">
        <w:rPr>
          <w:rFonts w:ascii="Century Schoolbook" w:hAnsi="Century Schoolbook"/>
          <w:sz w:val="28"/>
        </w:rPr>
        <w:t>fact-intensive</w:t>
      </w:r>
      <w:r w:rsidR="001C6DDC" w:rsidRPr="004C4607">
        <w:rPr>
          <w:rFonts w:ascii="Century Schoolbook" w:hAnsi="Century Schoolbook"/>
          <w:sz w:val="28"/>
        </w:rPr>
        <w:t xml:space="preserve"> </w:t>
      </w:r>
      <w:r w:rsidR="004915EB" w:rsidRPr="004C4607">
        <w:rPr>
          <w:rFonts w:ascii="Century Schoolbook" w:hAnsi="Century Schoolbook"/>
          <w:sz w:val="28"/>
        </w:rPr>
        <w:t xml:space="preserve">determination. </w:t>
      </w:r>
      <w:r w:rsidR="003E753C" w:rsidRPr="004C4607">
        <w:rPr>
          <w:rFonts w:ascii="Century Schoolbook" w:hAnsi="Century Schoolbook"/>
          <w:i/>
          <w:iCs/>
          <w:sz w:val="28"/>
        </w:rPr>
        <w:t>State v. Colorado</w:t>
      </w:r>
      <w:r w:rsidR="003E753C" w:rsidRPr="004C4607">
        <w:rPr>
          <w:rFonts w:ascii="Century Schoolbook" w:hAnsi="Century Schoolbook"/>
          <w:sz w:val="28"/>
        </w:rPr>
        <w:t xml:space="preserve">, 256 Ariz. 97, </w:t>
      </w:r>
      <w:r w:rsidR="001A28B1" w:rsidRPr="004C4607">
        <w:rPr>
          <w:rFonts w:ascii="Century Schoolbook" w:hAnsi="Century Schoolbook"/>
          <w:sz w:val="28"/>
        </w:rPr>
        <w:t>¶</w:t>
      </w:r>
      <w:r w:rsidR="00A05A83" w:rsidRPr="004C4607">
        <w:rPr>
          <w:rFonts w:ascii="Century Schoolbook" w:hAnsi="Century Schoolbook"/>
          <w:sz w:val="28"/>
        </w:rPr>
        <w:t xml:space="preserve">¶ </w:t>
      </w:r>
      <w:r w:rsidR="001A28B1" w:rsidRPr="004C4607">
        <w:rPr>
          <w:rFonts w:ascii="Century Schoolbook" w:hAnsi="Century Schoolbook"/>
          <w:sz w:val="28"/>
        </w:rPr>
        <w:t>15</w:t>
      </w:r>
      <w:r w:rsidR="004B4ACC" w:rsidRPr="004C4607">
        <w:rPr>
          <w:rFonts w:ascii="Century Schoolbook" w:hAnsi="Century Schoolbook"/>
          <w:sz w:val="28"/>
        </w:rPr>
        <w:t>–16</w:t>
      </w:r>
      <w:r w:rsidR="001A28B1" w:rsidRPr="004C4607">
        <w:rPr>
          <w:rFonts w:ascii="Century Schoolbook" w:hAnsi="Century Schoolbook"/>
          <w:sz w:val="28"/>
        </w:rPr>
        <w:t xml:space="preserve"> </w:t>
      </w:r>
      <w:r w:rsidR="003E753C" w:rsidRPr="004C4607">
        <w:rPr>
          <w:rFonts w:ascii="Century Schoolbook" w:hAnsi="Century Schoolbook"/>
          <w:sz w:val="28"/>
        </w:rPr>
        <w:t>(App. 2023)</w:t>
      </w:r>
      <w:r w:rsidR="001A28B1" w:rsidRPr="004C4607">
        <w:rPr>
          <w:rFonts w:ascii="Century Schoolbook" w:hAnsi="Century Schoolbook"/>
          <w:sz w:val="28"/>
        </w:rPr>
        <w:t xml:space="preserve">. </w:t>
      </w:r>
      <w:r w:rsidRPr="004C4607">
        <w:rPr>
          <w:rFonts w:ascii="Century Schoolbook" w:hAnsi="Century Schoolbook"/>
          <w:sz w:val="28"/>
        </w:rPr>
        <w:t>The questions asked of the juror at issue</w:t>
      </w:r>
      <w:r w:rsidR="00C85568" w:rsidRPr="004C4607">
        <w:rPr>
          <w:rFonts w:ascii="Century Schoolbook" w:hAnsi="Century Schoolbook"/>
          <w:sz w:val="28"/>
        </w:rPr>
        <w:t xml:space="preserve"> and</w:t>
      </w:r>
      <w:r w:rsidRPr="004C4607">
        <w:rPr>
          <w:rFonts w:ascii="Century Schoolbook" w:hAnsi="Century Schoolbook"/>
          <w:sz w:val="28"/>
        </w:rPr>
        <w:t xml:space="preserve"> the juror’s </w:t>
      </w:r>
      <w:r w:rsidRPr="004C4607">
        <w:rPr>
          <w:rFonts w:ascii="Century Schoolbook" w:hAnsi="Century Schoolbook"/>
          <w:sz w:val="28"/>
        </w:rPr>
        <w:lastRenderedPageBreak/>
        <w:t>responses</w:t>
      </w:r>
      <w:r w:rsidR="00C85568" w:rsidRPr="004C4607">
        <w:rPr>
          <w:rFonts w:ascii="Century Schoolbook" w:hAnsi="Century Schoolbook"/>
          <w:sz w:val="28"/>
        </w:rPr>
        <w:t xml:space="preserve"> </w:t>
      </w:r>
      <w:r w:rsidRPr="004C4607">
        <w:rPr>
          <w:rFonts w:ascii="Century Schoolbook" w:hAnsi="Century Schoolbook"/>
          <w:sz w:val="28"/>
        </w:rPr>
        <w:t xml:space="preserve">are necessary </w:t>
      </w:r>
      <w:r w:rsidR="0006281B" w:rsidRPr="004C4607">
        <w:rPr>
          <w:rFonts w:ascii="Century Schoolbook" w:hAnsi="Century Schoolbook"/>
          <w:sz w:val="28"/>
        </w:rPr>
        <w:t>to determine if the juror was biased.</w:t>
      </w:r>
      <w:r w:rsidR="00C85568" w:rsidRPr="004C4607">
        <w:rPr>
          <w:rFonts w:ascii="Century Schoolbook" w:hAnsi="Century Schoolbook"/>
          <w:sz w:val="28"/>
        </w:rPr>
        <w:t xml:space="preserve"> Additionally, counsel’s arguments and the trial court’s reasoning</w:t>
      </w:r>
      <w:r w:rsidR="00812CCF" w:rsidRPr="004C4607">
        <w:rPr>
          <w:rFonts w:ascii="Century Schoolbook" w:hAnsi="Century Schoolbook"/>
          <w:sz w:val="28"/>
        </w:rPr>
        <w:t xml:space="preserve"> </w:t>
      </w:r>
      <w:r w:rsidR="00AC1070" w:rsidRPr="004C4607">
        <w:rPr>
          <w:rFonts w:ascii="Century Schoolbook" w:hAnsi="Century Schoolbook"/>
          <w:sz w:val="28"/>
        </w:rPr>
        <w:t xml:space="preserve">are directly relevant to </w:t>
      </w:r>
      <w:r w:rsidR="00485F0C" w:rsidRPr="004C4607">
        <w:rPr>
          <w:rFonts w:ascii="Century Schoolbook" w:hAnsi="Century Schoolbook"/>
          <w:sz w:val="28"/>
        </w:rPr>
        <w:t xml:space="preserve">whether the trial court abused its discretion in failing to strike the juror. </w:t>
      </w:r>
    </w:p>
    <w:p w14:paraId="1CB88229" w14:textId="420E9691" w:rsidR="00775500" w:rsidRPr="004C4607" w:rsidRDefault="00101B7C" w:rsidP="00A05A83">
      <w:pPr>
        <w:spacing w:after="0" w:line="480" w:lineRule="auto"/>
        <w:ind w:firstLine="720"/>
        <w:rPr>
          <w:rFonts w:ascii="Century Schoolbook" w:hAnsi="Century Schoolbook"/>
          <w:sz w:val="28"/>
        </w:rPr>
      </w:pPr>
      <w:r w:rsidRPr="004C4607">
        <w:rPr>
          <w:rFonts w:ascii="Century Schoolbook" w:hAnsi="Century Schoolbook"/>
          <w:sz w:val="28"/>
        </w:rPr>
        <w:t xml:space="preserve">The Court of Appeals </w:t>
      </w:r>
      <w:r w:rsidR="003227E0" w:rsidRPr="004C4607">
        <w:rPr>
          <w:rFonts w:ascii="Century Schoolbook" w:hAnsi="Century Schoolbook"/>
          <w:sz w:val="28"/>
        </w:rPr>
        <w:t xml:space="preserve">has </w:t>
      </w:r>
      <w:r w:rsidRPr="004C4607">
        <w:rPr>
          <w:rFonts w:ascii="Century Schoolbook" w:hAnsi="Century Schoolbook"/>
          <w:sz w:val="28"/>
        </w:rPr>
        <w:t xml:space="preserve">hailed the </w:t>
      </w:r>
      <w:r w:rsidR="000C4723" w:rsidRPr="004C4607">
        <w:rPr>
          <w:rFonts w:ascii="Century Schoolbook" w:hAnsi="Century Schoolbook"/>
          <w:sz w:val="28"/>
        </w:rPr>
        <w:t>2022 amendments to Rules 18.4 and 18.5</w:t>
      </w:r>
      <w:r w:rsidR="00E57DFD" w:rsidRPr="004C4607">
        <w:rPr>
          <w:rFonts w:ascii="Century Schoolbook" w:hAnsi="Century Schoolbook"/>
          <w:sz w:val="28"/>
        </w:rPr>
        <w:t xml:space="preserve"> specifically because they “allow trial courts to develop a more robust factual record. Our trial courts have more facts to assess, more dialogue to consider before </w:t>
      </w:r>
      <w:r w:rsidR="003F51A5" w:rsidRPr="004C4607">
        <w:rPr>
          <w:rFonts w:ascii="Century Schoolbook" w:hAnsi="Century Schoolbook"/>
          <w:sz w:val="28"/>
        </w:rPr>
        <w:t>empaneling</w:t>
      </w:r>
      <w:r w:rsidR="00E57DFD" w:rsidRPr="004C4607">
        <w:rPr>
          <w:rFonts w:ascii="Century Schoolbook" w:hAnsi="Century Schoolbook"/>
          <w:sz w:val="28"/>
        </w:rPr>
        <w:t xml:space="preserve"> a juror, and more information from which to assess credibility before </w:t>
      </w:r>
      <w:r w:rsidR="003F51A5" w:rsidRPr="004C4607">
        <w:rPr>
          <w:rFonts w:ascii="Century Schoolbook" w:hAnsi="Century Schoolbook"/>
          <w:sz w:val="28"/>
        </w:rPr>
        <w:t>empaneling</w:t>
      </w:r>
      <w:r w:rsidR="00E57DFD" w:rsidRPr="004C4607">
        <w:rPr>
          <w:rFonts w:ascii="Century Schoolbook" w:hAnsi="Century Schoolbook"/>
          <w:sz w:val="28"/>
        </w:rPr>
        <w:t xml:space="preserve"> a juror. All those facts make motions to dismiss a juror for cause even more fact-specific than before</w:t>
      </w:r>
      <w:r w:rsidR="003F51A5" w:rsidRPr="004C4607">
        <w:rPr>
          <w:rFonts w:ascii="Century Schoolbook" w:hAnsi="Century Schoolbook"/>
          <w:sz w:val="28"/>
        </w:rPr>
        <w:t>.”</w:t>
      </w:r>
      <w:r w:rsidR="00536CC7" w:rsidRPr="004C4607">
        <w:rPr>
          <w:rFonts w:ascii="Century Schoolbook" w:hAnsi="Century Schoolbook"/>
          <w:sz w:val="28"/>
        </w:rPr>
        <w:t xml:space="preserve"> </w:t>
      </w:r>
      <w:r w:rsidR="00536CC7" w:rsidRPr="004C4607">
        <w:rPr>
          <w:rFonts w:ascii="Century Schoolbook" w:hAnsi="Century Schoolbook"/>
          <w:i/>
          <w:iCs/>
          <w:sz w:val="28"/>
        </w:rPr>
        <w:t>Id.</w:t>
      </w:r>
      <w:r w:rsidR="00536CC7" w:rsidRPr="004C4607">
        <w:rPr>
          <w:rFonts w:ascii="Century Schoolbook" w:hAnsi="Century Schoolbook"/>
          <w:sz w:val="28"/>
        </w:rPr>
        <w:t xml:space="preserve"> at </w:t>
      </w:r>
      <w:r w:rsidR="003227E0" w:rsidRPr="004C4607">
        <w:rPr>
          <w:rFonts w:ascii="Century Schoolbook" w:hAnsi="Century Schoolbook"/>
          <w:sz w:val="28"/>
        </w:rPr>
        <w:t>¶</w:t>
      </w:r>
      <w:r w:rsidR="00A05A83" w:rsidRPr="004C4607">
        <w:rPr>
          <w:rFonts w:ascii="Century Schoolbook" w:hAnsi="Century Schoolbook"/>
          <w:sz w:val="28"/>
        </w:rPr>
        <w:t xml:space="preserve"> </w:t>
      </w:r>
      <w:r w:rsidR="003227E0" w:rsidRPr="004C4607">
        <w:rPr>
          <w:rFonts w:ascii="Century Schoolbook" w:hAnsi="Century Schoolbook"/>
          <w:sz w:val="28"/>
        </w:rPr>
        <w:t>19.</w:t>
      </w:r>
      <w:r w:rsidR="006B7F92" w:rsidRPr="004C4607">
        <w:rPr>
          <w:rFonts w:ascii="Century Schoolbook" w:hAnsi="Century Schoolbook"/>
          <w:sz w:val="28"/>
        </w:rPr>
        <w:t xml:space="preserve"> </w:t>
      </w:r>
      <w:r w:rsidR="00E02F4B" w:rsidRPr="004C4607">
        <w:rPr>
          <w:rFonts w:ascii="Century Schoolbook" w:hAnsi="Century Schoolbook"/>
          <w:sz w:val="28"/>
        </w:rPr>
        <w:t>Minute entries often do not reflect</w:t>
      </w:r>
      <w:r w:rsidR="00A05A83" w:rsidRPr="004C4607">
        <w:rPr>
          <w:rFonts w:ascii="Century Schoolbook" w:hAnsi="Century Schoolbook"/>
          <w:sz w:val="28"/>
        </w:rPr>
        <w:t>—</w:t>
      </w:r>
      <w:r w:rsidR="00E02F4B" w:rsidRPr="004C4607">
        <w:rPr>
          <w:rFonts w:ascii="Century Schoolbook" w:hAnsi="Century Schoolbook"/>
          <w:sz w:val="28"/>
        </w:rPr>
        <w:t>and</w:t>
      </w:r>
      <w:r w:rsidR="00A05A83" w:rsidRPr="004C4607">
        <w:rPr>
          <w:rFonts w:ascii="Century Schoolbook" w:hAnsi="Century Schoolbook"/>
          <w:sz w:val="28"/>
        </w:rPr>
        <w:t xml:space="preserve"> </w:t>
      </w:r>
      <w:r w:rsidR="00E02F4B" w:rsidRPr="004C4607">
        <w:rPr>
          <w:rFonts w:ascii="Century Schoolbook" w:hAnsi="Century Schoolbook"/>
          <w:sz w:val="28"/>
        </w:rPr>
        <w:t>certainly do not reflect in full</w:t>
      </w:r>
      <w:r w:rsidR="00A05A83" w:rsidRPr="004C4607">
        <w:rPr>
          <w:rFonts w:ascii="Century Schoolbook" w:hAnsi="Century Schoolbook"/>
          <w:sz w:val="28"/>
        </w:rPr>
        <w:t>—</w:t>
      </w:r>
      <w:r w:rsidR="00E02F4B" w:rsidRPr="004C4607">
        <w:rPr>
          <w:rFonts w:ascii="Century Schoolbook" w:hAnsi="Century Schoolbook"/>
          <w:sz w:val="28"/>
        </w:rPr>
        <w:t>these</w:t>
      </w:r>
      <w:r w:rsidR="00A05A83" w:rsidRPr="004C4607">
        <w:rPr>
          <w:rFonts w:ascii="Century Schoolbook" w:hAnsi="Century Schoolbook"/>
          <w:sz w:val="28"/>
        </w:rPr>
        <w:t xml:space="preserve"> </w:t>
      </w:r>
      <w:r w:rsidR="005754C0" w:rsidRPr="004C4607">
        <w:rPr>
          <w:rFonts w:ascii="Century Schoolbook" w:hAnsi="Century Schoolbook"/>
          <w:sz w:val="28"/>
        </w:rPr>
        <w:t xml:space="preserve">complex factual issues. </w:t>
      </w:r>
    </w:p>
    <w:p w14:paraId="5791B43C" w14:textId="2CD6A3B8" w:rsidR="001B1F47" w:rsidRPr="004C4607" w:rsidRDefault="00916EB4" w:rsidP="00A05A83">
      <w:pPr>
        <w:spacing w:after="0" w:line="480" w:lineRule="auto"/>
        <w:ind w:firstLine="720"/>
        <w:rPr>
          <w:rFonts w:ascii="Century Schoolbook" w:hAnsi="Century Schoolbook"/>
          <w:sz w:val="28"/>
        </w:rPr>
      </w:pPr>
      <w:r w:rsidRPr="004C4607">
        <w:rPr>
          <w:rFonts w:ascii="Century Schoolbook" w:hAnsi="Century Schoolbook"/>
          <w:sz w:val="28"/>
        </w:rPr>
        <w:t>Given the holistic, fact-intensive inquiry required when evaluating a juror</w:t>
      </w:r>
      <w:r w:rsidR="00393FCE" w:rsidRPr="004C4607">
        <w:rPr>
          <w:rFonts w:ascii="Century Schoolbook" w:hAnsi="Century Schoolbook"/>
          <w:sz w:val="28"/>
        </w:rPr>
        <w:t>’</w:t>
      </w:r>
      <w:r w:rsidRPr="004C4607">
        <w:rPr>
          <w:rFonts w:ascii="Century Schoolbook" w:hAnsi="Century Schoolbook"/>
          <w:sz w:val="28"/>
        </w:rPr>
        <w:t>s self-assurances of fairness</w:t>
      </w:r>
      <w:r w:rsidR="004A6FF8">
        <w:rPr>
          <w:rFonts w:ascii="Century Schoolbook" w:hAnsi="Century Schoolbook"/>
          <w:sz w:val="28"/>
        </w:rPr>
        <w:t>,</w:t>
      </w:r>
      <w:r w:rsidR="004A7A85" w:rsidRPr="004C4607">
        <w:rPr>
          <w:rFonts w:ascii="Century Schoolbook" w:hAnsi="Century Schoolbook"/>
          <w:sz w:val="28"/>
        </w:rPr>
        <w:t xml:space="preserve"> </w:t>
      </w:r>
      <w:r w:rsidR="00393FCE" w:rsidRPr="004C4607">
        <w:rPr>
          <w:rFonts w:ascii="Century Schoolbook" w:hAnsi="Century Schoolbook"/>
          <w:sz w:val="28"/>
        </w:rPr>
        <w:t xml:space="preserve">transcripts of </w:t>
      </w:r>
      <w:r w:rsidR="00C53BD7" w:rsidRPr="004C4607">
        <w:rPr>
          <w:rFonts w:ascii="Century Schoolbook" w:hAnsi="Century Schoolbook"/>
          <w:sz w:val="28"/>
        </w:rPr>
        <w:t>voir dire</w:t>
      </w:r>
      <w:r w:rsidR="00393FCE" w:rsidRPr="004C4607">
        <w:rPr>
          <w:rFonts w:ascii="Century Schoolbook" w:hAnsi="Century Schoolbook"/>
          <w:sz w:val="28"/>
        </w:rPr>
        <w:t xml:space="preserve"> are critical to </w:t>
      </w:r>
      <w:r w:rsidR="00C05D80" w:rsidRPr="004C4607">
        <w:rPr>
          <w:rFonts w:ascii="Century Schoolbook" w:hAnsi="Century Schoolbook"/>
          <w:sz w:val="28"/>
        </w:rPr>
        <w:t>appellate counsel</w:t>
      </w:r>
      <w:r w:rsidR="00393FCE" w:rsidRPr="004C4607">
        <w:rPr>
          <w:rFonts w:ascii="Century Schoolbook" w:hAnsi="Century Schoolbook"/>
          <w:sz w:val="28"/>
        </w:rPr>
        <w:t xml:space="preserve">’s </w:t>
      </w:r>
      <w:r w:rsidR="00C05D80" w:rsidRPr="004C4607">
        <w:rPr>
          <w:rFonts w:ascii="Century Schoolbook" w:hAnsi="Century Schoolbook"/>
          <w:sz w:val="28"/>
        </w:rPr>
        <w:t>review</w:t>
      </w:r>
      <w:r w:rsidR="004A7A85" w:rsidRPr="004C4607">
        <w:rPr>
          <w:rFonts w:ascii="Century Schoolbook" w:hAnsi="Century Schoolbook"/>
          <w:sz w:val="28"/>
        </w:rPr>
        <w:t xml:space="preserve"> </w:t>
      </w:r>
      <w:r w:rsidR="00393FCE" w:rsidRPr="004C4607">
        <w:rPr>
          <w:rFonts w:ascii="Century Schoolbook" w:hAnsi="Century Schoolbook"/>
          <w:sz w:val="28"/>
        </w:rPr>
        <w:t>in</w:t>
      </w:r>
      <w:r w:rsidR="004A7A85" w:rsidRPr="004C4607">
        <w:rPr>
          <w:rFonts w:ascii="Century Schoolbook" w:hAnsi="Century Schoolbook"/>
          <w:sz w:val="28"/>
        </w:rPr>
        <w:t xml:space="preserve"> every case</w:t>
      </w:r>
      <w:r w:rsidR="005754C0" w:rsidRPr="004C4607">
        <w:rPr>
          <w:rFonts w:ascii="Century Schoolbook" w:hAnsi="Century Schoolbook"/>
          <w:sz w:val="28"/>
        </w:rPr>
        <w:t xml:space="preserve"> </w:t>
      </w:r>
      <w:r w:rsidR="001B1F47" w:rsidRPr="004C4607">
        <w:rPr>
          <w:rFonts w:ascii="Century Schoolbook" w:hAnsi="Century Schoolbook"/>
          <w:sz w:val="28"/>
        </w:rPr>
        <w:t>to guarantee structural errors of a constitutional dimension are not overlooked.</w:t>
      </w:r>
    </w:p>
    <w:p w14:paraId="3B5E65C4" w14:textId="3FE17DB6" w:rsidR="0006281B" w:rsidRPr="004C4607" w:rsidRDefault="0006281B" w:rsidP="00A05A83">
      <w:pPr>
        <w:pStyle w:val="ListParagraph"/>
        <w:numPr>
          <w:ilvl w:val="0"/>
          <w:numId w:val="1"/>
        </w:numPr>
        <w:spacing w:after="0" w:line="240" w:lineRule="auto"/>
        <w:rPr>
          <w:rFonts w:ascii="Century Schoolbook" w:hAnsi="Century Schoolbook"/>
          <w:b/>
          <w:bCs/>
          <w:sz w:val="28"/>
        </w:rPr>
      </w:pPr>
      <w:r w:rsidRPr="004C4607">
        <w:rPr>
          <w:rFonts w:ascii="Century Schoolbook" w:hAnsi="Century Schoolbook"/>
          <w:b/>
          <w:bCs/>
          <w:sz w:val="28"/>
        </w:rPr>
        <w:t xml:space="preserve">Transcripts of the priors trial or the admission of prior convictions are necessary to protect defendants from illegal sentences. </w:t>
      </w:r>
    </w:p>
    <w:p w14:paraId="0BBB03E9" w14:textId="77777777" w:rsidR="00A05A83" w:rsidRPr="004C4607" w:rsidRDefault="00A05A83" w:rsidP="00A05A83">
      <w:pPr>
        <w:pStyle w:val="ListParagraph"/>
        <w:spacing w:after="0" w:line="240" w:lineRule="auto"/>
        <w:rPr>
          <w:rFonts w:ascii="Century Schoolbook" w:hAnsi="Century Schoolbook"/>
          <w:b/>
          <w:bCs/>
          <w:sz w:val="28"/>
        </w:rPr>
      </w:pPr>
    </w:p>
    <w:p w14:paraId="5E855A18" w14:textId="6C2FB501" w:rsidR="001B1F47" w:rsidRPr="004C4607" w:rsidRDefault="0006281B" w:rsidP="00A05A83">
      <w:pPr>
        <w:spacing w:after="0" w:line="480" w:lineRule="auto"/>
        <w:ind w:firstLine="720"/>
        <w:rPr>
          <w:rFonts w:ascii="Century Schoolbook" w:hAnsi="Century Schoolbook"/>
          <w:sz w:val="28"/>
        </w:rPr>
      </w:pPr>
      <w:r w:rsidRPr="004C4607">
        <w:rPr>
          <w:rFonts w:ascii="Century Schoolbook" w:hAnsi="Century Schoolbook"/>
          <w:sz w:val="28"/>
        </w:rPr>
        <w:lastRenderedPageBreak/>
        <w:t xml:space="preserve">A flawed finding or use of priors results in an illegal sentence and subjects a defendant to undue punishment. An error of this magnitude is fundamental. </w:t>
      </w:r>
      <w:r w:rsidRPr="004C4607">
        <w:rPr>
          <w:rFonts w:ascii="Century Schoolbook" w:hAnsi="Century Schoolbook"/>
          <w:i/>
          <w:iCs/>
          <w:sz w:val="28"/>
        </w:rPr>
        <w:t>State v. Allen</w:t>
      </w:r>
      <w:r w:rsidRPr="004C4607">
        <w:rPr>
          <w:rFonts w:ascii="Century Schoolbook" w:hAnsi="Century Schoolbook"/>
          <w:sz w:val="28"/>
        </w:rPr>
        <w:t>, 248 Ariz. 352, ¶ 58 (2020). An error in a priors trial, especially in the absence of an objection, will likely not be reflected in a minute entry. Moreover, given the fundamental error review standard, without the transcript, the appellate court is unable to complete</w:t>
      </w:r>
      <w:r w:rsidR="0000406D" w:rsidRPr="004C4607">
        <w:rPr>
          <w:rFonts w:ascii="Century Schoolbook" w:hAnsi="Century Schoolbook"/>
          <w:sz w:val="28"/>
        </w:rPr>
        <w:t xml:space="preserve"> the required full review of the record in the instance of a brief filed pursuant to </w:t>
      </w:r>
      <w:r w:rsidR="0000406D" w:rsidRPr="004C4607">
        <w:rPr>
          <w:rFonts w:ascii="Century Schoolbook" w:hAnsi="Century Schoolbook"/>
          <w:i/>
          <w:iCs/>
          <w:sz w:val="28"/>
        </w:rPr>
        <w:t>Ander</w:t>
      </w:r>
      <w:r w:rsidR="00A05A83" w:rsidRPr="004C4607">
        <w:rPr>
          <w:rFonts w:ascii="Century Schoolbook" w:hAnsi="Century Schoolbook"/>
          <w:i/>
          <w:iCs/>
          <w:sz w:val="28"/>
        </w:rPr>
        <w:t>s</w:t>
      </w:r>
      <w:r w:rsidR="0000406D" w:rsidRPr="004C4607">
        <w:rPr>
          <w:rFonts w:ascii="Century Schoolbook" w:hAnsi="Century Schoolbook"/>
          <w:i/>
          <w:iCs/>
          <w:sz w:val="28"/>
        </w:rPr>
        <w:t xml:space="preserve"> v. California</w:t>
      </w:r>
      <w:r w:rsidR="00113747" w:rsidRPr="004C4607">
        <w:rPr>
          <w:rFonts w:ascii="Century Schoolbook" w:hAnsi="Century Schoolbook"/>
          <w:sz w:val="28"/>
        </w:rPr>
        <w:t xml:space="preserve">, 386 U.S. 738 (1967) and </w:t>
      </w:r>
      <w:r w:rsidR="00113747" w:rsidRPr="004C4607">
        <w:rPr>
          <w:rFonts w:ascii="Century Schoolbook" w:hAnsi="Century Schoolbook"/>
          <w:i/>
          <w:iCs/>
          <w:sz w:val="28"/>
        </w:rPr>
        <w:t>State v. Leon</w:t>
      </w:r>
      <w:r w:rsidR="00113747" w:rsidRPr="004C4607">
        <w:rPr>
          <w:rFonts w:ascii="Century Schoolbook" w:hAnsi="Century Schoolbook"/>
          <w:sz w:val="28"/>
        </w:rPr>
        <w:t xml:space="preserve">, 104 Ariz. 297 (1969). </w:t>
      </w:r>
    </w:p>
    <w:p w14:paraId="51DF4D70" w14:textId="614B31F3" w:rsidR="0000406D" w:rsidRPr="004C4607" w:rsidRDefault="0000406D" w:rsidP="00A05A83">
      <w:pPr>
        <w:pStyle w:val="ListParagraph"/>
        <w:numPr>
          <w:ilvl w:val="0"/>
          <w:numId w:val="1"/>
        </w:numPr>
        <w:spacing w:after="0" w:line="240" w:lineRule="auto"/>
        <w:rPr>
          <w:rFonts w:ascii="Century Schoolbook" w:hAnsi="Century Schoolbook"/>
          <w:b/>
          <w:bCs/>
          <w:sz w:val="28"/>
        </w:rPr>
      </w:pPr>
      <w:r w:rsidRPr="004C4607">
        <w:rPr>
          <w:rFonts w:ascii="Century Schoolbook" w:hAnsi="Century Schoolbook"/>
          <w:b/>
          <w:bCs/>
          <w:sz w:val="28"/>
        </w:rPr>
        <w:t xml:space="preserve">The proposed rule </w:t>
      </w:r>
      <w:r w:rsidR="00031D9E" w:rsidRPr="004C4607">
        <w:rPr>
          <w:rFonts w:ascii="Century Schoolbook" w:hAnsi="Century Schoolbook"/>
          <w:b/>
          <w:bCs/>
          <w:sz w:val="28"/>
        </w:rPr>
        <w:t>promotes efficiency and prevents delay.</w:t>
      </w:r>
    </w:p>
    <w:p w14:paraId="7EAD2CF6" w14:textId="77777777" w:rsidR="00A05A83" w:rsidRPr="004C4607" w:rsidRDefault="00A05A83" w:rsidP="00A05A83">
      <w:pPr>
        <w:pStyle w:val="ListParagraph"/>
        <w:spacing w:after="0" w:line="240" w:lineRule="auto"/>
        <w:rPr>
          <w:rFonts w:ascii="Century Schoolbook" w:hAnsi="Century Schoolbook"/>
          <w:b/>
          <w:bCs/>
          <w:sz w:val="28"/>
        </w:rPr>
      </w:pPr>
    </w:p>
    <w:p w14:paraId="6473C6A7" w14:textId="0EAB2A85" w:rsidR="0000406D" w:rsidRPr="004C4607" w:rsidRDefault="0000406D" w:rsidP="00A05A83">
      <w:pPr>
        <w:spacing w:after="0" w:line="480" w:lineRule="auto"/>
        <w:ind w:firstLine="720"/>
        <w:rPr>
          <w:rFonts w:ascii="Century Schoolbook" w:hAnsi="Century Schoolbook"/>
          <w:sz w:val="28"/>
        </w:rPr>
      </w:pPr>
      <w:r w:rsidRPr="004C4607">
        <w:rPr>
          <w:rFonts w:ascii="Century Schoolbook" w:hAnsi="Century Schoolbook"/>
          <w:sz w:val="28"/>
        </w:rPr>
        <w:t xml:space="preserve">As explained above, diligent appellate counsel should request transcripts for both voir dire and priors trial/admission. As a matter of practice, the appellate attorneys in the indigent </w:t>
      </w:r>
      <w:r w:rsidR="00AA3F10" w:rsidRPr="004C4607">
        <w:rPr>
          <w:rFonts w:ascii="Century Schoolbook" w:hAnsi="Century Schoolbook"/>
          <w:sz w:val="28"/>
        </w:rPr>
        <w:t>defense</w:t>
      </w:r>
      <w:r w:rsidRPr="004C4607">
        <w:rPr>
          <w:rFonts w:ascii="Century Schoolbook" w:hAnsi="Century Schoolbook"/>
          <w:sz w:val="28"/>
        </w:rPr>
        <w:t xml:space="preserve"> offices request these transcripts in all cases. This requires additional work by the attorneys and staff. These requests also require additional work from the appellate courts to review the requests and order additional transcripts. </w:t>
      </w:r>
    </w:p>
    <w:p w14:paraId="6E7CA975" w14:textId="4C08EBAF" w:rsidR="00A2789C" w:rsidRPr="004C4607" w:rsidRDefault="0000406D" w:rsidP="00A05A83">
      <w:pPr>
        <w:spacing w:after="0" w:line="480" w:lineRule="auto"/>
        <w:ind w:firstLine="720"/>
        <w:rPr>
          <w:rFonts w:ascii="Century Schoolbook" w:hAnsi="Century Schoolbook"/>
          <w:sz w:val="28"/>
        </w:rPr>
      </w:pPr>
      <w:r w:rsidRPr="004C4607">
        <w:rPr>
          <w:rFonts w:ascii="Century Schoolbook" w:hAnsi="Century Schoolbook"/>
          <w:sz w:val="28"/>
        </w:rPr>
        <w:t xml:space="preserve">Although it is common practice for appellate counsel with indigent </w:t>
      </w:r>
      <w:r w:rsidR="00436A19" w:rsidRPr="004C4607">
        <w:rPr>
          <w:rFonts w:ascii="Century Schoolbook" w:hAnsi="Century Schoolbook"/>
          <w:sz w:val="28"/>
        </w:rPr>
        <w:t>defense</w:t>
      </w:r>
      <w:r w:rsidRPr="004C4607">
        <w:rPr>
          <w:rFonts w:ascii="Century Schoolbook" w:hAnsi="Century Schoolbook"/>
          <w:sz w:val="28"/>
        </w:rPr>
        <w:t xml:space="preserve"> agencies to request these transcripts</w:t>
      </w:r>
      <w:r w:rsidR="00A05A83" w:rsidRPr="004C4607">
        <w:rPr>
          <w:rFonts w:ascii="Century Schoolbook" w:hAnsi="Century Schoolbook"/>
          <w:sz w:val="28"/>
        </w:rPr>
        <w:t>—</w:t>
      </w:r>
      <w:r w:rsidRPr="004C4607">
        <w:rPr>
          <w:rFonts w:ascii="Century Schoolbook" w:hAnsi="Century Schoolbook"/>
          <w:sz w:val="28"/>
        </w:rPr>
        <w:t>solo</w:t>
      </w:r>
      <w:r w:rsidR="00A05A83" w:rsidRPr="004C4607">
        <w:rPr>
          <w:rFonts w:ascii="Century Schoolbook" w:hAnsi="Century Schoolbook"/>
          <w:sz w:val="28"/>
        </w:rPr>
        <w:t xml:space="preserve"> </w:t>
      </w:r>
      <w:r w:rsidRPr="004C4607">
        <w:rPr>
          <w:rFonts w:ascii="Century Schoolbook" w:hAnsi="Century Schoolbook"/>
          <w:sz w:val="28"/>
        </w:rPr>
        <w:t xml:space="preserve">and private </w:t>
      </w:r>
      <w:r w:rsidRPr="004C4607">
        <w:rPr>
          <w:rFonts w:ascii="Century Schoolbook" w:hAnsi="Century Schoolbook"/>
          <w:sz w:val="28"/>
        </w:rPr>
        <w:lastRenderedPageBreak/>
        <w:t xml:space="preserve">practitioners often do not. When cases are transferred from these practitioners to court-appointed counsel, appointed counsel must file motions to supplement for these transcripts. Given the length of these transcripts, their preparation and review almost always </w:t>
      </w:r>
      <w:r w:rsidR="00EE700F" w:rsidRPr="004C4607">
        <w:rPr>
          <w:rFonts w:ascii="Century Schoolbook" w:hAnsi="Century Schoolbook"/>
          <w:sz w:val="28"/>
        </w:rPr>
        <w:t>necessitate</w:t>
      </w:r>
      <w:r w:rsidRPr="004C4607">
        <w:rPr>
          <w:rFonts w:ascii="Century Schoolbook" w:hAnsi="Century Schoolbook"/>
          <w:sz w:val="28"/>
        </w:rPr>
        <w:t xml:space="preserve"> extensions of brief deadlines. </w:t>
      </w:r>
      <w:r w:rsidR="001E1B97" w:rsidRPr="004C4607">
        <w:rPr>
          <w:rFonts w:ascii="Century Schoolbook" w:hAnsi="Century Schoolbook"/>
          <w:sz w:val="28"/>
        </w:rPr>
        <w:t xml:space="preserve">If these transcripts were ordered at the inception of the appeal, these delays </w:t>
      </w:r>
      <w:r w:rsidR="00A6107D" w:rsidRPr="004C4607">
        <w:rPr>
          <w:rFonts w:ascii="Century Schoolbook" w:hAnsi="Century Schoolbook"/>
          <w:sz w:val="28"/>
        </w:rPr>
        <w:t xml:space="preserve">would be eliminated. </w:t>
      </w:r>
    </w:p>
    <w:p w14:paraId="476E7963" w14:textId="765D25B6" w:rsidR="00D3434F" w:rsidRPr="004C4607" w:rsidRDefault="00D3434F" w:rsidP="00A05A83">
      <w:pPr>
        <w:spacing w:after="0" w:line="480" w:lineRule="auto"/>
        <w:jc w:val="center"/>
        <w:rPr>
          <w:rFonts w:ascii="Century Schoolbook" w:hAnsi="Century Schoolbook"/>
          <w:b/>
          <w:bCs/>
          <w:sz w:val="28"/>
        </w:rPr>
      </w:pPr>
      <w:r w:rsidRPr="004C4607">
        <w:rPr>
          <w:rFonts w:ascii="Century Schoolbook" w:hAnsi="Century Schoolbook"/>
          <w:b/>
          <w:bCs/>
          <w:sz w:val="28"/>
        </w:rPr>
        <w:t>Conclusion</w:t>
      </w:r>
    </w:p>
    <w:p w14:paraId="07D1D895" w14:textId="0DAB0AC1" w:rsidR="00A05A83" w:rsidRPr="004C4607" w:rsidRDefault="0000406D" w:rsidP="00EF5F1E">
      <w:pPr>
        <w:spacing w:after="0" w:line="480" w:lineRule="auto"/>
        <w:ind w:firstLine="720"/>
        <w:rPr>
          <w:rFonts w:ascii="Century Schoolbook" w:hAnsi="Century Schoolbook"/>
          <w:sz w:val="28"/>
        </w:rPr>
      </w:pPr>
      <w:r w:rsidRPr="004C4607">
        <w:rPr>
          <w:rFonts w:ascii="Century Schoolbook" w:hAnsi="Century Schoolbook"/>
          <w:sz w:val="28"/>
        </w:rPr>
        <w:t xml:space="preserve">The </w:t>
      </w:r>
      <w:r w:rsidR="001F4E6B" w:rsidRPr="004C4607">
        <w:rPr>
          <w:rFonts w:ascii="Century Schoolbook" w:hAnsi="Century Schoolbook"/>
          <w:sz w:val="28"/>
        </w:rPr>
        <w:t>directors of the indigent defense agencies of Maricopa County</w:t>
      </w:r>
      <w:r w:rsidRPr="004C4607">
        <w:rPr>
          <w:rFonts w:ascii="Century Schoolbook" w:hAnsi="Century Schoolbook"/>
          <w:sz w:val="28"/>
        </w:rPr>
        <w:t xml:space="preserve"> ask the Court to adopt the proposed changes to best facilitate appellate review of these critical issues while promoting efficiency. </w:t>
      </w:r>
    </w:p>
    <w:p w14:paraId="2474792B" w14:textId="13ECDECD" w:rsidR="00A2789C" w:rsidRPr="004C4607" w:rsidRDefault="00A2789C" w:rsidP="00A2789C">
      <w:pPr>
        <w:spacing w:after="0" w:line="480" w:lineRule="auto"/>
        <w:ind w:firstLine="720"/>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 xml:space="preserve">Respectfully submitted this </w:t>
      </w:r>
      <w:r w:rsidR="00455F50">
        <w:rPr>
          <w:rFonts w:ascii="Century Schoolbook" w:eastAsia="Century Schoolbook" w:hAnsi="Century Schoolbook" w:cs="Century Schoolbook"/>
          <w:snapToGrid/>
          <w:kern w:val="0"/>
          <w:sz w:val="28"/>
          <w:lang w:val="en"/>
          <w14:ligatures w14:val="none"/>
        </w:rPr>
        <w:t>____</w:t>
      </w:r>
      <w:r w:rsidRPr="004C4607">
        <w:rPr>
          <w:rFonts w:ascii="Century Schoolbook" w:eastAsia="Century Schoolbook" w:hAnsi="Century Schoolbook" w:cs="Century Schoolbook"/>
          <w:snapToGrid/>
          <w:kern w:val="0"/>
          <w:sz w:val="28"/>
          <w:lang w:val="en"/>
          <w14:ligatures w14:val="none"/>
        </w:rPr>
        <w:t xml:space="preserve"> day of </w:t>
      </w:r>
      <w:r w:rsidR="00455F50">
        <w:rPr>
          <w:rFonts w:ascii="Century Schoolbook" w:eastAsia="Century Schoolbook" w:hAnsi="Century Schoolbook" w:cs="Century Schoolbook"/>
          <w:snapToGrid/>
          <w:kern w:val="0"/>
          <w:sz w:val="28"/>
          <w:lang w:val="en"/>
          <w14:ligatures w14:val="none"/>
        </w:rPr>
        <w:t>____</w:t>
      </w:r>
      <w:r w:rsidRPr="004C4607">
        <w:rPr>
          <w:rFonts w:ascii="Century Schoolbook" w:eastAsia="Century Schoolbook" w:hAnsi="Century Schoolbook" w:cs="Century Schoolbook"/>
          <w:snapToGrid/>
          <w:kern w:val="0"/>
          <w:sz w:val="28"/>
          <w:lang w:val="en"/>
          <w14:ligatures w14:val="none"/>
        </w:rPr>
        <w:t>, 202</w:t>
      </w:r>
      <w:r w:rsidR="00455F50">
        <w:rPr>
          <w:rFonts w:ascii="Century Schoolbook" w:eastAsia="Century Schoolbook" w:hAnsi="Century Schoolbook" w:cs="Century Schoolbook"/>
          <w:snapToGrid/>
          <w:kern w:val="0"/>
          <w:sz w:val="28"/>
          <w:lang w:val="en"/>
          <w14:ligatures w14:val="none"/>
        </w:rPr>
        <w:t>4</w:t>
      </w:r>
      <w:r w:rsidRPr="004C4607">
        <w:rPr>
          <w:rFonts w:ascii="Century Schoolbook" w:eastAsia="Century Schoolbook" w:hAnsi="Century Schoolbook" w:cs="Century Schoolbook"/>
          <w:snapToGrid/>
          <w:kern w:val="0"/>
          <w:sz w:val="28"/>
          <w:lang w:val="en"/>
          <w14:ligatures w14:val="none"/>
        </w:rPr>
        <w:t>.</w:t>
      </w:r>
    </w:p>
    <w:p w14:paraId="235924BD" w14:textId="77777777" w:rsidR="00A2789C" w:rsidRPr="004C4607" w:rsidRDefault="00A2789C" w:rsidP="00A2789C">
      <w:pPr>
        <w:spacing w:after="0" w:line="240" w:lineRule="auto"/>
        <w:jc w:val="both"/>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 xml:space="preserve">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0"/>
        <w:gridCol w:w="4410"/>
      </w:tblGrid>
      <w:tr w:rsidR="00A2789C" w:rsidRPr="004C4607" w14:paraId="761793F1" w14:textId="77777777" w:rsidTr="003F6206">
        <w:tc>
          <w:tcPr>
            <w:tcW w:w="49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DE33064" w14:textId="027C03C6" w:rsidR="00A2789C" w:rsidRPr="004C4607" w:rsidRDefault="00A2789C" w:rsidP="00A2789C">
            <w:pPr>
              <w:spacing w:after="0" w:line="240" w:lineRule="auto"/>
              <w:rPr>
                <w:rFonts w:ascii="Century Schoolbook" w:eastAsia="Century Schoolbook" w:hAnsi="Century Schoolbook" w:cs="Century Schoolbook"/>
                <w:snapToGrid/>
                <w:kern w:val="0"/>
                <w:sz w:val="28"/>
                <w:u w:val="single"/>
                <w:lang w:val="en"/>
                <w14:ligatures w14:val="none"/>
              </w:rPr>
            </w:pPr>
            <w:r w:rsidRPr="004C4607">
              <w:rPr>
                <w:rFonts w:ascii="Century Schoolbook" w:eastAsia="Century Schoolbook" w:hAnsi="Century Schoolbook" w:cs="Century Schoolbook"/>
                <w:snapToGrid/>
                <w:kern w:val="0"/>
                <w:sz w:val="28"/>
                <w:lang w:val="en"/>
                <w14:ligatures w14:val="none"/>
              </w:rPr>
              <w:t>By</w:t>
            </w:r>
            <w:r w:rsidRPr="004C4607">
              <w:rPr>
                <w:rFonts w:ascii="Century Schoolbook" w:eastAsia="Century Schoolbook" w:hAnsi="Century Schoolbook" w:cs="Century Schoolbook"/>
                <w:snapToGrid/>
                <w:kern w:val="0"/>
                <w:sz w:val="28"/>
                <w:u w:val="single"/>
                <w:lang w:val="en"/>
                <w14:ligatures w14:val="none"/>
              </w:rPr>
              <w:t xml:space="preserve">   </w:t>
            </w:r>
            <w:r w:rsidRPr="004C4607">
              <w:rPr>
                <w:rFonts w:ascii="Century Schoolbook" w:eastAsia="Century Schoolbook" w:hAnsi="Century Schoolbook" w:cs="Century Schoolbook"/>
                <w:snapToGrid/>
                <w:kern w:val="0"/>
                <w:sz w:val="28"/>
                <w:u w:val="single"/>
                <w:lang w:val="en"/>
                <w14:ligatures w14:val="none"/>
              </w:rPr>
              <w:tab/>
              <w:t xml:space="preserve">/s/ </w:t>
            </w:r>
            <w:r w:rsidRPr="004C4607">
              <w:rPr>
                <w:rFonts w:ascii="Century Schoolbook" w:eastAsia="Century Schoolbook" w:hAnsi="Century Schoolbook" w:cs="Century Schoolbook"/>
                <w:i/>
                <w:snapToGrid/>
                <w:kern w:val="0"/>
                <w:sz w:val="28"/>
                <w:u w:val="single"/>
                <w:lang w:val="en"/>
                <w14:ligatures w14:val="none"/>
              </w:rPr>
              <w:t>Rosemarie</w:t>
            </w:r>
            <w:r w:rsidR="004A6FF8">
              <w:rPr>
                <w:rFonts w:ascii="Century Schoolbook" w:eastAsia="Century Schoolbook" w:hAnsi="Century Schoolbook" w:cs="Century Schoolbook"/>
                <w:i/>
                <w:snapToGrid/>
                <w:kern w:val="0"/>
                <w:sz w:val="28"/>
                <w:u w:val="single"/>
                <w:lang w:val="en"/>
                <w14:ligatures w14:val="none"/>
              </w:rPr>
              <w:t xml:space="preserve"> </w:t>
            </w:r>
            <w:r w:rsidR="004A6FF8" w:rsidRPr="004A6FF8">
              <w:rPr>
                <w:rFonts w:ascii="Century Schoolbook" w:eastAsia="Century Schoolbook" w:hAnsi="Century Schoolbook" w:cs="Century Schoolbook"/>
                <w:i/>
                <w:snapToGrid/>
                <w:kern w:val="0"/>
                <w:sz w:val="28"/>
                <w:u w:val="single"/>
                <w:lang w:val="en"/>
                <w14:ligatures w14:val="none"/>
              </w:rPr>
              <w:t>Peña</w:t>
            </w:r>
            <w:r w:rsidRPr="004C4607">
              <w:rPr>
                <w:rFonts w:ascii="Century Schoolbook" w:eastAsia="Century Schoolbook" w:hAnsi="Century Schoolbook" w:cs="Century Schoolbook"/>
                <w:i/>
                <w:snapToGrid/>
                <w:kern w:val="0"/>
                <w:sz w:val="28"/>
                <w:u w:val="single"/>
                <w:lang w:val="en"/>
                <w14:ligatures w14:val="none"/>
              </w:rPr>
              <w:t>-Lynch</w:t>
            </w:r>
            <w:r w:rsidRPr="004C4607">
              <w:rPr>
                <w:rFonts w:ascii="Century Schoolbook" w:eastAsia="Century Schoolbook" w:hAnsi="Century Schoolbook" w:cs="Century Schoolbook"/>
                <w:snapToGrid/>
                <w:kern w:val="0"/>
                <w:sz w:val="28"/>
                <w:u w:val="single"/>
                <w:lang w:val="en"/>
                <w14:ligatures w14:val="none"/>
              </w:rPr>
              <w:t xml:space="preserve"> </w:t>
            </w:r>
          </w:p>
          <w:p w14:paraId="7FC43BF9" w14:textId="1F2D48D7" w:rsidR="00A2789C" w:rsidRPr="004C4607" w:rsidRDefault="00A2789C" w:rsidP="00A2789C">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 xml:space="preserve">Rosemarie </w:t>
            </w:r>
            <w:r w:rsidR="004A6FF8" w:rsidRPr="004A6FF8">
              <w:rPr>
                <w:rFonts w:ascii="Century Schoolbook" w:eastAsia="Century Schoolbook" w:hAnsi="Century Schoolbook" w:cs="Century Schoolbook"/>
                <w:snapToGrid/>
                <w:kern w:val="0"/>
                <w:sz w:val="28"/>
                <w:lang w:val="en"/>
                <w14:ligatures w14:val="none"/>
              </w:rPr>
              <w:t>Peña</w:t>
            </w:r>
            <w:r w:rsidR="004A6FF8">
              <w:rPr>
                <w:rFonts w:ascii="Century Schoolbook" w:eastAsia="Century Schoolbook" w:hAnsi="Century Schoolbook" w:cs="Century Schoolbook"/>
                <w:snapToGrid/>
                <w:kern w:val="0"/>
                <w:sz w:val="28"/>
                <w:lang w:val="en"/>
                <w14:ligatures w14:val="none"/>
              </w:rPr>
              <w:t>-</w:t>
            </w:r>
            <w:r w:rsidRPr="004C4607">
              <w:rPr>
                <w:rFonts w:ascii="Century Schoolbook" w:eastAsia="Century Schoolbook" w:hAnsi="Century Schoolbook" w:cs="Century Schoolbook"/>
                <w:snapToGrid/>
                <w:kern w:val="0"/>
                <w:sz w:val="28"/>
                <w:lang w:val="en"/>
                <w14:ligatures w14:val="none"/>
              </w:rPr>
              <w:t xml:space="preserve">Lynch, Director </w:t>
            </w:r>
          </w:p>
          <w:p w14:paraId="263DC2E2" w14:textId="77777777" w:rsidR="00A2789C" w:rsidRPr="004C4607" w:rsidRDefault="00A2789C" w:rsidP="00A2789C">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 xml:space="preserve">Maricopa County Office of Public Defense Services </w:t>
            </w:r>
          </w:p>
        </w:tc>
        <w:tc>
          <w:tcPr>
            <w:tcW w:w="44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A6A22A8" w14:textId="77777777" w:rsidR="00A2789C" w:rsidRPr="004C4607" w:rsidRDefault="00A2789C" w:rsidP="00A2789C">
            <w:pPr>
              <w:spacing w:after="0" w:line="240" w:lineRule="auto"/>
              <w:rPr>
                <w:rFonts w:ascii="Century Schoolbook" w:eastAsia="Century Schoolbook" w:hAnsi="Century Schoolbook" w:cs="Century Schoolbook"/>
                <w:snapToGrid/>
                <w:kern w:val="0"/>
                <w:sz w:val="28"/>
                <w:u w:val="single"/>
                <w:lang w:val="en"/>
                <w14:ligatures w14:val="none"/>
              </w:rPr>
            </w:pPr>
            <w:r w:rsidRPr="004C4607">
              <w:rPr>
                <w:rFonts w:ascii="Century Schoolbook" w:eastAsia="Century Schoolbook" w:hAnsi="Century Schoolbook" w:cs="Century Schoolbook"/>
                <w:snapToGrid/>
                <w:kern w:val="0"/>
                <w:sz w:val="28"/>
                <w:lang w:val="en"/>
                <w14:ligatures w14:val="none"/>
              </w:rPr>
              <w:t>By</w:t>
            </w:r>
            <w:r w:rsidRPr="004C4607">
              <w:rPr>
                <w:rFonts w:ascii="Century Schoolbook" w:eastAsia="Century Schoolbook" w:hAnsi="Century Schoolbook" w:cs="Century Schoolbook"/>
                <w:snapToGrid/>
                <w:kern w:val="0"/>
                <w:sz w:val="28"/>
                <w:u w:val="single"/>
                <w:lang w:val="en"/>
                <w14:ligatures w14:val="none"/>
              </w:rPr>
              <w:t xml:space="preserve">   </w:t>
            </w:r>
            <w:r w:rsidRPr="004C4607">
              <w:rPr>
                <w:rFonts w:ascii="Century Schoolbook" w:eastAsia="Century Schoolbook" w:hAnsi="Century Schoolbook" w:cs="Century Schoolbook"/>
                <w:snapToGrid/>
                <w:kern w:val="0"/>
                <w:sz w:val="28"/>
                <w:u w:val="single"/>
                <w:lang w:val="en"/>
                <w14:ligatures w14:val="none"/>
              </w:rPr>
              <w:tab/>
              <w:t xml:space="preserve">/s/ </w:t>
            </w:r>
            <w:r w:rsidRPr="004C4607">
              <w:rPr>
                <w:rFonts w:ascii="Century Schoolbook" w:eastAsia="Century Schoolbook" w:hAnsi="Century Schoolbook" w:cs="Century Schoolbook"/>
                <w:i/>
                <w:snapToGrid/>
                <w:kern w:val="0"/>
                <w:sz w:val="28"/>
                <w:u w:val="single"/>
                <w:lang w:val="en"/>
                <w14:ligatures w14:val="none"/>
              </w:rPr>
              <w:t>Gary Kula</w:t>
            </w:r>
          </w:p>
          <w:p w14:paraId="44C0569B" w14:textId="77777777" w:rsidR="00A2789C" w:rsidRPr="004C4607" w:rsidRDefault="00A2789C" w:rsidP="00A2789C">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Gary Kula, Director</w:t>
            </w:r>
          </w:p>
          <w:p w14:paraId="21C74E67" w14:textId="77777777" w:rsidR="00A2789C" w:rsidRPr="004C4607" w:rsidRDefault="00A2789C" w:rsidP="00A2789C">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Maricopa County Public Defender’s Office</w:t>
            </w:r>
          </w:p>
        </w:tc>
      </w:tr>
      <w:tr w:rsidR="00A2789C" w:rsidRPr="004C4607" w14:paraId="46DFFED3" w14:textId="77777777" w:rsidTr="003F6206">
        <w:tc>
          <w:tcPr>
            <w:tcW w:w="49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1936C2E" w14:textId="77777777" w:rsidR="00A2789C" w:rsidRPr="004C4607" w:rsidRDefault="00A2789C" w:rsidP="00A2789C">
            <w:pPr>
              <w:spacing w:after="0" w:line="240" w:lineRule="auto"/>
              <w:rPr>
                <w:rFonts w:ascii="Century Schoolbook" w:eastAsia="Century Schoolbook" w:hAnsi="Century Schoolbook" w:cs="Century Schoolbook"/>
                <w:snapToGrid/>
                <w:kern w:val="0"/>
                <w:sz w:val="28"/>
                <w:u w:val="single"/>
                <w:lang w:val="en"/>
                <w14:ligatures w14:val="none"/>
              </w:rPr>
            </w:pPr>
            <w:r w:rsidRPr="004C4607">
              <w:rPr>
                <w:rFonts w:ascii="Century Schoolbook" w:eastAsia="Century Schoolbook" w:hAnsi="Century Schoolbook" w:cs="Century Schoolbook"/>
                <w:snapToGrid/>
                <w:kern w:val="0"/>
                <w:sz w:val="28"/>
                <w:lang w:val="en"/>
                <w14:ligatures w14:val="none"/>
              </w:rPr>
              <w:t>By</w:t>
            </w:r>
            <w:r w:rsidRPr="004C4607">
              <w:rPr>
                <w:rFonts w:ascii="Century Schoolbook" w:eastAsia="Century Schoolbook" w:hAnsi="Century Schoolbook" w:cs="Century Schoolbook"/>
                <w:snapToGrid/>
                <w:kern w:val="0"/>
                <w:sz w:val="28"/>
                <w:u w:val="single"/>
                <w:lang w:val="en"/>
                <w14:ligatures w14:val="none"/>
              </w:rPr>
              <w:t xml:space="preserve">   </w:t>
            </w:r>
            <w:r w:rsidRPr="004C4607">
              <w:rPr>
                <w:rFonts w:ascii="Century Schoolbook" w:eastAsia="Century Schoolbook" w:hAnsi="Century Schoolbook" w:cs="Century Schoolbook"/>
                <w:snapToGrid/>
                <w:kern w:val="0"/>
                <w:sz w:val="28"/>
                <w:u w:val="single"/>
                <w:lang w:val="en"/>
                <w14:ligatures w14:val="none"/>
              </w:rPr>
              <w:tab/>
              <w:t xml:space="preserve">/s/ </w:t>
            </w:r>
            <w:r w:rsidRPr="004C4607">
              <w:rPr>
                <w:rFonts w:ascii="Century Schoolbook" w:eastAsia="Century Schoolbook" w:hAnsi="Century Schoolbook" w:cs="Century Schoolbook"/>
                <w:i/>
                <w:snapToGrid/>
                <w:kern w:val="0"/>
                <w:sz w:val="28"/>
                <w:u w:val="single"/>
                <w:lang w:val="en"/>
                <w14:ligatures w14:val="none"/>
              </w:rPr>
              <w:t>Steve Koestner</w:t>
            </w:r>
            <w:r w:rsidRPr="004C4607">
              <w:rPr>
                <w:rFonts w:ascii="Century Schoolbook" w:eastAsia="Century Schoolbook" w:hAnsi="Century Schoolbook" w:cs="Century Schoolbook"/>
                <w:snapToGrid/>
                <w:kern w:val="0"/>
                <w:sz w:val="28"/>
                <w:u w:val="single"/>
                <w:lang w:val="en"/>
                <w14:ligatures w14:val="none"/>
              </w:rPr>
              <w:t xml:space="preserve">                         </w:t>
            </w:r>
            <w:r w:rsidRPr="004C4607">
              <w:rPr>
                <w:rFonts w:ascii="Century Schoolbook" w:eastAsia="Century Schoolbook" w:hAnsi="Century Schoolbook" w:cs="Century Schoolbook"/>
                <w:snapToGrid/>
                <w:kern w:val="0"/>
                <w:sz w:val="28"/>
                <w:lang w:val="en"/>
                <w14:ligatures w14:val="none"/>
              </w:rPr>
              <w:t xml:space="preserve"> </w:t>
            </w:r>
          </w:p>
          <w:p w14:paraId="0FA9DC48" w14:textId="77777777" w:rsidR="00A2789C" w:rsidRPr="004C4607" w:rsidRDefault="00A2789C" w:rsidP="00A2789C">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Steve Koestner, Director</w:t>
            </w:r>
          </w:p>
          <w:p w14:paraId="02747926" w14:textId="77777777" w:rsidR="00A2789C" w:rsidRPr="004C4607" w:rsidRDefault="00A2789C" w:rsidP="00A2789C">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 xml:space="preserve">Maricopa County Office of the Legal Advocate </w:t>
            </w:r>
          </w:p>
        </w:tc>
        <w:tc>
          <w:tcPr>
            <w:tcW w:w="44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9584E41" w14:textId="77777777" w:rsidR="00A2789C" w:rsidRPr="004C4607" w:rsidRDefault="00A2789C" w:rsidP="00A2789C">
            <w:pPr>
              <w:spacing w:after="0" w:line="240" w:lineRule="auto"/>
              <w:rPr>
                <w:rFonts w:ascii="Century Schoolbook" w:eastAsia="Century Schoolbook" w:hAnsi="Century Schoolbook" w:cs="Century Schoolbook"/>
                <w:snapToGrid/>
                <w:kern w:val="0"/>
                <w:sz w:val="28"/>
                <w:u w:val="single"/>
                <w:lang w:val="en"/>
                <w14:ligatures w14:val="none"/>
              </w:rPr>
            </w:pPr>
            <w:r w:rsidRPr="004C4607">
              <w:rPr>
                <w:rFonts w:ascii="Century Schoolbook" w:eastAsia="Century Schoolbook" w:hAnsi="Century Schoolbook" w:cs="Century Schoolbook"/>
                <w:snapToGrid/>
                <w:kern w:val="0"/>
                <w:sz w:val="28"/>
                <w:lang w:val="en"/>
                <w14:ligatures w14:val="none"/>
              </w:rPr>
              <w:t>By</w:t>
            </w:r>
            <w:r w:rsidRPr="004C4607">
              <w:rPr>
                <w:rFonts w:ascii="Century Schoolbook" w:eastAsia="Century Schoolbook" w:hAnsi="Century Schoolbook" w:cs="Century Schoolbook"/>
                <w:snapToGrid/>
                <w:kern w:val="0"/>
                <w:sz w:val="28"/>
                <w:u w:val="single"/>
                <w:lang w:val="en"/>
                <w14:ligatures w14:val="none"/>
              </w:rPr>
              <w:t xml:space="preserve">   </w:t>
            </w:r>
            <w:r w:rsidRPr="004C4607">
              <w:rPr>
                <w:rFonts w:ascii="Century Schoolbook" w:eastAsia="Century Schoolbook" w:hAnsi="Century Schoolbook" w:cs="Century Schoolbook"/>
                <w:snapToGrid/>
                <w:kern w:val="0"/>
                <w:sz w:val="28"/>
                <w:u w:val="single"/>
                <w:lang w:val="en"/>
                <w14:ligatures w14:val="none"/>
              </w:rPr>
              <w:tab/>
              <w:t xml:space="preserve">/s/ </w:t>
            </w:r>
            <w:r w:rsidRPr="004C4607">
              <w:rPr>
                <w:rFonts w:ascii="Century Schoolbook" w:eastAsia="Century Schoolbook" w:hAnsi="Century Schoolbook" w:cs="Century Schoolbook"/>
                <w:i/>
                <w:snapToGrid/>
                <w:kern w:val="0"/>
                <w:sz w:val="28"/>
                <w:u w:val="single"/>
                <w:lang w:val="en"/>
                <w14:ligatures w14:val="none"/>
              </w:rPr>
              <w:t>Shannon Burns</w:t>
            </w:r>
          </w:p>
          <w:p w14:paraId="5BBEF296" w14:textId="77777777" w:rsidR="00A2789C" w:rsidRPr="004C4607" w:rsidRDefault="00A2789C" w:rsidP="00A2789C">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Shannon Burns, Director</w:t>
            </w:r>
          </w:p>
          <w:p w14:paraId="476D4AEB" w14:textId="77777777" w:rsidR="00A2789C" w:rsidRPr="004C4607" w:rsidRDefault="00A2789C" w:rsidP="00A2789C">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Maricopa County Office of the Public Advocate</w:t>
            </w:r>
          </w:p>
        </w:tc>
      </w:tr>
      <w:tr w:rsidR="00A2789C" w:rsidRPr="004C4607" w14:paraId="4BEA487F" w14:textId="77777777" w:rsidTr="003F6206">
        <w:tc>
          <w:tcPr>
            <w:tcW w:w="49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A3FBC3F" w14:textId="77777777" w:rsidR="00A2789C" w:rsidRPr="004C4607" w:rsidRDefault="00A2789C" w:rsidP="00A2789C">
            <w:pPr>
              <w:spacing w:after="0" w:line="240" w:lineRule="auto"/>
              <w:rPr>
                <w:rFonts w:ascii="Century Schoolbook" w:eastAsia="Century Schoolbook" w:hAnsi="Century Schoolbook" w:cs="Century Schoolbook"/>
                <w:i/>
                <w:snapToGrid/>
                <w:kern w:val="0"/>
                <w:sz w:val="28"/>
                <w:u w:val="single"/>
                <w:lang w:val="en"/>
                <w14:ligatures w14:val="none"/>
              </w:rPr>
            </w:pPr>
            <w:r w:rsidRPr="004C4607">
              <w:rPr>
                <w:rFonts w:ascii="Century Schoolbook" w:eastAsia="Century Schoolbook" w:hAnsi="Century Schoolbook" w:cs="Century Schoolbook"/>
                <w:snapToGrid/>
                <w:kern w:val="0"/>
                <w:sz w:val="28"/>
                <w:lang w:val="en"/>
                <w14:ligatures w14:val="none"/>
              </w:rPr>
              <w:t>By</w:t>
            </w:r>
            <w:r w:rsidRPr="004C4607">
              <w:rPr>
                <w:rFonts w:ascii="Century Schoolbook" w:eastAsia="Century Schoolbook" w:hAnsi="Century Schoolbook" w:cs="Century Schoolbook"/>
                <w:snapToGrid/>
                <w:kern w:val="0"/>
                <w:sz w:val="28"/>
                <w:u w:val="single"/>
                <w:lang w:val="en"/>
                <w14:ligatures w14:val="none"/>
              </w:rPr>
              <w:t xml:space="preserve">   </w:t>
            </w:r>
            <w:r w:rsidRPr="004C4607">
              <w:rPr>
                <w:rFonts w:ascii="Century Schoolbook" w:eastAsia="Century Schoolbook" w:hAnsi="Century Schoolbook" w:cs="Century Schoolbook"/>
                <w:snapToGrid/>
                <w:kern w:val="0"/>
                <w:sz w:val="28"/>
                <w:u w:val="single"/>
                <w:lang w:val="en"/>
                <w14:ligatures w14:val="none"/>
              </w:rPr>
              <w:tab/>
              <w:t xml:space="preserve">/s/ </w:t>
            </w:r>
            <w:r w:rsidRPr="004C4607">
              <w:rPr>
                <w:rFonts w:ascii="Century Schoolbook" w:eastAsia="Century Schoolbook" w:hAnsi="Century Schoolbook" w:cs="Century Schoolbook"/>
                <w:i/>
                <w:snapToGrid/>
                <w:kern w:val="0"/>
                <w:sz w:val="28"/>
                <w:u w:val="single"/>
                <w:lang w:val="en"/>
                <w14:ligatures w14:val="none"/>
              </w:rPr>
              <w:t>Sherri McGuire Lawson</w:t>
            </w:r>
          </w:p>
          <w:p w14:paraId="1A257D54" w14:textId="77777777" w:rsidR="00A2789C" w:rsidRPr="004C4607" w:rsidRDefault="00A2789C" w:rsidP="00A2789C">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Sherri McGuire Lawson, Director</w:t>
            </w:r>
          </w:p>
          <w:p w14:paraId="2B45BB16" w14:textId="77777777" w:rsidR="00A2789C" w:rsidRPr="004C4607" w:rsidRDefault="00A2789C" w:rsidP="00A2789C">
            <w:pPr>
              <w:spacing w:after="0" w:line="240" w:lineRule="auto"/>
              <w:rPr>
                <w:rFonts w:ascii="Century Schoolbook" w:eastAsia="Century Schoolbook" w:hAnsi="Century Schoolbook" w:cs="Century Schoolbook"/>
                <w:snapToGrid/>
                <w:kern w:val="0"/>
                <w:sz w:val="28"/>
                <w:lang w:val="en"/>
                <w14:ligatures w14:val="none"/>
              </w:rPr>
            </w:pPr>
            <w:r w:rsidRPr="004C4607">
              <w:rPr>
                <w:rFonts w:ascii="Century Schoolbook" w:eastAsia="Century Schoolbook" w:hAnsi="Century Schoolbook" w:cs="Century Schoolbook"/>
                <w:snapToGrid/>
                <w:kern w:val="0"/>
                <w:sz w:val="28"/>
                <w:lang w:val="en"/>
                <w14:ligatures w14:val="none"/>
              </w:rPr>
              <w:t>Maricopa County Office of the Legal Defender</w:t>
            </w:r>
          </w:p>
        </w:tc>
        <w:tc>
          <w:tcPr>
            <w:tcW w:w="44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D26FDFB" w14:textId="77777777" w:rsidR="00A2789C" w:rsidRPr="004C4607" w:rsidRDefault="00A2789C" w:rsidP="00A2789C">
            <w:pPr>
              <w:widowControl w:val="0"/>
              <w:pBdr>
                <w:top w:val="nil"/>
                <w:left w:val="nil"/>
                <w:bottom w:val="nil"/>
                <w:right w:val="nil"/>
                <w:between w:val="nil"/>
              </w:pBdr>
              <w:spacing w:after="0" w:line="240" w:lineRule="auto"/>
              <w:rPr>
                <w:rFonts w:ascii="Century Schoolbook" w:eastAsia="Century Schoolbook" w:hAnsi="Century Schoolbook" w:cs="Century Schoolbook"/>
                <w:snapToGrid/>
                <w:kern w:val="0"/>
                <w:sz w:val="28"/>
                <w:lang w:val="en"/>
                <w14:ligatures w14:val="none"/>
              </w:rPr>
            </w:pPr>
          </w:p>
        </w:tc>
      </w:tr>
    </w:tbl>
    <w:p w14:paraId="2ACE319D" w14:textId="77777777" w:rsidR="00A2789C" w:rsidRPr="004C4607" w:rsidRDefault="00A2789C" w:rsidP="00A2789C">
      <w:pPr>
        <w:spacing w:after="0" w:line="480" w:lineRule="auto"/>
        <w:rPr>
          <w:rFonts w:ascii="Century Schoolbook" w:hAnsi="Century Schoolbook"/>
          <w:sz w:val="28"/>
        </w:rPr>
      </w:pPr>
    </w:p>
    <w:sectPr w:rsidR="00A2789C" w:rsidRPr="004C4607" w:rsidSect="004C4607">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168CC" w14:textId="77777777" w:rsidR="0028672F" w:rsidRDefault="0028672F" w:rsidP="00A667A8">
      <w:pPr>
        <w:spacing w:after="0" w:line="240" w:lineRule="auto"/>
      </w:pPr>
      <w:r>
        <w:separator/>
      </w:r>
    </w:p>
  </w:endnote>
  <w:endnote w:type="continuationSeparator" w:id="0">
    <w:p w14:paraId="49F9C0E1" w14:textId="77777777" w:rsidR="0028672F" w:rsidRDefault="0028672F" w:rsidP="00A66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264447"/>
      <w:docPartObj>
        <w:docPartGallery w:val="Page Numbers (Bottom of Page)"/>
        <w:docPartUnique/>
      </w:docPartObj>
    </w:sdtPr>
    <w:sdtEndPr>
      <w:rPr>
        <w:rFonts w:ascii="Century Schoolbook" w:hAnsi="Century Schoolbook"/>
        <w:noProof/>
        <w:sz w:val="28"/>
      </w:rPr>
    </w:sdtEndPr>
    <w:sdtContent>
      <w:p w14:paraId="62DF049F" w14:textId="21D9C161" w:rsidR="004C4607" w:rsidRPr="004C4607" w:rsidRDefault="004C4607">
        <w:pPr>
          <w:pStyle w:val="Footer"/>
          <w:jc w:val="center"/>
          <w:rPr>
            <w:rFonts w:ascii="Century Schoolbook" w:hAnsi="Century Schoolbook"/>
            <w:sz w:val="28"/>
          </w:rPr>
        </w:pPr>
        <w:r w:rsidRPr="004C4607">
          <w:rPr>
            <w:rFonts w:ascii="Century Schoolbook" w:hAnsi="Century Schoolbook"/>
            <w:sz w:val="28"/>
          </w:rPr>
          <w:fldChar w:fldCharType="begin"/>
        </w:r>
        <w:r w:rsidRPr="004C4607">
          <w:rPr>
            <w:rFonts w:ascii="Century Schoolbook" w:hAnsi="Century Schoolbook"/>
            <w:sz w:val="28"/>
          </w:rPr>
          <w:instrText xml:space="preserve"> PAGE   \* MERGEFORMAT </w:instrText>
        </w:r>
        <w:r w:rsidRPr="004C4607">
          <w:rPr>
            <w:rFonts w:ascii="Century Schoolbook" w:hAnsi="Century Schoolbook"/>
            <w:sz w:val="28"/>
          </w:rPr>
          <w:fldChar w:fldCharType="separate"/>
        </w:r>
        <w:r w:rsidRPr="004C4607">
          <w:rPr>
            <w:rFonts w:ascii="Century Schoolbook" w:hAnsi="Century Schoolbook"/>
            <w:noProof/>
            <w:sz w:val="28"/>
          </w:rPr>
          <w:t>2</w:t>
        </w:r>
        <w:r w:rsidRPr="004C4607">
          <w:rPr>
            <w:rFonts w:ascii="Century Schoolbook" w:hAnsi="Century Schoolbook"/>
            <w:noProof/>
            <w:sz w:val="28"/>
          </w:rPr>
          <w:fldChar w:fldCharType="end"/>
        </w:r>
      </w:p>
    </w:sdtContent>
  </w:sdt>
  <w:p w14:paraId="650789A6" w14:textId="77777777" w:rsidR="004C4607" w:rsidRDefault="004C4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127B2" w14:textId="77777777" w:rsidR="0028672F" w:rsidRDefault="0028672F" w:rsidP="00A667A8">
      <w:pPr>
        <w:spacing w:after="0" w:line="240" w:lineRule="auto"/>
      </w:pPr>
      <w:r>
        <w:separator/>
      </w:r>
    </w:p>
  </w:footnote>
  <w:footnote w:type="continuationSeparator" w:id="0">
    <w:p w14:paraId="3C790086" w14:textId="77777777" w:rsidR="0028672F" w:rsidRDefault="0028672F" w:rsidP="00A667A8">
      <w:pPr>
        <w:spacing w:after="0" w:line="240" w:lineRule="auto"/>
      </w:pPr>
      <w:r>
        <w:continuationSeparator/>
      </w:r>
    </w:p>
  </w:footnote>
  <w:footnote w:id="1">
    <w:p w14:paraId="5BE1D687" w14:textId="77777777" w:rsidR="00A667A8" w:rsidRDefault="00A667A8" w:rsidP="00A667A8">
      <w:pPr>
        <w:spacing w:line="240" w:lineRule="auto"/>
        <w:rPr>
          <w:rFonts w:ascii="Century Schoolbook" w:eastAsia="Century Schoolbook" w:hAnsi="Century Schoolbook" w:cs="Century Schoolbook"/>
          <w:sz w:val="28"/>
        </w:rPr>
      </w:pPr>
      <w:r>
        <w:rPr>
          <w:vertAlign w:val="superscript"/>
        </w:rPr>
        <w:footnoteRef/>
      </w:r>
      <w:r>
        <w:rPr>
          <w:rFonts w:ascii="Century Schoolbook" w:eastAsia="Century Schoolbook" w:hAnsi="Century Schoolbook" w:cs="Century Schoolbook"/>
          <w:sz w:val="28"/>
        </w:rPr>
        <w:t xml:space="preserve"> </w:t>
      </w:r>
      <w:r>
        <w:rPr>
          <w:rFonts w:ascii="Century Schoolbook" w:eastAsia="Century Schoolbook" w:hAnsi="Century Schoolbook" w:cs="Century Schoolbook"/>
          <w:i/>
          <w:sz w:val="28"/>
        </w:rPr>
        <w:t>Maricopa County Quick Facts</w:t>
      </w:r>
      <w:r>
        <w:rPr>
          <w:rFonts w:ascii="Century Schoolbook" w:eastAsia="Century Schoolbook" w:hAnsi="Century Schoolbook" w:cs="Century Schoolbook"/>
          <w:sz w:val="28"/>
        </w:rPr>
        <w:t xml:space="preserve">, </w:t>
      </w:r>
      <w:r>
        <w:rPr>
          <w:rFonts w:ascii="Century Schoolbook" w:eastAsia="Century Schoolbook" w:hAnsi="Century Schoolbook" w:cs="Century Schoolbook"/>
          <w:smallCaps/>
          <w:sz w:val="28"/>
        </w:rPr>
        <w:t>Maricopa County</w:t>
      </w:r>
      <w:r>
        <w:rPr>
          <w:rFonts w:ascii="Century Schoolbook" w:eastAsia="Century Schoolbook" w:hAnsi="Century Schoolbook" w:cs="Century Schoolbook"/>
          <w:sz w:val="28"/>
        </w:rPr>
        <w:t xml:space="preserve">, </w:t>
      </w:r>
      <w:hyperlink r:id="rId1">
        <w:r>
          <w:rPr>
            <w:rFonts w:ascii="Century Schoolbook" w:eastAsia="Century Schoolbook" w:hAnsi="Century Schoolbook" w:cs="Century Schoolbook"/>
            <w:color w:val="1155CC"/>
            <w:sz w:val="28"/>
            <w:u w:val="single"/>
          </w:rPr>
          <w:t>https://www.maricopa.gov/3598/County-Quick-Facts</w:t>
        </w:r>
      </w:hyperlink>
      <w:r>
        <w:rPr>
          <w:rFonts w:ascii="Century Schoolbook" w:eastAsia="Century Schoolbook" w:hAnsi="Century Schoolbook" w:cs="Century Schoolbook"/>
          <w:sz w:val="28"/>
        </w:rPr>
        <w:t xml:space="preserve"> (last accessed March 14, 2024).</w:t>
      </w:r>
    </w:p>
  </w:footnote>
  <w:footnote w:id="2">
    <w:p w14:paraId="01EFD0CA" w14:textId="77777777" w:rsidR="00A667A8" w:rsidRDefault="00A667A8" w:rsidP="00A667A8">
      <w:pPr>
        <w:spacing w:line="240" w:lineRule="auto"/>
        <w:rPr>
          <w:rFonts w:ascii="Century Schoolbook" w:eastAsia="Century Schoolbook" w:hAnsi="Century Schoolbook" w:cs="Century Schoolbook"/>
          <w:sz w:val="28"/>
        </w:rPr>
      </w:pPr>
      <w:r>
        <w:rPr>
          <w:vertAlign w:val="superscript"/>
        </w:rPr>
        <w:footnoteRef/>
      </w:r>
      <w:r>
        <w:rPr>
          <w:rFonts w:ascii="Century Schoolbook" w:eastAsia="Century Schoolbook" w:hAnsi="Century Schoolbook" w:cs="Century Schoolbook"/>
          <w:sz w:val="28"/>
        </w:rPr>
        <w:t xml:space="preserve"> </w:t>
      </w:r>
      <w:r>
        <w:rPr>
          <w:rFonts w:ascii="Century Schoolbook" w:eastAsia="Century Schoolbook" w:hAnsi="Century Schoolbook" w:cs="Century Schoolbook"/>
          <w:i/>
          <w:sz w:val="28"/>
        </w:rPr>
        <w:t>Statistics: Felony Filings by Fiscal Year</w:t>
      </w:r>
      <w:r>
        <w:rPr>
          <w:rFonts w:ascii="Century Schoolbook" w:eastAsia="Century Schoolbook" w:hAnsi="Century Schoolbook" w:cs="Century Schoolbook"/>
          <w:sz w:val="28"/>
        </w:rPr>
        <w:t xml:space="preserve">, </w:t>
      </w:r>
      <w:r>
        <w:rPr>
          <w:rFonts w:ascii="Century Schoolbook" w:eastAsia="Century Schoolbook" w:hAnsi="Century Schoolbook" w:cs="Century Schoolbook"/>
          <w:smallCaps/>
          <w:sz w:val="28"/>
        </w:rPr>
        <w:t>Ariz. Sup. Ct.</w:t>
      </w:r>
      <w:r>
        <w:rPr>
          <w:rFonts w:ascii="Century Schoolbook" w:eastAsia="Century Schoolbook" w:hAnsi="Century Schoolbook" w:cs="Century Schoolbook"/>
          <w:sz w:val="28"/>
        </w:rPr>
        <w:t xml:space="preserve">, </w:t>
      </w:r>
      <w:hyperlink r:id="rId2">
        <w:r>
          <w:rPr>
            <w:rFonts w:ascii="Century Schoolbook" w:eastAsia="Century Schoolbook" w:hAnsi="Century Schoolbook" w:cs="Century Schoolbook"/>
            <w:color w:val="1155CC"/>
            <w:sz w:val="28"/>
            <w:u w:val="single"/>
          </w:rPr>
          <w:t>https://www.azcourts.gov/statistics/Interactive-Data-Dashboards/Felony-Filings</w:t>
        </w:r>
      </w:hyperlink>
      <w:r>
        <w:rPr>
          <w:rFonts w:ascii="Century Schoolbook" w:eastAsia="Century Schoolbook" w:hAnsi="Century Schoolbook" w:cs="Century Schoolbook"/>
          <w:sz w:val="28"/>
        </w:rPr>
        <w:t xml:space="preserve"> (last accessed March 14,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A3573"/>
    <w:multiLevelType w:val="hybridMultilevel"/>
    <w:tmpl w:val="95708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129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7A8"/>
    <w:rsid w:val="0000406D"/>
    <w:rsid w:val="00031D9E"/>
    <w:rsid w:val="0006281B"/>
    <w:rsid w:val="00075593"/>
    <w:rsid w:val="000C4723"/>
    <w:rsid w:val="000C7AB7"/>
    <w:rsid w:val="00101B7C"/>
    <w:rsid w:val="00113747"/>
    <w:rsid w:val="0016264C"/>
    <w:rsid w:val="001A28B1"/>
    <w:rsid w:val="001B1F47"/>
    <w:rsid w:val="001C6DDC"/>
    <w:rsid w:val="001E1B97"/>
    <w:rsid w:val="001F4E6B"/>
    <w:rsid w:val="00252755"/>
    <w:rsid w:val="0028672F"/>
    <w:rsid w:val="003227E0"/>
    <w:rsid w:val="00392DE8"/>
    <w:rsid w:val="00393FCE"/>
    <w:rsid w:val="003E753C"/>
    <w:rsid w:val="003F51A5"/>
    <w:rsid w:val="00436A19"/>
    <w:rsid w:val="00455F50"/>
    <w:rsid w:val="00485F0C"/>
    <w:rsid w:val="004915EB"/>
    <w:rsid w:val="004A6FF8"/>
    <w:rsid w:val="004A7A85"/>
    <w:rsid w:val="004B4ACC"/>
    <w:rsid w:val="004C4607"/>
    <w:rsid w:val="004F1EB6"/>
    <w:rsid w:val="004F51A5"/>
    <w:rsid w:val="00536CC7"/>
    <w:rsid w:val="00546DA0"/>
    <w:rsid w:val="005754C0"/>
    <w:rsid w:val="005A3045"/>
    <w:rsid w:val="006519CB"/>
    <w:rsid w:val="006B7F92"/>
    <w:rsid w:val="006D5251"/>
    <w:rsid w:val="007436AB"/>
    <w:rsid w:val="00775500"/>
    <w:rsid w:val="007B4487"/>
    <w:rsid w:val="007C0149"/>
    <w:rsid w:val="00812CCF"/>
    <w:rsid w:val="0081348C"/>
    <w:rsid w:val="00916EB4"/>
    <w:rsid w:val="009555B2"/>
    <w:rsid w:val="0099013A"/>
    <w:rsid w:val="009977A0"/>
    <w:rsid w:val="009E16E0"/>
    <w:rsid w:val="00A05A83"/>
    <w:rsid w:val="00A2789C"/>
    <w:rsid w:val="00A3221E"/>
    <w:rsid w:val="00A6107D"/>
    <w:rsid w:val="00A667A8"/>
    <w:rsid w:val="00AA3F10"/>
    <w:rsid w:val="00AC1070"/>
    <w:rsid w:val="00C05D80"/>
    <w:rsid w:val="00C4008F"/>
    <w:rsid w:val="00C420E8"/>
    <w:rsid w:val="00C42237"/>
    <w:rsid w:val="00C53BD7"/>
    <w:rsid w:val="00C666D8"/>
    <w:rsid w:val="00C85568"/>
    <w:rsid w:val="00D3434F"/>
    <w:rsid w:val="00D777DF"/>
    <w:rsid w:val="00DA0941"/>
    <w:rsid w:val="00DA4B08"/>
    <w:rsid w:val="00DB159F"/>
    <w:rsid w:val="00DC00F0"/>
    <w:rsid w:val="00E02F4B"/>
    <w:rsid w:val="00E229A9"/>
    <w:rsid w:val="00E322E8"/>
    <w:rsid w:val="00E57DFD"/>
    <w:rsid w:val="00EE700F"/>
    <w:rsid w:val="00EF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E38D1"/>
  <w15:chartTrackingRefBased/>
  <w15:docId w15:val="{C30921E5-2418-4EFD-8EE9-C9637E9A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imes New Roman"/>
        <w:snapToGrid w:val="0"/>
        <w:kern w:val="2"/>
        <w:sz w:val="24"/>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7A8"/>
    <w:rPr>
      <w:color w:val="0563C1" w:themeColor="hyperlink"/>
      <w:u w:val="single"/>
    </w:rPr>
  </w:style>
  <w:style w:type="character" w:styleId="UnresolvedMention">
    <w:name w:val="Unresolved Mention"/>
    <w:basedOn w:val="DefaultParagraphFont"/>
    <w:uiPriority w:val="99"/>
    <w:semiHidden/>
    <w:unhideWhenUsed/>
    <w:rsid w:val="00A667A8"/>
    <w:rPr>
      <w:color w:val="605E5C"/>
      <w:shd w:val="clear" w:color="auto" w:fill="E1DFDD"/>
    </w:rPr>
  </w:style>
  <w:style w:type="paragraph" w:styleId="ListParagraph">
    <w:name w:val="List Paragraph"/>
    <w:basedOn w:val="Normal"/>
    <w:uiPriority w:val="34"/>
    <w:qFormat/>
    <w:rsid w:val="001B1F47"/>
    <w:pPr>
      <w:ind w:left="720"/>
      <w:contextualSpacing/>
    </w:pPr>
  </w:style>
  <w:style w:type="paragraph" w:styleId="Header">
    <w:name w:val="header"/>
    <w:basedOn w:val="Normal"/>
    <w:link w:val="HeaderChar"/>
    <w:uiPriority w:val="99"/>
    <w:unhideWhenUsed/>
    <w:rsid w:val="004C4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607"/>
  </w:style>
  <w:style w:type="paragraph" w:styleId="Footer">
    <w:name w:val="footer"/>
    <w:basedOn w:val="Normal"/>
    <w:link w:val="FooterChar"/>
    <w:uiPriority w:val="99"/>
    <w:unhideWhenUsed/>
    <w:rsid w:val="004C4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y.Kula@marico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semarie.Pena-Lynch@maricopa.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erri.Mcguire@maricopa.gov" TargetMode="External"/><Relationship Id="rId5" Type="http://schemas.openxmlformats.org/officeDocument/2006/relationships/footnotes" Target="footnotes.xml"/><Relationship Id="rId10" Type="http://schemas.openxmlformats.org/officeDocument/2006/relationships/hyperlink" Target="mailto:Shannon.Burns@maricopa.gov" TargetMode="External"/><Relationship Id="rId4" Type="http://schemas.openxmlformats.org/officeDocument/2006/relationships/webSettings" Target="webSettings.xml"/><Relationship Id="rId9" Type="http://schemas.openxmlformats.org/officeDocument/2006/relationships/hyperlink" Target="mailto:Steve.Koestner@maricopa.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zcourts.gov/statistics/Interactive-Data-Dashboards/Felony-Filings" TargetMode="External"/><Relationship Id="rId1" Type="http://schemas.openxmlformats.org/officeDocument/2006/relationships/hyperlink" Target="https://www.maricopa.gov/3598/County-Quick-F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Reller (OPD)</dc:creator>
  <cp:keywords/>
  <dc:description/>
  <cp:lastModifiedBy>Lina Garcia (OPD)</cp:lastModifiedBy>
  <cp:revision>4</cp:revision>
  <dcterms:created xsi:type="dcterms:W3CDTF">2024-04-13T00:14:00Z</dcterms:created>
  <dcterms:modified xsi:type="dcterms:W3CDTF">2024-04-29T18:00:00Z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819c5c81-38bd-4696-94d1-5106c3f6341c</vt:lpwstr>
  </property>
</Properties>
</file>