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6F44" w14:textId="1C5D4870" w:rsidR="00A00E0C" w:rsidRPr="009A2B30" w:rsidRDefault="00A00E0C" w:rsidP="00A00E0C">
      <w:pPr>
        <w:widowControl/>
        <w:tabs>
          <w:tab w:val="left" w:pos="5040"/>
        </w:tabs>
        <w:jc w:val="both"/>
        <w:rPr>
          <w:rFonts w:ascii="Times New Roman" w:hAnsi="Times New Roman"/>
          <w:sz w:val="26"/>
          <w:szCs w:val="26"/>
        </w:rPr>
      </w:pPr>
      <w:r w:rsidRPr="009A2B30">
        <w:rPr>
          <w:rFonts w:ascii="Times New Roman" w:hAnsi="Times New Roman"/>
          <w:sz w:val="26"/>
          <w:szCs w:val="26"/>
        </w:rPr>
        <w:t xml:space="preserve">Rosemarie </w:t>
      </w:r>
      <w:r w:rsidR="009B2E0D" w:rsidRPr="009A2B30">
        <w:rPr>
          <w:rFonts w:ascii="Times New Roman" w:hAnsi="Times New Roman"/>
          <w:sz w:val="26"/>
          <w:szCs w:val="26"/>
        </w:rPr>
        <w:t>Peña</w:t>
      </w:r>
      <w:r w:rsidRPr="009A2B30">
        <w:rPr>
          <w:rFonts w:ascii="Times New Roman" w:hAnsi="Times New Roman"/>
          <w:sz w:val="26"/>
          <w:szCs w:val="26"/>
        </w:rPr>
        <w:t>-Lynch</w:t>
      </w:r>
      <w:r w:rsidRPr="009A2B30">
        <w:rPr>
          <w:rFonts w:ascii="Times New Roman" w:hAnsi="Times New Roman"/>
          <w:sz w:val="26"/>
          <w:szCs w:val="26"/>
        </w:rPr>
        <w:tab/>
        <w:t>Gary Kula</w:t>
      </w:r>
    </w:p>
    <w:p w14:paraId="3D34614A" w14:textId="77777777" w:rsidR="00A00E0C" w:rsidRPr="009A2B30" w:rsidRDefault="00A00E0C" w:rsidP="00A00E0C">
      <w:pPr>
        <w:widowControl/>
        <w:tabs>
          <w:tab w:val="left" w:pos="5040"/>
        </w:tabs>
        <w:jc w:val="both"/>
        <w:rPr>
          <w:rFonts w:ascii="Times New Roman" w:hAnsi="Times New Roman"/>
          <w:sz w:val="26"/>
          <w:szCs w:val="26"/>
        </w:rPr>
      </w:pPr>
      <w:r w:rsidRPr="009A2B30">
        <w:rPr>
          <w:rFonts w:ascii="Times New Roman" w:hAnsi="Times New Roman"/>
          <w:sz w:val="26"/>
          <w:szCs w:val="26"/>
        </w:rPr>
        <w:t>Bar No 023400</w:t>
      </w:r>
      <w:r w:rsidRPr="009A2B30">
        <w:rPr>
          <w:rFonts w:ascii="Times New Roman" w:hAnsi="Times New Roman"/>
          <w:sz w:val="26"/>
          <w:szCs w:val="26"/>
        </w:rPr>
        <w:tab/>
        <w:t>Bar No. 012507</w:t>
      </w:r>
    </w:p>
    <w:p w14:paraId="1D8528B4" w14:textId="167A0875" w:rsidR="00A00E0C" w:rsidRPr="009A2B30" w:rsidRDefault="00A00E0C" w:rsidP="00A00E0C">
      <w:pPr>
        <w:widowControl/>
        <w:tabs>
          <w:tab w:val="left" w:pos="5040"/>
        </w:tabs>
        <w:jc w:val="both"/>
        <w:rPr>
          <w:rFonts w:ascii="Times New Roman" w:hAnsi="Times New Roman"/>
          <w:sz w:val="26"/>
          <w:szCs w:val="26"/>
        </w:rPr>
      </w:pPr>
      <w:r w:rsidRPr="009A2B30">
        <w:rPr>
          <w:rFonts w:ascii="Times New Roman" w:hAnsi="Times New Roman"/>
          <w:sz w:val="26"/>
          <w:szCs w:val="26"/>
        </w:rPr>
        <w:t>Mcpa. Cnty. Ofc. of Public Defense Svc.</w:t>
      </w:r>
      <w:r w:rsidRPr="009A2B30">
        <w:rPr>
          <w:rFonts w:ascii="Times New Roman" w:hAnsi="Times New Roman"/>
          <w:sz w:val="26"/>
          <w:szCs w:val="26"/>
        </w:rPr>
        <w:tab/>
        <w:t>Mcpa. Cnty. Public Defenders Ofc.</w:t>
      </w:r>
    </w:p>
    <w:p w14:paraId="18774C8C" w14:textId="77777777" w:rsidR="00A00E0C" w:rsidRPr="009A2B30" w:rsidRDefault="00A00E0C" w:rsidP="00A00E0C">
      <w:pPr>
        <w:widowControl/>
        <w:tabs>
          <w:tab w:val="left" w:pos="5040"/>
        </w:tabs>
        <w:jc w:val="both"/>
        <w:rPr>
          <w:rFonts w:ascii="Times New Roman" w:hAnsi="Times New Roman"/>
          <w:sz w:val="26"/>
          <w:szCs w:val="26"/>
        </w:rPr>
      </w:pPr>
      <w:r w:rsidRPr="009A2B30">
        <w:rPr>
          <w:rFonts w:ascii="Times New Roman" w:hAnsi="Times New Roman"/>
          <w:sz w:val="26"/>
          <w:szCs w:val="26"/>
        </w:rPr>
        <w:t>620 W. Jackson, Suite 3076</w:t>
      </w:r>
      <w:r w:rsidRPr="009A2B30">
        <w:rPr>
          <w:rFonts w:ascii="Times New Roman" w:hAnsi="Times New Roman"/>
          <w:sz w:val="26"/>
          <w:szCs w:val="26"/>
        </w:rPr>
        <w:tab/>
        <w:t>620 W. Jackson, Suite 4015</w:t>
      </w:r>
    </w:p>
    <w:p w14:paraId="33C05174" w14:textId="77777777" w:rsidR="00A00E0C" w:rsidRPr="009A2B30" w:rsidRDefault="00A00E0C" w:rsidP="00A00E0C">
      <w:pPr>
        <w:widowControl/>
        <w:tabs>
          <w:tab w:val="left" w:pos="5040"/>
        </w:tabs>
        <w:jc w:val="both"/>
        <w:rPr>
          <w:rFonts w:ascii="Times New Roman" w:hAnsi="Times New Roman"/>
          <w:sz w:val="26"/>
          <w:szCs w:val="26"/>
        </w:rPr>
      </w:pPr>
      <w:r w:rsidRPr="009A2B30">
        <w:rPr>
          <w:rFonts w:ascii="Times New Roman" w:hAnsi="Times New Roman"/>
          <w:sz w:val="26"/>
          <w:szCs w:val="26"/>
        </w:rPr>
        <w:t>Phoenix, AZ 85003</w:t>
      </w:r>
      <w:r w:rsidRPr="009A2B30">
        <w:rPr>
          <w:rFonts w:ascii="Times New Roman" w:hAnsi="Times New Roman"/>
          <w:sz w:val="26"/>
          <w:szCs w:val="26"/>
        </w:rPr>
        <w:tab/>
        <w:t>Phoenix, AZ 85003</w:t>
      </w:r>
    </w:p>
    <w:p w14:paraId="7401AAA0" w14:textId="77777777" w:rsidR="00A00E0C" w:rsidRPr="009A2B30" w:rsidRDefault="00A00E0C" w:rsidP="00A00E0C">
      <w:pPr>
        <w:widowControl/>
        <w:tabs>
          <w:tab w:val="left" w:pos="5040"/>
        </w:tabs>
        <w:jc w:val="both"/>
        <w:rPr>
          <w:rFonts w:ascii="Times New Roman" w:hAnsi="Times New Roman"/>
          <w:sz w:val="26"/>
          <w:szCs w:val="26"/>
        </w:rPr>
      </w:pPr>
      <w:r w:rsidRPr="009A2B30">
        <w:rPr>
          <w:rFonts w:ascii="Times New Roman" w:hAnsi="Times New Roman"/>
          <w:sz w:val="26"/>
          <w:szCs w:val="26"/>
        </w:rPr>
        <w:t>(602) 506-7228</w:t>
      </w:r>
      <w:r w:rsidRPr="009A2B30">
        <w:rPr>
          <w:rFonts w:ascii="Times New Roman" w:hAnsi="Times New Roman"/>
          <w:sz w:val="26"/>
          <w:szCs w:val="26"/>
        </w:rPr>
        <w:tab/>
        <w:t>(602) 506-7711</w:t>
      </w:r>
    </w:p>
    <w:p w14:paraId="7EFBB402" w14:textId="77777777" w:rsidR="00A00E0C" w:rsidRPr="009A2B30" w:rsidRDefault="00000000" w:rsidP="00A00E0C">
      <w:pPr>
        <w:widowControl/>
        <w:tabs>
          <w:tab w:val="left" w:pos="5040"/>
        </w:tabs>
        <w:jc w:val="both"/>
        <w:rPr>
          <w:rFonts w:ascii="Times New Roman" w:hAnsi="Times New Roman"/>
          <w:sz w:val="26"/>
          <w:szCs w:val="26"/>
        </w:rPr>
      </w:pPr>
      <w:hyperlink r:id="rId8" w:history="1">
        <w:r w:rsidR="00A00E0C" w:rsidRPr="009A2B30">
          <w:rPr>
            <w:rStyle w:val="Hyperlink"/>
            <w:rFonts w:ascii="Times New Roman" w:hAnsi="Times New Roman"/>
            <w:sz w:val="26"/>
            <w:szCs w:val="26"/>
          </w:rPr>
          <w:t>Rosemarie.Pena-Lynch@maricopa.gov</w:t>
        </w:r>
      </w:hyperlink>
      <w:r w:rsidR="00A00E0C" w:rsidRPr="009A2B30">
        <w:rPr>
          <w:rFonts w:ascii="Times New Roman" w:hAnsi="Times New Roman"/>
          <w:sz w:val="26"/>
          <w:szCs w:val="26"/>
        </w:rPr>
        <w:tab/>
      </w:r>
      <w:hyperlink r:id="rId9" w:history="1">
        <w:r w:rsidR="00A00E0C" w:rsidRPr="009A2B30">
          <w:rPr>
            <w:rStyle w:val="Hyperlink"/>
            <w:rFonts w:ascii="Times New Roman" w:hAnsi="Times New Roman"/>
            <w:sz w:val="26"/>
            <w:szCs w:val="26"/>
          </w:rPr>
          <w:t>Gary.Kula@maricopa.gov</w:t>
        </w:r>
      </w:hyperlink>
    </w:p>
    <w:p w14:paraId="1935A28C" w14:textId="77777777" w:rsidR="00A00E0C" w:rsidRPr="009A2B30" w:rsidRDefault="00A00E0C" w:rsidP="00A00E0C">
      <w:pPr>
        <w:widowControl/>
        <w:jc w:val="both"/>
        <w:rPr>
          <w:rFonts w:ascii="Times New Roman" w:hAnsi="Times New Roman"/>
          <w:sz w:val="26"/>
          <w:szCs w:val="26"/>
        </w:rPr>
      </w:pPr>
    </w:p>
    <w:p w14:paraId="39A9850A" w14:textId="77777777" w:rsidR="00A00E0C" w:rsidRPr="009A2B30" w:rsidRDefault="00A00E0C" w:rsidP="00A00E0C">
      <w:pPr>
        <w:widowControl/>
        <w:tabs>
          <w:tab w:val="left" w:pos="5040"/>
        </w:tabs>
        <w:jc w:val="both"/>
        <w:rPr>
          <w:rFonts w:ascii="Times New Roman" w:hAnsi="Times New Roman"/>
          <w:sz w:val="26"/>
          <w:szCs w:val="26"/>
        </w:rPr>
      </w:pPr>
      <w:r w:rsidRPr="009A2B30">
        <w:rPr>
          <w:rFonts w:ascii="Times New Roman" w:hAnsi="Times New Roman"/>
          <w:sz w:val="26"/>
          <w:szCs w:val="26"/>
        </w:rPr>
        <w:t>Steve Koestner</w:t>
      </w:r>
      <w:r w:rsidRPr="009A2B30">
        <w:rPr>
          <w:rFonts w:ascii="Times New Roman" w:hAnsi="Times New Roman"/>
          <w:sz w:val="26"/>
          <w:szCs w:val="26"/>
        </w:rPr>
        <w:tab/>
        <w:t>Shannon Burns</w:t>
      </w:r>
    </w:p>
    <w:p w14:paraId="3761A29B" w14:textId="77777777" w:rsidR="00A00E0C" w:rsidRPr="009A2B30" w:rsidRDefault="00A00E0C" w:rsidP="00A00E0C">
      <w:pPr>
        <w:widowControl/>
        <w:tabs>
          <w:tab w:val="left" w:pos="5040"/>
        </w:tabs>
        <w:jc w:val="both"/>
        <w:rPr>
          <w:rFonts w:ascii="Times New Roman" w:hAnsi="Times New Roman"/>
          <w:sz w:val="26"/>
          <w:szCs w:val="26"/>
        </w:rPr>
      </w:pPr>
      <w:r w:rsidRPr="009A2B30">
        <w:rPr>
          <w:rFonts w:ascii="Times New Roman" w:hAnsi="Times New Roman"/>
          <w:sz w:val="26"/>
          <w:szCs w:val="26"/>
        </w:rPr>
        <w:t>Bar No. 011566</w:t>
      </w:r>
      <w:r w:rsidRPr="009A2B30">
        <w:rPr>
          <w:rFonts w:ascii="Times New Roman" w:hAnsi="Times New Roman"/>
          <w:sz w:val="26"/>
          <w:szCs w:val="26"/>
        </w:rPr>
        <w:tab/>
        <w:t>Bar No. 015976</w:t>
      </w:r>
    </w:p>
    <w:p w14:paraId="37A7E335" w14:textId="77777777" w:rsidR="00A00E0C" w:rsidRPr="009A2B30" w:rsidRDefault="00A00E0C" w:rsidP="00A00E0C">
      <w:pPr>
        <w:widowControl/>
        <w:tabs>
          <w:tab w:val="left" w:pos="5040"/>
        </w:tabs>
        <w:jc w:val="both"/>
        <w:rPr>
          <w:rFonts w:ascii="Times New Roman" w:hAnsi="Times New Roman"/>
          <w:sz w:val="26"/>
          <w:szCs w:val="26"/>
        </w:rPr>
      </w:pPr>
      <w:r w:rsidRPr="009A2B30">
        <w:rPr>
          <w:rFonts w:ascii="Times New Roman" w:hAnsi="Times New Roman"/>
          <w:sz w:val="26"/>
          <w:szCs w:val="26"/>
        </w:rPr>
        <w:t>Mcpa. Cnty. Ofc. of Legal Advocate</w:t>
      </w:r>
      <w:r w:rsidRPr="009A2B30">
        <w:rPr>
          <w:rFonts w:ascii="Times New Roman" w:hAnsi="Times New Roman"/>
          <w:sz w:val="26"/>
          <w:szCs w:val="26"/>
        </w:rPr>
        <w:tab/>
        <w:t>Mcpa. Cnty. Ofc. of Public Advocate</w:t>
      </w:r>
    </w:p>
    <w:p w14:paraId="3EC44C5C" w14:textId="77777777" w:rsidR="00A00E0C" w:rsidRPr="009A2B30" w:rsidRDefault="00A00E0C" w:rsidP="00A00E0C">
      <w:pPr>
        <w:widowControl/>
        <w:tabs>
          <w:tab w:val="left" w:pos="5040"/>
        </w:tabs>
        <w:jc w:val="both"/>
        <w:rPr>
          <w:rFonts w:ascii="Times New Roman" w:hAnsi="Times New Roman"/>
          <w:sz w:val="26"/>
          <w:szCs w:val="26"/>
        </w:rPr>
      </w:pPr>
      <w:r w:rsidRPr="009A2B30">
        <w:rPr>
          <w:rFonts w:ascii="Times New Roman" w:hAnsi="Times New Roman"/>
          <w:sz w:val="26"/>
          <w:szCs w:val="26"/>
        </w:rPr>
        <w:t>222 N. Central, Suite 154</w:t>
      </w:r>
      <w:r w:rsidRPr="009A2B30">
        <w:rPr>
          <w:rFonts w:ascii="Times New Roman" w:hAnsi="Times New Roman"/>
          <w:sz w:val="26"/>
          <w:szCs w:val="26"/>
        </w:rPr>
        <w:tab/>
        <w:t>106 E. Baseline Rd.</w:t>
      </w:r>
    </w:p>
    <w:p w14:paraId="0BB232AD" w14:textId="77777777" w:rsidR="00A00E0C" w:rsidRPr="009A2B30" w:rsidRDefault="00A00E0C" w:rsidP="00A00E0C">
      <w:pPr>
        <w:widowControl/>
        <w:tabs>
          <w:tab w:val="left" w:pos="5040"/>
        </w:tabs>
        <w:jc w:val="both"/>
        <w:rPr>
          <w:rFonts w:ascii="Times New Roman" w:hAnsi="Times New Roman"/>
          <w:sz w:val="26"/>
          <w:szCs w:val="26"/>
        </w:rPr>
      </w:pPr>
      <w:r w:rsidRPr="009A2B30">
        <w:rPr>
          <w:rFonts w:ascii="Times New Roman" w:hAnsi="Times New Roman"/>
          <w:sz w:val="26"/>
          <w:szCs w:val="26"/>
        </w:rPr>
        <w:t>Phoenix, AZ 85004</w:t>
      </w:r>
      <w:r w:rsidRPr="009A2B30">
        <w:rPr>
          <w:rFonts w:ascii="Times New Roman" w:hAnsi="Times New Roman"/>
          <w:sz w:val="26"/>
          <w:szCs w:val="26"/>
        </w:rPr>
        <w:tab/>
        <w:t>Mesa, AZ 85210</w:t>
      </w:r>
    </w:p>
    <w:p w14:paraId="4E4ED4BD" w14:textId="77777777" w:rsidR="00A00E0C" w:rsidRPr="009A2B30" w:rsidRDefault="00A00E0C" w:rsidP="00A00E0C">
      <w:pPr>
        <w:widowControl/>
        <w:tabs>
          <w:tab w:val="left" w:pos="5040"/>
        </w:tabs>
        <w:jc w:val="both"/>
        <w:rPr>
          <w:rFonts w:ascii="Times New Roman" w:hAnsi="Times New Roman"/>
          <w:sz w:val="26"/>
          <w:szCs w:val="26"/>
        </w:rPr>
      </w:pPr>
      <w:r w:rsidRPr="009A2B30">
        <w:rPr>
          <w:rFonts w:ascii="Times New Roman" w:hAnsi="Times New Roman"/>
          <w:sz w:val="26"/>
          <w:szCs w:val="26"/>
        </w:rPr>
        <w:t>(602) 506-4111</w:t>
      </w:r>
      <w:r w:rsidRPr="009A2B30">
        <w:rPr>
          <w:rFonts w:ascii="Times New Roman" w:hAnsi="Times New Roman"/>
          <w:sz w:val="26"/>
          <w:szCs w:val="26"/>
        </w:rPr>
        <w:tab/>
        <w:t>(602) 372-2815</w:t>
      </w:r>
    </w:p>
    <w:p w14:paraId="414431D9" w14:textId="77777777" w:rsidR="00A00E0C" w:rsidRPr="009A2B30" w:rsidRDefault="00000000" w:rsidP="00A00E0C">
      <w:pPr>
        <w:widowControl/>
        <w:tabs>
          <w:tab w:val="left" w:pos="5040"/>
        </w:tabs>
        <w:jc w:val="both"/>
        <w:rPr>
          <w:rFonts w:ascii="Times New Roman" w:hAnsi="Times New Roman"/>
          <w:sz w:val="26"/>
          <w:szCs w:val="26"/>
        </w:rPr>
      </w:pPr>
      <w:hyperlink r:id="rId10" w:history="1">
        <w:r w:rsidR="00A00E0C" w:rsidRPr="009A2B30">
          <w:rPr>
            <w:rStyle w:val="Hyperlink"/>
            <w:rFonts w:ascii="Times New Roman" w:hAnsi="Times New Roman"/>
            <w:sz w:val="26"/>
            <w:szCs w:val="26"/>
          </w:rPr>
          <w:t>Steve.Koestner@maricopa.gov</w:t>
        </w:r>
      </w:hyperlink>
      <w:r w:rsidR="00A00E0C" w:rsidRPr="009A2B30">
        <w:rPr>
          <w:rFonts w:ascii="Times New Roman" w:hAnsi="Times New Roman"/>
          <w:sz w:val="26"/>
          <w:szCs w:val="26"/>
        </w:rPr>
        <w:tab/>
      </w:r>
      <w:hyperlink r:id="rId11" w:history="1">
        <w:r w:rsidR="00A00E0C" w:rsidRPr="009A2B30">
          <w:rPr>
            <w:rStyle w:val="Hyperlink"/>
            <w:rFonts w:ascii="Times New Roman" w:hAnsi="Times New Roman"/>
            <w:sz w:val="26"/>
            <w:szCs w:val="26"/>
          </w:rPr>
          <w:t>Shannon.Burns@maricopa.gov</w:t>
        </w:r>
      </w:hyperlink>
      <w:r w:rsidR="00A00E0C" w:rsidRPr="009A2B30">
        <w:rPr>
          <w:rFonts w:ascii="Times New Roman" w:hAnsi="Times New Roman"/>
          <w:sz w:val="26"/>
          <w:szCs w:val="26"/>
        </w:rPr>
        <w:t xml:space="preserve"> </w:t>
      </w:r>
    </w:p>
    <w:p w14:paraId="70392DD7" w14:textId="77777777" w:rsidR="00A00E0C" w:rsidRPr="009A2B30" w:rsidRDefault="00A00E0C" w:rsidP="00A00E0C">
      <w:pPr>
        <w:widowControl/>
        <w:jc w:val="both"/>
        <w:rPr>
          <w:rFonts w:ascii="Times New Roman" w:hAnsi="Times New Roman"/>
          <w:sz w:val="26"/>
          <w:szCs w:val="26"/>
        </w:rPr>
      </w:pPr>
    </w:p>
    <w:p w14:paraId="5CA09368" w14:textId="77777777" w:rsidR="00A00E0C" w:rsidRPr="009A2B30" w:rsidRDefault="00A00E0C" w:rsidP="00A00E0C">
      <w:pPr>
        <w:widowControl/>
        <w:jc w:val="both"/>
        <w:rPr>
          <w:rFonts w:ascii="Times New Roman" w:hAnsi="Times New Roman"/>
          <w:sz w:val="26"/>
          <w:szCs w:val="26"/>
        </w:rPr>
      </w:pPr>
      <w:r w:rsidRPr="009A2B30">
        <w:rPr>
          <w:rFonts w:ascii="Times New Roman" w:hAnsi="Times New Roman"/>
          <w:sz w:val="26"/>
          <w:szCs w:val="26"/>
        </w:rPr>
        <w:t>Sherri McGuire Lawson</w:t>
      </w:r>
    </w:p>
    <w:p w14:paraId="1743D1D4" w14:textId="77777777" w:rsidR="00A00E0C" w:rsidRPr="009A2B30" w:rsidRDefault="00A00E0C" w:rsidP="00A00E0C">
      <w:pPr>
        <w:widowControl/>
        <w:jc w:val="both"/>
        <w:rPr>
          <w:rFonts w:ascii="Times New Roman" w:hAnsi="Times New Roman"/>
          <w:sz w:val="26"/>
          <w:szCs w:val="26"/>
        </w:rPr>
      </w:pPr>
      <w:r w:rsidRPr="009A2B30">
        <w:rPr>
          <w:rFonts w:ascii="Times New Roman" w:hAnsi="Times New Roman"/>
          <w:sz w:val="26"/>
          <w:szCs w:val="26"/>
        </w:rPr>
        <w:t>Bar No. 013605</w:t>
      </w:r>
    </w:p>
    <w:p w14:paraId="1FD56BB6" w14:textId="77777777" w:rsidR="00A00E0C" w:rsidRPr="009A2B30" w:rsidRDefault="00A00E0C" w:rsidP="00A00E0C">
      <w:pPr>
        <w:widowControl/>
        <w:jc w:val="both"/>
        <w:rPr>
          <w:rFonts w:ascii="Times New Roman" w:hAnsi="Times New Roman"/>
          <w:sz w:val="26"/>
          <w:szCs w:val="26"/>
        </w:rPr>
      </w:pPr>
      <w:r w:rsidRPr="009A2B30">
        <w:rPr>
          <w:rFonts w:ascii="Times New Roman" w:hAnsi="Times New Roman"/>
          <w:sz w:val="26"/>
          <w:szCs w:val="26"/>
        </w:rPr>
        <w:t>Mcpa. Cnty. Ofc. of Legal Defender</w:t>
      </w:r>
    </w:p>
    <w:p w14:paraId="5991F9B6" w14:textId="77777777" w:rsidR="00A00E0C" w:rsidRPr="009A2B30" w:rsidRDefault="00A00E0C" w:rsidP="00A00E0C">
      <w:pPr>
        <w:widowControl/>
        <w:jc w:val="both"/>
        <w:rPr>
          <w:rFonts w:ascii="Times New Roman" w:hAnsi="Times New Roman"/>
          <w:sz w:val="26"/>
          <w:szCs w:val="26"/>
        </w:rPr>
      </w:pPr>
      <w:r w:rsidRPr="009A2B30">
        <w:rPr>
          <w:rFonts w:ascii="Times New Roman" w:hAnsi="Times New Roman"/>
          <w:sz w:val="26"/>
          <w:szCs w:val="26"/>
        </w:rPr>
        <w:t>222 N. Central, Suite 8100</w:t>
      </w:r>
    </w:p>
    <w:p w14:paraId="502597BA" w14:textId="77777777" w:rsidR="00A00E0C" w:rsidRPr="009A2B30" w:rsidRDefault="00A00E0C" w:rsidP="00A00E0C">
      <w:pPr>
        <w:widowControl/>
        <w:jc w:val="both"/>
        <w:rPr>
          <w:rFonts w:ascii="Times New Roman" w:hAnsi="Times New Roman"/>
          <w:sz w:val="26"/>
          <w:szCs w:val="26"/>
        </w:rPr>
      </w:pPr>
      <w:r w:rsidRPr="009A2B30">
        <w:rPr>
          <w:rFonts w:ascii="Times New Roman" w:hAnsi="Times New Roman"/>
          <w:sz w:val="26"/>
          <w:szCs w:val="26"/>
        </w:rPr>
        <w:t>Phoenix, AZ 85004</w:t>
      </w:r>
    </w:p>
    <w:p w14:paraId="4D3AA7E4" w14:textId="77777777" w:rsidR="00A00E0C" w:rsidRPr="009A2B30" w:rsidRDefault="00A00E0C" w:rsidP="00A00E0C">
      <w:pPr>
        <w:widowControl/>
        <w:jc w:val="both"/>
        <w:rPr>
          <w:rFonts w:ascii="Times New Roman" w:hAnsi="Times New Roman"/>
          <w:sz w:val="26"/>
          <w:szCs w:val="26"/>
        </w:rPr>
      </w:pPr>
      <w:r w:rsidRPr="009A2B30">
        <w:rPr>
          <w:rFonts w:ascii="Times New Roman" w:hAnsi="Times New Roman"/>
          <w:sz w:val="26"/>
          <w:szCs w:val="26"/>
        </w:rPr>
        <w:t>(602) 506-8800</w:t>
      </w:r>
    </w:p>
    <w:p w14:paraId="5E47B031" w14:textId="77777777" w:rsidR="00A00E0C" w:rsidRPr="009A2B30" w:rsidRDefault="00000000" w:rsidP="00A00E0C">
      <w:pPr>
        <w:widowControl/>
        <w:jc w:val="both"/>
        <w:rPr>
          <w:rFonts w:ascii="Times New Roman" w:hAnsi="Times New Roman"/>
          <w:sz w:val="26"/>
          <w:szCs w:val="26"/>
        </w:rPr>
      </w:pPr>
      <w:hyperlink r:id="rId12" w:history="1">
        <w:r w:rsidR="00A00E0C" w:rsidRPr="009A2B30">
          <w:rPr>
            <w:rStyle w:val="Hyperlink"/>
            <w:rFonts w:ascii="Times New Roman" w:hAnsi="Times New Roman"/>
            <w:sz w:val="26"/>
            <w:szCs w:val="26"/>
          </w:rPr>
          <w:t>Sherri.Mcguire@maricopa.gov</w:t>
        </w:r>
      </w:hyperlink>
    </w:p>
    <w:p w14:paraId="7F3F23E2" w14:textId="77777777" w:rsidR="00A00E0C" w:rsidRPr="00B67F38" w:rsidRDefault="00A00E0C" w:rsidP="00A00E0C">
      <w:pPr>
        <w:widowControl/>
        <w:jc w:val="both"/>
        <w:rPr>
          <w:rFonts w:ascii="Times New Roman" w:hAnsi="Times New Roman"/>
          <w:sz w:val="28"/>
          <w:szCs w:val="28"/>
        </w:rPr>
      </w:pPr>
    </w:p>
    <w:p w14:paraId="34509E5F" w14:textId="77777777" w:rsidR="00A00E0C" w:rsidRPr="009A2B30" w:rsidRDefault="00A00E0C" w:rsidP="00A00E0C">
      <w:pPr>
        <w:widowControl/>
        <w:jc w:val="center"/>
        <w:rPr>
          <w:rFonts w:ascii="Times New Roman" w:hAnsi="Times New Roman"/>
          <w:b/>
          <w:bCs/>
          <w:sz w:val="26"/>
          <w:szCs w:val="26"/>
        </w:rPr>
      </w:pPr>
      <w:r w:rsidRPr="009A2B30">
        <w:rPr>
          <w:rFonts w:ascii="Times New Roman" w:hAnsi="Times New Roman"/>
          <w:b/>
          <w:bCs/>
          <w:sz w:val="26"/>
          <w:szCs w:val="26"/>
        </w:rPr>
        <w:t>ARIZONA SUPREME COURT</w:t>
      </w:r>
    </w:p>
    <w:p w14:paraId="13D8735D" w14:textId="77777777" w:rsidR="00A00E0C" w:rsidRPr="00B67F38" w:rsidRDefault="00A00E0C" w:rsidP="00A00E0C">
      <w:pPr>
        <w:widowControl/>
        <w:jc w:val="both"/>
        <w:rPr>
          <w:rFonts w:ascii="Times New Roman" w:hAnsi="Times New Roman"/>
          <w:sz w:val="28"/>
          <w:szCs w:val="28"/>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A00E0C" w:rsidRPr="009A2B30" w14:paraId="7E87DE14" w14:textId="77777777" w:rsidTr="00C22D59">
        <w:tc>
          <w:tcPr>
            <w:tcW w:w="4500" w:type="dxa"/>
            <w:tcBorders>
              <w:top w:val="nil"/>
              <w:left w:val="nil"/>
              <w:bottom w:val="nil"/>
            </w:tcBorders>
          </w:tcPr>
          <w:p w14:paraId="71CE69E2" w14:textId="49C5E35E" w:rsidR="00A00E0C" w:rsidRPr="009A2B30" w:rsidRDefault="00A00E0C" w:rsidP="00C22D59">
            <w:pPr>
              <w:widowControl/>
              <w:snapToGrid w:val="0"/>
              <w:rPr>
                <w:rFonts w:ascii="Times New Roman" w:hAnsi="Times New Roman"/>
                <w:sz w:val="26"/>
                <w:szCs w:val="26"/>
              </w:rPr>
            </w:pPr>
            <w:r w:rsidRPr="009A2B30">
              <w:rPr>
                <w:rFonts w:ascii="Times New Roman" w:hAnsi="Times New Roman"/>
                <w:sz w:val="26"/>
                <w:szCs w:val="26"/>
              </w:rPr>
              <w:t xml:space="preserve">In the </w:t>
            </w:r>
            <w:r w:rsidR="00336578" w:rsidRPr="009A2B30">
              <w:rPr>
                <w:rFonts w:ascii="Times New Roman" w:hAnsi="Times New Roman"/>
                <w:sz w:val="26"/>
                <w:szCs w:val="26"/>
              </w:rPr>
              <w:t>M</w:t>
            </w:r>
            <w:r w:rsidRPr="009A2B30">
              <w:rPr>
                <w:rFonts w:ascii="Times New Roman" w:hAnsi="Times New Roman"/>
                <w:sz w:val="26"/>
                <w:szCs w:val="26"/>
              </w:rPr>
              <w:t>atter of:</w:t>
            </w:r>
          </w:p>
          <w:p w14:paraId="16C0FEA9" w14:textId="77777777" w:rsidR="00A00E0C" w:rsidRPr="009A2B30" w:rsidRDefault="00A00E0C" w:rsidP="00C22D59">
            <w:pPr>
              <w:widowControl/>
              <w:snapToGrid w:val="0"/>
              <w:rPr>
                <w:rFonts w:ascii="Times New Roman" w:hAnsi="Times New Roman"/>
                <w:sz w:val="26"/>
                <w:szCs w:val="26"/>
              </w:rPr>
            </w:pPr>
          </w:p>
          <w:p w14:paraId="1D2F9F9C" w14:textId="5F7D2F17" w:rsidR="00DB5D1E" w:rsidRPr="009A2B30" w:rsidRDefault="00336578" w:rsidP="00DB5D1E">
            <w:pPr>
              <w:widowControl/>
              <w:rPr>
                <w:rFonts w:ascii="Times New Roman" w:hAnsi="Times New Roman"/>
                <w:sz w:val="26"/>
                <w:szCs w:val="26"/>
              </w:rPr>
            </w:pPr>
            <w:r w:rsidRPr="009A2B30">
              <w:rPr>
                <w:rFonts w:ascii="Times New Roman" w:hAnsi="Times New Roman"/>
                <w:sz w:val="26"/>
                <w:szCs w:val="26"/>
              </w:rPr>
              <w:t xml:space="preserve">PETITION TO AMEND </w:t>
            </w:r>
            <w:r w:rsidR="00570FA6" w:rsidRPr="009A2B30">
              <w:rPr>
                <w:rFonts w:ascii="Times New Roman" w:hAnsi="Times New Roman"/>
                <w:sz w:val="26"/>
                <w:szCs w:val="26"/>
              </w:rPr>
              <w:t xml:space="preserve">RULE </w:t>
            </w:r>
            <w:r w:rsidR="00DB5D1E" w:rsidRPr="009A2B30">
              <w:rPr>
                <w:rFonts w:ascii="Times New Roman" w:hAnsi="Times New Roman"/>
                <w:sz w:val="26"/>
                <w:szCs w:val="26"/>
              </w:rPr>
              <w:t>49(d)(1)</w:t>
            </w:r>
            <w:r w:rsidR="00846FF1" w:rsidRPr="009A2B30">
              <w:rPr>
                <w:rFonts w:ascii="Times New Roman" w:hAnsi="Times New Roman"/>
                <w:sz w:val="26"/>
                <w:szCs w:val="26"/>
              </w:rPr>
              <w:t xml:space="preserve"> </w:t>
            </w:r>
            <w:r w:rsidR="00DB5D1E" w:rsidRPr="009A2B30">
              <w:rPr>
                <w:rFonts w:ascii="Times New Roman" w:hAnsi="Times New Roman"/>
                <w:sz w:val="26"/>
                <w:szCs w:val="26"/>
              </w:rPr>
              <w:t xml:space="preserve">RULES OF CIVIL PROCEDURE AND </w:t>
            </w:r>
            <w:r w:rsidR="00846FF1" w:rsidRPr="009A2B30">
              <w:rPr>
                <w:rFonts w:ascii="Times New Roman" w:hAnsi="Times New Roman"/>
                <w:sz w:val="26"/>
                <w:szCs w:val="26"/>
              </w:rPr>
              <w:t>R</w:t>
            </w:r>
            <w:r w:rsidR="00DB5D1E" w:rsidRPr="009A2B30">
              <w:rPr>
                <w:rFonts w:ascii="Times New Roman" w:hAnsi="Times New Roman"/>
                <w:sz w:val="26"/>
                <w:szCs w:val="26"/>
              </w:rPr>
              <w:t>ULE 18.1, RULES OF CRIMINAL</w:t>
            </w:r>
          </w:p>
          <w:p w14:paraId="04F6611B" w14:textId="470AD400" w:rsidR="00A00E0C" w:rsidRPr="009A2B30" w:rsidRDefault="00DB5D1E" w:rsidP="00DB5D1E">
            <w:pPr>
              <w:widowControl/>
              <w:rPr>
                <w:rFonts w:ascii="Times New Roman" w:hAnsi="Times New Roman"/>
                <w:sz w:val="26"/>
                <w:szCs w:val="26"/>
              </w:rPr>
            </w:pPr>
            <w:r w:rsidRPr="009A2B30">
              <w:rPr>
                <w:rFonts w:ascii="Times New Roman" w:hAnsi="Times New Roman"/>
                <w:sz w:val="26"/>
                <w:szCs w:val="26"/>
              </w:rPr>
              <w:t>PROCEDURE</w:t>
            </w:r>
          </w:p>
        </w:tc>
        <w:tc>
          <w:tcPr>
            <w:tcW w:w="5058" w:type="dxa"/>
            <w:tcBorders>
              <w:top w:val="nil"/>
              <w:bottom w:val="nil"/>
              <w:right w:val="nil"/>
            </w:tcBorders>
          </w:tcPr>
          <w:p w14:paraId="7AF7F5C3" w14:textId="1C50240E" w:rsidR="00A00E0C" w:rsidRPr="009A2B30" w:rsidRDefault="00A00E0C" w:rsidP="00C22D59">
            <w:pPr>
              <w:widowControl/>
              <w:snapToGrid w:val="0"/>
              <w:ind w:left="137"/>
              <w:rPr>
                <w:rFonts w:ascii="Times New Roman" w:hAnsi="Times New Roman"/>
                <w:sz w:val="26"/>
                <w:szCs w:val="26"/>
              </w:rPr>
            </w:pPr>
            <w:r w:rsidRPr="009A2B30">
              <w:rPr>
                <w:rFonts w:ascii="Times New Roman" w:hAnsi="Times New Roman"/>
                <w:sz w:val="26"/>
                <w:szCs w:val="26"/>
              </w:rPr>
              <w:t>Supreme Court No. R-</w:t>
            </w:r>
            <w:r w:rsidR="00846FF1" w:rsidRPr="009A2B30">
              <w:rPr>
                <w:rFonts w:ascii="Times New Roman" w:hAnsi="Times New Roman"/>
                <w:sz w:val="26"/>
                <w:szCs w:val="26"/>
              </w:rPr>
              <w:t>24-</w:t>
            </w:r>
            <w:r w:rsidR="009B2E0D" w:rsidRPr="009A2B30">
              <w:rPr>
                <w:rFonts w:ascii="Times New Roman" w:hAnsi="Times New Roman"/>
                <w:sz w:val="26"/>
                <w:szCs w:val="26"/>
              </w:rPr>
              <w:t>0026</w:t>
            </w:r>
          </w:p>
          <w:p w14:paraId="159C3972" w14:textId="77777777" w:rsidR="00A00E0C" w:rsidRPr="009A2B30" w:rsidRDefault="00A00E0C" w:rsidP="00C22D59">
            <w:pPr>
              <w:widowControl/>
              <w:snapToGrid w:val="0"/>
              <w:ind w:left="137"/>
              <w:rPr>
                <w:rFonts w:ascii="Times New Roman" w:hAnsi="Times New Roman"/>
                <w:sz w:val="26"/>
                <w:szCs w:val="26"/>
              </w:rPr>
            </w:pPr>
          </w:p>
          <w:p w14:paraId="25548AC8" w14:textId="77777777" w:rsidR="00A00E0C" w:rsidRPr="009A2B30" w:rsidRDefault="00A00E0C" w:rsidP="00C22D59">
            <w:pPr>
              <w:widowControl/>
              <w:snapToGrid w:val="0"/>
              <w:ind w:left="137"/>
              <w:rPr>
                <w:rFonts w:ascii="Times New Roman" w:hAnsi="Times New Roman"/>
                <w:sz w:val="26"/>
                <w:szCs w:val="26"/>
              </w:rPr>
            </w:pPr>
          </w:p>
          <w:p w14:paraId="375CCF42" w14:textId="4E21A599" w:rsidR="00A00E0C" w:rsidRPr="009A2B30" w:rsidRDefault="00A00E0C" w:rsidP="00C22D59">
            <w:pPr>
              <w:widowControl/>
              <w:ind w:left="137"/>
              <w:rPr>
                <w:rFonts w:ascii="Times New Roman" w:hAnsi="Times New Roman"/>
                <w:spacing w:val="-3"/>
                <w:sz w:val="26"/>
                <w:szCs w:val="26"/>
                <w:lang w:val="es-ES"/>
              </w:rPr>
            </w:pPr>
            <w:r w:rsidRPr="009A2B30">
              <w:rPr>
                <w:rFonts w:ascii="Times New Roman" w:hAnsi="Times New Roman"/>
                <w:sz w:val="26"/>
                <w:szCs w:val="26"/>
              </w:rPr>
              <w:t xml:space="preserve">Joint Comment by the Directors of the Maricopa County Indigent Defense Agencies </w:t>
            </w:r>
          </w:p>
        </w:tc>
      </w:tr>
      <w:tr w:rsidR="00A00E0C" w:rsidRPr="009A2B30" w14:paraId="12B4E4FE" w14:textId="77777777" w:rsidTr="00C22D59">
        <w:tc>
          <w:tcPr>
            <w:tcW w:w="4500" w:type="dxa"/>
            <w:tcBorders>
              <w:top w:val="nil"/>
              <w:left w:val="nil"/>
              <w:bottom w:val="single" w:sz="4" w:space="0" w:color="auto"/>
            </w:tcBorders>
          </w:tcPr>
          <w:p w14:paraId="3D5FB3EE" w14:textId="77777777" w:rsidR="00A00E0C" w:rsidRPr="009A2B30" w:rsidRDefault="00A00E0C" w:rsidP="00C22D59">
            <w:pPr>
              <w:widowControl/>
              <w:rPr>
                <w:rFonts w:ascii="Times New Roman" w:hAnsi="Times New Roman"/>
                <w:sz w:val="26"/>
                <w:szCs w:val="26"/>
              </w:rPr>
            </w:pPr>
          </w:p>
        </w:tc>
        <w:tc>
          <w:tcPr>
            <w:tcW w:w="5058" w:type="dxa"/>
            <w:tcBorders>
              <w:top w:val="nil"/>
              <w:bottom w:val="nil"/>
              <w:right w:val="nil"/>
            </w:tcBorders>
          </w:tcPr>
          <w:p w14:paraId="1B86854F" w14:textId="77777777" w:rsidR="00A00E0C" w:rsidRPr="009A2B30" w:rsidRDefault="00A00E0C" w:rsidP="00C22D59">
            <w:pPr>
              <w:widowControl/>
              <w:ind w:left="137"/>
              <w:rPr>
                <w:rFonts w:ascii="Times New Roman" w:hAnsi="Times New Roman"/>
                <w:sz w:val="26"/>
                <w:szCs w:val="26"/>
              </w:rPr>
            </w:pPr>
          </w:p>
        </w:tc>
      </w:tr>
    </w:tbl>
    <w:p w14:paraId="40C1AE14" w14:textId="77777777" w:rsidR="00A00E0C" w:rsidRDefault="00A00E0C" w:rsidP="00A00E0C">
      <w:pPr>
        <w:widowControl/>
        <w:jc w:val="both"/>
        <w:rPr>
          <w:rFonts w:ascii="Times New Roman" w:hAnsi="Times New Roman"/>
          <w:sz w:val="26"/>
          <w:szCs w:val="26"/>
        </w:rPr>
      </w:pPr>
    </w:p>
    <w:p w14:paraId="61400BE2" w14:textId="0F5BBA4F" w:rsidR="00A00E0C" w:rsidRPr="00474279" w:rsidRDefault="00A00E0C" w:rsidP="003848A8">
      <w:pPr>
        <w:widowControl/>
        <w:jc w:val="both"/>
        <w:rPr>
          <w:rFonts w:ascii="Times New Roman" w:hAnsi="Times New Roman"/>
          <w:sz w:val="28"/>
          <w:szCs w:val="28"/>
        </w:rPr>
      </w:pPr>
    </w:p>
    <w:p w14:paraId="475A2DCF" w14:textId="666C7F44" w:rsidR="007175BC" w:rsidRPr="00474279" w:rsidRDefault="009B2E0D" w:rsidP="009B2E0D">
      <w:pPr>
        <w:widowControl/>
        <w:spacing w:line="480" w:lineRule="auto"/>
        <w:ind w:firstLine="720"/>
        <w:jc w:val="both"/>
        <w:rPr>
          <w:rFonts w:ascii="Times New Roman" w:eastAsia="Calibri" w:hAnsi="Times New Roman" w:cs="Times New Roman"/>
          <w:sz w:val="26"/>
          <w:szCs w:val="26"/>
        </w:rPr>
      </w:pPr>
      <w:r w:rsidRPr="009B2E0D">
        <w:rPr>
          <w:rFonts w:ascii="Times New Roman" w:eastAsia="Calibri" w:hAnsi="Times New Roman" w:cs="Times New Roman"/>
          <w:sz w:val="26"/>
          <w:szCs w:val="26"/>
        </w:rPr>
        <w:t xml:space="preserve">The indigent representation offices of Maricopa County (IR) collectively handle most cases filed in Maricopa County in which there has been a finding of indigency. The Office of Public Defense Services (OPDS) provides administrative and financial oversight to the staffed offices and the Office of Contract Counsel (OCC). The staffed offices are </w:t>
      </w:r>
      <w:r w:rsidRPr="009B2E0D">
        <w:rPr>
          <w:rFonts w:ascii="Times New Roman" w:eastAsia="Calibri" w:hAnsi="Times New Roman" w:cs="Times New Roman"/>
          <w:sz w:val="26"/>
          <w:szCs w:val="26"/>
        </w:rPr>
        <w:lastRenderedPageBreak/>
        <w:t>comprised of the Office of the Public Defender (OPD), the Office of the Legal Advocate (OLA), the Office of the Legal Defender (OLD), and the Office of the Public Advocate (OPA). We jointly submit this comment</w:t>
      </w:r>
      <w:r>
        <w:rPr>
          <w:rFonts w:ascii="Times New Roman" w:eastAsia="Calibri" w:hAnsi="Times New Roman" w:cs="Times New Roman"/>
          <w:sz w:val="26"/>
          <w:szCs w:val="26"/>
        </w:rPr>
        <w:t xml:space="preserve"> </w:t>
      </w:r>
      <w:r w:rsidR="00570FA6" w:rsidRPr="00474279">
        <w:rPr>
          <w:rFonts w:ascii="Times New Roman" w:eastAsia="Calibri" w:hAnsi="Times New Roman" w:cs="Times New Roman"/>
          <w:sz w:val="26"/>
          <w:szCs w:val="26"/>
        </w:rPr>
        <w:t xml:space="preserve">in opposition </w:t>
      </w:r>
      <w:r>
        <w:rPr>
          <w:rFonts w:ascii="Times New Roman" w:eastAsia="Calibri" w:hAnsi="Times New Roman" w:cs="Times New Roman"/>
          <w:sz w:val="26"/>
          <w:szCs w:val="26"/>
        </w:rPr>
        <w:t>to</w:t>
      </w:r>
      <w:r w:rsidR="00570FA6" w:rsidRPr="00474279">
        <w:rPr>
          <w:rFonts w:ascii="Times New Roman" w:eastAsia="Calibri" w:hAnsi="Times New Roman" w:cs="Times New Roman"/>
          <w:sz w:val="26"/>
          <w:szCs w:val="26"/>
        </w:rPr>
        <w:t xml:space="preserve"> the proposal to amend Rule </w:t>
      </w:r>
      <w:r w:rsidR="00846FF1" w:rsidRPr="00474279">
        <w:rPr>
          <w:rFonts w:ascii="Times New Roman" w:eastAsia="Calibri" w:hAnsi="Times New Roman" w:cs="Times New Roman"/>
          <w:sz w:val="26"/>
          <w:szCs w:val="26"/>
        </w:rPr>
        <w:t xml:space="preserve">49(d)(1) </w:t>
      </w:r>
      <w:r w:rsidR="00846FF1" w:rsidRPr="00474279">
        <w:rPr>
          <w:rFonts w:ascii="Times New Roman" w:eastAsia="Calibri" w:hAnsi="Times New Roman" w:cs="Times New Roman"/>
          <w:i/>
          <w:iCs/>
          <w:sz w:val="26"/>
          <w:szCs w:val="26"/>
        </w:rPr>
        <w:t xml:space="preserve">Ariz. R. Civ. P. </w:t>
      </w:r>
      <w:r w:rsidR="00846FF1" w:rsidRPr="00474279">
        <w:rPr>
          <w:rFonts w:ascii="Times New Roman" w:eastAsia="Calibri" w:hAnsi="Times New Roman" w:cs="Times New Roman"/>
          <w:sz w:val="26"/>
          <w:szCs w:val="26"/>
        </w:rPr>
        <w:t>and Rule 18.1</w:t>
      </w:r>
      <w:r w:rsidR="00570FA6" w:rsidRPr="00474279">
        <w:rPr>
          <w:rFonts w:ascii="Times New Roman" w:eastAsia="Calibri" w:hAnsi="Times New Roman" w:cs="Times New Roman"/>
          <w:sz w:val="26"/>
          <w:szCs w:val="26"/>
        </w:rPr>
        <w:t xml:space="preserve"> </w:t>
      </w:r>
      <w:r w:rsidR="00570FA6" w:rsidRPr="00474279">
        <w:rPr>
          <w:rFonts w:ascii="Times New Roman" w:eastAsia="Calibri" w:hAnsi="Times New Roman" w:cs="Times New Roman"/>
          <w:i/>
          <w:iCs/>
          <w:sz w:val="26"/>
          <w:szCs w:val="26"/>
        </w:rPr>
        <w:t>Ariz. R. Crim. P.</w:t>
      </w:r>
      <w:r w:rsidR="00570FA6" w:rsidRPr="00474279">
        <w:rPr>
          <w:rFonts w:ascii="Times New Roman" w:eastAsia="Calibri" w:hAnsi="Times New Roman" w:cs="Times New Roman"/>
          <w:sz w:val="26"/>
          <w:szCs w:val="26"/>
        </w:rPr>
        <w:t xml:space="preserve"> We believe that the amendment</w:t>
      </w:r>
      <w:r>
        <w:rPr>
          <w:rFonts w:ascii="Times New Roman" w:eastAsia="Calibri" w:hAnsi="Times New Roman" w:cs="Times New Roman"/>
          <w:sz w:val="26"/>
          <w:szCs w:val="26"/>
        </w:rPr>
        <w:t>s</w:t>
      </w:r>
      <w:r w:rsidR="00570FA6" w:rsidRPr="00474279">
        <w:rPr>
          <w:rFonts w:ascii="Times New Roman" w:eastAsia="Calibri" w:hAnsi="Times New Roman" w:cs="Times New Roman"/>
          <w:sz w:val="26"/>
          <w:szCs w:val="26"/>
        </w:rPr>
        <w:t>, as written, should not be adopted by the Arizona Supreme Court.</w:t>
      </w:r>
    </w:p>
    <w:p w14:paraId="39E496E8" w14:textId="2D3BCFA5" w:rsidR="00395387" w:rsidRPr="00474279" w:rsidRDefault="00395387" w:rsidP="00570FA6">
      <w:pPr>
        <w:widowControl/>
        <w:spacing w:line="480" w:lineRule="auto"/>
        <w:ind w:firstLine="720"/>
        <w:jc w:val="both"/>
        <w:rPr>
          <w:rFonts w:ascii="Times New Roman" w:eastAsia="Calibri" w:hAnsi="Times New Roman" w:cs="Times New Roman"/>
          <w:sz w:val="26"/>
          <w:szCs w:val="26"/>
        </w:rPr>
      </w:pPr>
      <w:r w:rsidRPr="00474279">
        <w:rPr>
          <w:rFonts w:ascii="Times New Roman" w:eastAsia="Calibri" w:hAnsi="Times New Roman" w:cs="Times New Roman"/>
          <w:sz w:val="26"/>
          <w:szCs w:val="26"/>
        </w:rPr>
        <w:t xml:space="preserve">First, </w:t>
      </w:r>
      <w:r w:rsidR="001C7C91" w:rsidRPr="00474279">
        <w:rPr>
          <w:rFonts w:ascii="Times New Roman" w:eastAsia="Calibri" w:hAnsi="Times New Roman" w:cs="Times New Roman"/>
          <w:sz w:val="26"/>
          <w:szCs w:val="26"/>
        </w:rPr>
        <w:t>while</w:t>
      </w:r>
      <w:r w:rsidR="00803C75" w:rsidRPr="00474279">
        <w:rPr>
          <w:rFonts w:ascii="Times New Roman" w:eastAsia="Calibri" w:hAnsi="Times New Roman" w:cs="Times New Roman"/>
          <w:sz w:val="26"/>
          <w:szCs w:val="26"/>
        </w:rPr>
        <w:t xml:space="preserve"> the proposal to amend </w:t>
      </w:r>
      <w:r w:rsidR="009A3592" w:rsidRPr="00474279">
        <w:rPr>
          <w:rFonts w:ascii="Times New Roman" w:eastAsia="Calibri" w:hAnsi="Times New Roman" w:cs="Times New Roman"/>
          <w:sz w:val="26"/>
          <w:szCs w:val="26"/>
        </w:rPr>
        <w:t>civil rule 49(d)(1) and criminal rule 18.1</w:t>
      </w:r>
      <w:r w:rsidR="00803C75" w:rsidRPr="00474279">
        <w:rPr>
          <w:rFonts w:ascii="Times New Roman" w:eastAsia="Calibri" w:hAnsi="Times New Roman" w:cs="Times New Roman"/>
          <w:sz w:val="26"/>
          <w:szCs w:val="26"/>
        </w:rPr>
        <w:t xml:space="preserve"> may intend to </w:t>
      </w:r>
      <w:r w:rsidR="00474279" w:rsidRPr="00474279">
        <w:rPr>
          <w:rFonts w:ascii="Times New Roman" w:eastAsia="Calibri" w:hAnsi="Times New Roman" w:cs="Times New Roman"/>
          <w:sz w:val="26"/>
          <w:szCs w:val="26"/>
        </w:rPr>
        <w:t>resolve some of the unworkable elements of such proceedings</w:t>
      </w:r>
      <w:r w:rsidR="00436D38">
        <w:rPr>
          <w:rFonts w:ascii="Times New Roman" w:eastAsia="Calibri" w:hAnsi="Times New Roman" w:cs="Times New Roman"/>
          <w:sz w:val="26"/>
          <w:szCs w:val="26"/>
        </w:rPr>
        <w:t xml:space="preserve"> pursuant to </w:t>
      </w:r>
      <w:r w:rsidR="00436D38" w:rsidRPr="00474279">
        <w:rPr>
          <w:rFonts w:ascii="Times New Roman" w:eastAsia="Calibri" w:hAnsi="Times New Roman" w:cs="Times New Roman"/>
          <w:sz w:val="26"/>
          <w:szCs w:val="26"/>
        </w:rPr>
        <w:t>A.R.S. §13-4521</w:t>
      </w:r>
      <w:r w:rsidR="00474279" w:rsidRPr="00474279">
        <w:rPr>
          <w:rFonts w:ascii="Times New Roman" w:eastAsia="Calibri" w:hAnsi="Times New Roman" w:cs="Times New Roman"/>
          <w:sz w:val="26"/>
          <w:szCs w:val="26"/>
        </w:rPr>
        <w:t>, it</w:t>
      </w:r>
      <w:r w:rsidR="009A3592" w:rsidRPr="00474279">
        <w:rPr>
          <w:rFonts w:ascii="Times New Roman" w:eastAsia="Calibri" w:hAnsi="Times New Roman" w:cs="Times New Roman"/>
          <w:sz w:val="26"/>
          <w:szCs w:val="26"/>
        </w:rPr>
        <w:t xml:space="preserve"> does not resolve the unconstitutional infirmities present </w:t>
      </w:r>
      <w:r w:rsidR="00094D8A">
        <w:rPr>
          <w:rFonts w:ascii="Times New Roman" w:eastAsia="Calibri" w:hAnsi="Times New Roman" w:cs="Times New Roman"/>
          <w:sz w:val="26"/>
          <w:szCs w:val="26"/>
        </w:rPr>
        <w:t xml:space="preserve">in </w:t>
      </w:r>
      <w:r w:rsidR="00436D38">
        <w:rPr>
          <w:rFonts w:ascii="Times New Roman" w:eastAsia="Calibri" w:hAnsi="Times New Roman" w:cs="Times New Roman"/>
          <w:sz w:val="26"/>
          <w:szCs w:val="26"/>
        </w:rPr>
        <w:t>the statu</w:t>
      </w:r>
      <w:r w:rsidR="009B2E0D">
        <w:rPr>
          <w:rFonts w:ascii="Times New Roman" w:eastAsia="Calibri" w:hAnsi="Times New Roman" w:cs="Times New Roman"/>
          <w:sz w:val="26"/>
          <w:szCs w:val="26"/>
        </w:rPr>
        <w:t>t</w:t>
      </w:r>
      <w:r w:rsidR="00436D38">
        <w:rPr>
          <w:rFonts w:ascii="Times New Roman" w:eastAsia="Calibri" w:hAnsi="Times New Roman" w:cs="Times New Roman"/>
          <w:sz w:val="26"/>
          <w:szCs w:val="26"/>
        </w:rPr>
        <w:t xml:space="preserve">e. </w:t>
      </w:r>
      <w:r w:rsidR="009A3592" w:rsidRPr="00474279">
        <w:rPr>
          <w:rFonts w:ascii="Times New Roman" w:eastAsia="Calibri" w:hAnsi="Times New Roman" w:cs="Times New Roman"/>
          <w:sz w:val="26"/>
          <w:szCs w:val="26"/>
        </w:rPr>
        <w:t xml:space="preserve"> </w:t>
      </w:r>
    </w:p>
    <w:p w14:paraId="19E2A579" w14:textId="5BCB0F71" w:rsidR="00E35CBE" w:rsidRPr="00474279" w:rsidRDefault="009A3592" w:rsidP="00E35CBE">
      <w:pPr>
        <w:spacing w:line="480" w:lineRule="auto"/>
        <w:ind w:right="90" w:firstLine="720"/>
        <w:jc w:val="both"/>
        <w:rPr>
          <w:rFonts w:ascii="Times New Roman" w:eastAsia="Calibri" w:hAnsi="Times New Roman" w:cs="Times New Roman"/>
          <w:kern w:val="2"/>
          <w:sz w:val="26"/>
          <w:szCs w:val="26"/>
          <w14:ligatures w14:val="standardContextual"/>
        </w:rPr>
      </w:pPr>
      <w:r w:rsidRPr="00474279">
        <w:rPr>
          <w:rFonts w:ascii="Times New Roman" w:eastAsia="Calibri" w:hAnsi="Times New Roman" w:cs="Times New Roman"/>
          <w:sz w:val="26"/>
          <w:szCs w:val="26"/>
        </w:rPr>
        <w:t xml:space="preserve">Second, </w:t>
      </w:r>
      <w:r w:rsidR="00E35CBE" w:rsidRPr="00474279">
        <w:rPr>
          <w:rFonts w:ascii="Times New Roman" w:eastAsia="Calibri" w:hAnsi="Times New Roman" w:cs="Times New Roman"/>
          <w:kern w:val="2"/>
          <w:sz w:val="26"/>
          <w:szCs w:val="26"/>
          <w14:ligatures w14:val="standardContextual"/>
        </w:rPr>
        <w:t xml:space="preserve">despite the inherent constitutional difficulties in the underlying statute that the proposed Rule Petition addresses, the </w:t>
      </w:r>
      <w:r w:rsidR="005B6730">
        <w:rPr>
          <w:rFonts w:ascii="Times New Roman" w:eastAsia="Calibri" w:hAnsi="Times New Roman" w:cs="Times New Roman"/>
          <w:kern w:val="2"/>
          <w:sz w:val="26"/>
          <w:szCs w:val="26"/>
          <w14:ligatures w14:val="standardContextual"/>
        </w:rPr>
        <w:t xml:space="preserve">IR offices </w:t>
      </w:r>
      <w:r w:rsidR="00E35CBE" w:rsidRPr="00474279">
        <w:rPr>
          <w:rFonts w:ascii="Times New Roman" w:eastAsia="Calibri" w:hAnsi="Times New Roman" w:cs="Times New Roman"/>
          <w:kern w:val="2"/>
          <w:sz w:val="26"/>
          <w:szCs w:val="26"/>
          <w14:ligatures w14:val="standardContextual"/>
        </w:rPr>
        <w:t xml:space="preserve">also object to the proposed use of eight-member juries.  (Petition to Amend at 3 and 5.)  </w:t>
      </w:r>
    </w:p>
    <w:p w14:paraId="26F2CB15" w14:textId="77777777" w:rsidR="00E35CBE" w:rsidRPr="00E35CBE" w:rsidRDefault="00E35CBE" w:rsidP="00E35CBE">
      <w:pPr>
        <w:widowControl/>
        <w:spacing w:line="480" w:lineRule="auto"/>
        <w:ind w:right="90" w:firstLine="720"/>
        <w:jc w:val="both"/>
        <w:rPr>
          <w:rFonts w:ascii="Times New Roman" w:eastAsia="Calibri" w:hAnsi="Times New Roman" w:cs="Times New Roman"/>
          <w:kern w:val="2"/>
          <w:sz w:val="26"/>
          <w:szCs w:val="26"/>
          <w14:ligatures w14:val="standardContextual"/>
        </w:rPr>
      </w:pPr>
      <w:r w:rsidRPr="00E35CBE">
        <w:rPr>
          <w:rFonts w:ascii="Times New Roman" w:eastAsia="Calibri" w:hAnsi="Times New Roman" w:cs="Times New Roman"/>
          <w:kern w:val="2"/>
          <w:sz w:val="26"/>
          <w:szCs w:val="26"/>
          <w14:ligatures w14:val="standardContextual"/>
        </w:rPr>
        <w:t>As the Rule Petition correctly recognizes, the criminal law’s requirement of juror unanimity should apply here.  (</w:t>
      </w:r>
      <w:r w:rsidRPr="00E35CBE">
        <w:rPr>
          <w:rFonts w:ascii="Times New Roman" w:eastAsia="Calibri" w:hAnsi="Times New Roman" w:cs="Times New Roman"/>
          <w:i/>
          <w:iCs/>
          <w:kern w:val="2"/>
          <w:sz w:val="26"/>
          <w:szCs w:val="26"/>
          <w14:ligatures w14:val="standardContextual"/>
        </w:rPr>
        <w:t>Id.</w:t>
      </w:r>
      <w:r w:rsidRPr="00E35CBE">
        <w:rPr>
          <w:rFonts w:ascii="Times New Roman" w:eastAsia="Calibri" w:hAnsi="Times New Roman" w:cs="Times New Roman"/>
          <w:kern w:val="2"/>
          <w:sz w:val="26"/>
          <w:szCs w:val="26"/>
          <w14:ligatures w14:val="standardContextual"/>
        </w:rPr>
        <w:t xml:space="preserve"> at 4-5.)  But the proposal for empaneling juries of eight is problematic under state and federal law.</w:t>
      </w:r>
    </w:p>
    <w:p w14:paraId="4B6599FA" w14:textId="367ADB4D" w:rsidR="00E35CBE" w:rsidRPr="00E35CBE" w:rsidRDefault="00E35CBE" w:rsidP="00E35CBE">
      <w:pPr>
        <w:widowControl/>
        <w:spacing w:line="480" w:lineRule="auto"/>
        <w:ind w:right="90"/>
        <w:jc w:val="both"/>
        <w:rPr>
          <w:rFonts w:ascii="Times New Roman" w:eastAsia="Calibri" w:hAnsi="Times New Roman" w:cs="Times New Roman"/>
          <w:kern w:val="2"/>
          <w:sz w:val="26"/>
          <w:szCs w:val="26"/>
          <w14:ligatures w14:val="standardContextual"/>
        </w:rPr>
      </w:pPr>
      <w:r w:rsidRPr="00E35CBE">
        <w:rPr>
          <w:rFonts w:ascii="Times New Roman" w:eastAsia="Calibri" w:hAnsi="Times New Roman" w:cs="Times New Roman"/>
          <w:kern w:val="2"/>
          <w:sz w:val="26"/>
          <w:szCs w:val="26"/>
          <w14:ligatures w14:val="standardContextual"/>
        </w:rPr>
        <w:tab/>
        <w:t xml:space="preserve">Under Arizona state law, a person accused of a felony is entitled to a twelve-member jury if the accused faces the potential of incarceration for </w:t>
      </w:r>
      <w:r w:rsidR="009A2B30">
        <w:rPr>
          <w:rFonts w:ascii="Times New Roman" w:eastAsia="Calibri" w:hAnsi="Times New Roman" w:cs="Times New Roman"/>
          <w:kern w:val="2"/>
          <w:sz w:val="26"/>
          <w:szCs w:val="26"/>
          <w14:ligatures w14:val="standardContextual"/>
        </w:rPr>
        <w:t>thirty</w:t>
      </w:r>
      <w:r w:rsidRPr="00E35CBE">
        <w:rPr>
          <w:rFonts w:ascii="Times New Roman" w:eastAsia="Calibri" w:hAnsi="Times New Roman" w:cs="Times New Roman"/>
          <w:kern w:val="2"/>
          <w:sz w:val="26"/>
          <w:szCs w:val="26"/>
          <w14:ligatures w14:val="standardContextual"/>
        </w:rPr>
        <w:t xml:space="preserve"> years or more.  (</w:t>
      </w:r>
      <w:r w:rsidRPr="00E35CBE">
        <w:rPr>
          <w:rFonts w:ascii="Times New Roman" w:eastAsia="Calibri" w:hAnsi="Times New Roman" w:cs="Times New Roman"/>
          <w:i/>
          <w:iCs/>
          <w:kern w:val="2"/>
          <w:sz w:val="26"/>
          <w:szCs w:val="26"/>
          <w14:ligatures w14:val="standardContextual"/>
        </w:rPr>
        <w:t>Id.</w:t>
      </w:r>
      <w:r w:rsidRPr="00E35CBE">
        <w:rPr>
          <w:rFonts w:ascii="Times New Roman" w:eastAsia="Calibri" w:hAnsi="Times New Roman" w:cs="Times New Roman"/>
          <w:kern w:val="2"/>
          <w:sz w:val="26"/>
          <w:szCs w:val="26"/>
          <w14:ligatures w14:val="standardContextual"/>
        </w:rPr>
        <w:t xml:space="preserve"> at 3 (citing Ariz. Const. Art. 2, Sec. 23).)   </w:t>
      </w:r>
    </w:p>
    <w:p w14:paraId="13D0F240" w14:textId="3BC39914" w:rsidR="00E35CBE" w:rsidRPr="00E35CBE" w:rsidRDefault="00E35CBE" w:rsidP="00E35CBE">
      <w:pPr>
        <w:widowControl/>
        <w:spacing w:line="480" w:lineRule="auto"/>
        <w:ind w:right="90" w:firstLine="720"/>
        <w:jc w:val="both"/>
        <w:rPr>
          <w:rFonts w:ascii="Times New Roman" w:eastAsia="Calibri" w:hAnsi="Times New Roman" w:cs="Times New Roman"/>
          <w:kern w:val="2"/>
          <w:sz w:val="26"/>
          <w:szCs w:val="26"/>
          <w14:ligatures w14:val="standardContextual"/>
        </w:rPr>
      </w:pPr>
      <w:r w:rsidRPr="00E35CBE">
        <w:rPr>
          <w:rFonts w:ascii="Times New Roman" w:eastAsia="Calibri" w:hAnsi="Times New Roman" w:cs="Times New Roman"/>
          <w:kern w:val="2"/>
          <w:sz w:val="26"/>
          <w:szCs w:val="26"/>
          <w14:ligatures w14:val="standardContextual"/>
        </w:rPr>
        <w:t xml:space="preserve">Under the statute that the Rule Petition addresses (A.R.S. §§ 13-4517(A)(4) and 13-4521), the </w:t>
      </w:r>
      <w:r w:rsidR="009B2E0D">
        <w:rPr>
          <w:rFonts w:ascii="Times New Roman" w:eastAsia="Calibri" w:hAnsi="Times New Roman" w:cs="Times New Roman"/>
          <w:kern w:val="2"/>
          <w:sz w:val="26"/>
          <w:szCs w:val="26"/>
          <w14:ligatures w14:val="standardContextual"/>
        </w:rPr>
        <w:t>duration</w:t>
      </w:r>
      <w:r w:rsidRPr="00E35CBE">
        <w:rPr>
          <w:rFonts w:ascii="Times New Roman" w:eastAsia="Calibri" w:hAnsi="Times New Roman" w:cs="Times New Roman"/>
          <w:kern w:val="2"/>
          <w:sz w:val="26"/>
          <w:szCs w:val="26"/>
          <w14:ligatures w14:val="standardContextual"/>
        </w:rPr>
        <w:t xml:space="preserve"> of potential involuntary commitment contains no limit—it can exceed </w:t>
      </w:r>
      <w:r w:rsidR="009A2B30">
        <w:rPr>
          <w:rFonts w:ascii="Times New Roman" w:eastAsia="Calibri" w:hAnsi="Times New Roman" w:cs="Times New Roman"/>
          <w:kern w:val="2"/>
          <w:sz w:val="26"/>
          <w:szCs w:val="26"/>
          <w14:ligatures w14:val="standardContextual"/>
        </w:rPr>
        <w:t>thirty</w:t>
      </w:r>
      <w:r w:rsidRPr="00E35CBE">
        <w:rPr>
          <w:rFonts w:ascii="Times New Roman" w:eastAsia="Calibri" w:hAnsi="Times New Roman" w:cs="Times New Roman"/>
          <w:kern w:val="2"/>
          <w:sz w:val="26"/>
          <w:szCs w:val="26"/>
          <w14:ligatures w14:val="standardContextual"/>
        </w:rPr>
        <w:t xml:space="preserve"> years.  Purely as a matter of Arizona state law, a twelve-member jury should be required.</w:t>
      </w:r>
    </w:p>
    <w:p w14:paraId="51EA4057" w14:textId="486A5DC2" w:rsidR="00E35CBE" w:rsidRPr="009B2E0D" w:rsidRDefault="00E35CBE" w:rsidP="00E35CBE">
      <w:pPr>
        <w:widowControl/>
        <w:spacing w:line="480" w:lineRule="auto"/>
        <w:ind w:right="90"/>
        <w:jc w:val="both"/>
        <w:rPr>
          <w:rFonts w:ascii="Times New Roman" w:eastAsia="Calibri" w:hAnsi="Times New Roman" w:cs="Times New Roman"/>
          <w:kern w:val="2"/>
          <w:sz w:val="26"/>
          <w:szCs w:val="26"/>
          <w14:ligatures w14:val="standardContextual"/>
        </w:rPr>
      </w:pPr>
      <w:r w:rsidRPr="00E35CBE">
        <w:rPr>
          <w:rFonts w:ascii="Times New Roman" w:eastAsia="Calibri" w:hAnsi="Times New Roman" w:cs="Times New Roman"/>
          <w:kern w:val="2"/>
          <w:sz w:val="26"/>
          <w:szCs w:val="26"/>
          <w14:ligatures w14:val="standardContextual"/>
        </w:rPr>
        <w:lastRenderedPageBreak/>
        <w:tab/>
        <w:t>Under federal law—that is, for a federal defendant, and even for a state defendant in 44 other states—a person accused of a felony is entitled to a twelve-member jury if the</w:t>
      </w:r>
      <w:r w:rsidR="009B2E0D">
        <w:rPr>
          <w:rFonts w:ascii="Times New Roman" w:eastAsia="Calibri" w:hAnsi="Times New Roman" w:cs="Times New Roman"/>
          <w:kern w:val="2"/>
          <w:sz w:val="26"/>
          <w:szCs w:val="26"/>
          <w14:ligatures w14:val="standardContextual"/>
        </w:rPr>
        <w:t xml:space="preserve"> </w:t>
      </w:r>
      <w:r w:rsidRPr="00E35CBE">
        <w:rPr>
          <w:rFonts w:ascii="Times New Roman" w:eastAsia="Calibri" w:hAnsi="Times New Roman" w:cs="Times New Roman"/>
          <w:kern w:val="2"/>
          <w:sz w:val="26"/>
          <w:szCs w:val="26"/>
          <w14:ligatures w14:val="standardContextual"/>
        </w:rPr>
        <w:t xml:space="preserve">person faces the potential of incarceration for </w:t>
      </w:r>
      <w:r w:rsidR="009A2B30">
        <w:rPr>
          <w:rFonts w:ascii="Times New Roman" w:eastAsia="Calibri" w:hAnsi="Times New Roman" w:cs="Times New Roman"/>
          <w:kern w:val="2"/>
          <w:sz w:val="26"/>
          <w:szCs w:val="26"/>
          <w14:ligatures w14:val="standardContextual"/>
        </w:rPr>
        <w:t>six</w:t>
      </w:r>
      <w:r w:rsidRPr="00E35CBE">
        <w:rPr>
          <w:rFonts w:ascii="Times New Roman" w:eastAsia="Calibri" w:hAnsi="Times New Roman" w:cs="Times New Roman"/>
          <w:kern w:val="2"/>
          <w:sz w:val="26"/>
          <w:szCs w:val="26"/>
          <w14:ligatures w14:val="standardContextual"/>
        </w:rPr>
        <w:t xml:space="preserve"> months</w:t>
      </w:r>
      <w:r w:rsidR="009B2E0D">
        <w:rPr>
          <w:rFonts w:ascii="Times New Roman" w:eastAsia="Calibri" w:hAnsi="Times New Roman" w:cs="Times New Roman"/>
          <w:kern w:val="2"/>
          <w:sz w:val="26"/>
          <w:szCs w:val="26"/>
          <w14:ligatures w14:val="standardContextual"/>
        </w:rPr>
        <w:t xml:space="preserve"> </w:t>
      </w:r>
      <w:r w:rsidRPr="00E35CBE">
        <w:rPr>
          <w:rFonts w:ascii="Times New Roman" w:eastAsia="Calibri" w:hAnsi="Times New Roman" w:cs="Times New Roman"/>
          <w:kern w:val="2"/>
          <w:sz w:val="26"/>
          <w:szCs w:val="26"/>
          <w14:ligatures w14:val="standardContextual"/>
        </w:rPr>
        <w:t xml:space="preserve">or more. </w:t>
      </w:r>
      <w:r w:rsidRPr="00E35CBE">
        <w:rPr>
          <w:rFonts w:ascii="Times New Roman" w:eastAsia="Calibri" w:hAnsi="Times New Roman" w:cs="Times New Roman"/>
          <w:i/>
          <w:iCs/>
          <w:kern w:val="2"/>
          <w:sz w:val="26"/>
          <w:szCs w:val="26"/>
          <w14:ligatures w14:val="standardContextual"/>
        </w:rPr>
        <w:t>See Codispoti v. Pennsylvania</w:t>
      </w:r>
      <w:r w:rsidRPr="00E35CBE">
        <w:rPr>
          <w:rFonts w:ascii="Times New Roman" w:eastAsia="Calibri" w:hAnsi="Times New Roman" w:cs="Times New Roman"/>
          <w:kern w:val="2"/>
          <w:sz w:val="26"/>
          <w:szCs w:val="26"/>
          <w14:ligatures w14:val="standardContextual"/>
        </w:rPr>
        <w:t>, 418 U.S. 506, 512 n.4 (1976) (interpreting</w:t>
      </w:r>
      <w:r w:rsidR="009B2E0D">
        <w:rPr>
          <w:rFonts w:ascii="Times New Roman" w:eastAsia="Calibri" w:hAnsi="Times New Roman" w:cs="Times New Roman"/>
          <w:kern w:val="2"/>
          <w:sz w:val="26"/>
          <w:szCs w:val="26"/>
          <w14:ligatures w14:val="standardContextual"/>
        </w:rPr>
        <w:t xml:space="preserve"> </w:t>
      </w:r>
      <w:r w:rsidRPr="00E35CBE">
        <w:rPr>
          <w:rFonts w:ascii="Times New Roman" w:eastAsia="Calibri" w:hAnsi="Times New Roman" w:cs="Times New Roman"/>
          <w:i/>
          <w:iCs/>
          <w:kern w:val="2"/>
          <w:sz w:val="26"/>
          <w:szCs w:val="26"/>
          <w14:ligatures w14:val="standardContextual"/>
        </w:rPr>
        <w:t>Baldwin v. New York</w:t>
      </w:r>
      <w:r w:rsidRPr="00E35CBE">
        <w:rPr>
          <w:rFonts w:ascii="Times New Roman" w:eastAsia="Calibri" w:hAnsi="Times New Roman" w:cs="Times New Roman"/>
          <w:kern w:val="2"/>
          <w:sz w:val="26"/>
          <w:szCs w:val="26"/>
          <w14:ligatures w14:val="standardContextual"/>
        </w:rPr>
        <w:t xml:space="preserve">, 399 U.S. 66, 69 n.6 (1970) (plurality opinion)).   </w:t>
      </w:r>
      <w:r w:rsidRPr="00E35CBE">
        <w:rPr>
          <w:rFonts w:ascii="Times New Roman" w:eastAsia="Calibri" w:hAnsi="Times New Roman" w:cs="Times New Roman"/>
          <w:i/>
          <w:iCs/>
          <w:kern w:val="2"/>
          <w:sz w:val="26"/>
          <w:szCs w:val="26"/>
          <w14:ligatures w14:val="standardContextual"/>
        </w:rPr>
        <w:t xml:space="preserve"> </w:t>
      </w:r>
    </w:p>
    <w:p w14:paraId="22B32133" w14:textId="77777777" w:rsidR="00E35CBE" w:rsidRPr="00E35CBE" w:rsidRDefault="00E35CBE" w:rsidP="00E35CBE">
      <w:pPr>
        <w:widowControl/>
        <w:spacing w:line="480" w:lineRule="auto"/>
        <w:ind w:right="90" w:firstLine="720"/>
        <w:jc w:val="both"/>
        <w:rPr>
          <w:rFonts w:ascii="Times New Roman" w:eastAsia="Calibri" w:hAnsi="Times New Roman" w:cs="Times New Roman"/>
          <w:kern w:val="2"/>
          <w:sz w:val="26"/>
          <w:szCs w:val="26"/>
          <w14:ligatures w14:val="standardContextual"/>
        </w:rPr>
      </w:pPr>
      <w:r w:rsidRPr="00E35CBE">
        <w:rPr>
          <w:rFonts w:ascii="Times New Roman" w:eastAsia="Calibri" w:hAnsi="Times New Roman" w:cs="Times New Roman"/>
          <w:kern w:val="2"/>
          <w:sz w:val="26"/>
          <w:szCs w:val="26"/>
          <w14:ligatures w14:val="standardContextual"/>
        </w:rPr>
        <w:t xml:space="preserve">Nonetheless, as the pending Rule Petition correctly documents, the Supreme Court of the United States issued a decision in 1970 that allows the States to reduce the size of what would otherwise be the twelve-member jury down to as little as a six-member jury.  </w:t>
      </w:r>
      <w:r w:rsidRPr="00E35CBE">
        <w:rPr>
          <w:rFonts w:ascii="Times New Roman" w:eastAsia="Calibri" w:hAnsi="Times New Roman" w:cs="Times New Roman"/>
          <w:i/>
          <w:iCs/>
          <w:kern w:val="2"/>
          <w:sz w:val="26"/>
          <w:szCs w:val="26"/>
          <w14:ligatures w14:val="standardContextual"/>
        </w:rPr>
        <w:t>See Williams v. Florida</w:t>
      </w:r>
      <w:r w:rsidRPr="00E35CBE">
        <w:rPr>
          <w:rFonts w:ascii="Times New Roman" w:eastAsia="Calibri" w:hAnsi="Times New Roman" w:cs="Times New Roman"/>
          <w:kern w:val="2"/>
          <w:sz w:val="26"/>
          <w:szCs w:val="26"/>
          <w14:ligatures w14:val="standardContextual"/>
        </w:rPr>
        <w:t xml:space="preserve">, 399 U.S. 78, 86-103 (1970).  </w:t>
      </w:r>
    </w:p>
    <w:p w14:paraId="4D0D61F7" w14:textId="77777777" w:rsidR="00E35CBE" w:rsidRPr="00E35CBE" w:rsidRDefault="00E35CBE" w:rsidP="00E35CBE">
      <w:pPr>
        <w:widowControl/>
        <w:spacing w:line="480" w:lineRule="auto"/>
        <w:ind w:right="90"/>
        <w:jc w:val="both"/>
        <w:rPr>
          <w:rFonts w:ascii="Times New Roman" w:eastAsia="Calibri" w:hAnsi="Times New Roman" w:cs="Times New Roman"/>
          <w:kern w:val="2"/>
          <w:sz w:val="26"/>
          <w:szCs w:val="26"/>
          <w14:ligatures w14:val="standardContextual"/>
        </w:rPr>
      </w:pPr>
      <w:r w:rsidRPr="00E35CBE">
        <w:rPr>
          <w:rFonts w:ascii="Times New Roman" w:eastAsia="Calibri" w:hAnsi="Times New Roman" w:cs="Times New Roman"/>
          <w:kern w:val="2"/>
          <w:sz w:val="26"/>
          <w:szCs w:val="26"/>
          <w14:ligatures w14:val="standardContextual"/>
        </w:rPr>
        <w:tab/>
        <w:t xml:space="preserve">As Justice Gorsuch contends, </w:t>
      </w:r>
      <w:r w:rsidRPr="00E35CBE">
        <w:rPr>
          <w:rFonts w:ascii="Times New Roman" w:eastAsia="Calibri" w:hAnsi="Times New Roman" w:cs="Times New Roman"/>
          <w:i/>
          <w:iCs/>
          <w:kern w:val="2"/>
          <w:sz w:val="26"/>
          <w:szCs w:val="26"/>
          <w14:ligatures w14:val="standardContextual"/>
        </w:rPr>
        <w:t>Williams v. Florida</w:t>
      </w:r>
      <w:r w:rsidRPr="00E35CBE">
        <w:rPr>
          <w:rFonts w:ascii="Times New Roman" w:eastAsia="Calibri" w:hAnsi="Times New Roman" w:cs="Times New Roman"/>
          <w:kern w:val="2"/>
          <w:sz w:val="26"/>
          <w:szCs w:val="26"/>
          <w14:ligatures w14:val="standardContextual"/>
        </w:rPr>
        <w:t xml:space="preserve"> is wrongly decided.  </w:t>
      </w:r>
      <w:r w:rsidRPr="00E35CBE">
        <w:rPr>
          <w:rFonts w:ascii="Times New Roman" w:eastAsia="Calibri" w:hAnsi="Times New Roman" w:cs="Times New Roman"/>
          <w:i/>
          <w:iCs/>
          <w:kern w:val="2"/>
          <w:sz w:val="26"/>
          <w:szCs w:val="26"/>
          <w14:ligatures w14:val="standardContextual"/>
        </w:rPr>
        <w:t>See Khorrami v. Arizona</w:t>
      </w:r>
      <w:r w:rsidRPr="00E35CBE">
        <w:rPr>
          <w:rFonts w:ascii="Times New Roman" w:eastAsia="Calibri" w:hAnsi="Times New Roman" w:cs="Times New Roman"/>
          <w:kern w:val="2"/>
          <w:sz w:val="26"/>
          <w:szCs w:val="26"/>
          <w14:ligatures w14:val="standardContextual"/>
        </w:rPr>
        <w:t xml:space="preserve">, 598 U.S. ___, 143 S.Ct. 22, 23-27 (Nov. 7, 2022) (Gorsuch, J., dissenting from the denial of certiorari) (opining that the decision “contravened the Sixth Amendment’s original meaning and hundreds of years of precedent in both common-law courts and this one”).  </w:t>
      </w:r>
    </w:p>
    <w:p w14:paraId="157422AA" w14:textId="77777777" w:rsidR="00E35CBE" w:rsidRPr="00E35CBE" w:rsidRDefault="00E35CBE" w:rsidP="00E35CBE">
      <w:pPr>
        <w:widowControl/>
        <w:spacing w:line="480" w:lineRule="auto"/>
        <w:ind w:right="90" w:firstLine="720"/>
        <w:jc w:val="both"/>
        <w:rPr>
          <w:rFonts w:ascii="Times New Roman" w:eastAsia="Calibri" w:hAnsi="Times New Roman" w:cs="Times New Roman"/>
          <w:kern w:val="2"/>
          <w:sz w:val="26"/>
          <w:szCs w:val="26"/>
          <w14:ligatures w14:val="standardContextual"/>
        </w:rPr>
      </w:pPr>
      <w:r w:rsidRPr="00E35CBE">
        <w:rPr>
          <w:rFonts w:ascii="Times New Roman" w:eastAsia="Calibri" w:hAnsi="Times New Roman" w:cs="Times New Roman"/>
          <w:kern w:val="2"/>
          <w:sz w:val="26"/>
          <w:szCs w:val="26"/>
          <w14:ligatures w14:val="standardContextual"/>
        </w:rPr>
        <w:t xml:space="preserve">Although the Court in </w:t>
      </w:r>
      <w:r w:rsidRPr="00E35CBE">
        <w:rPr>
          <w:rFonts w:ascii="Times New Roman" w:eastAsia="Calibri" w:hAnsi="Times New Roman" w:cs="Times New Roman"/>
          <w:i/>
          <w:iCs/>
          <w:kern w:val="2"/>
          <w:sz w:val="26"/>
          <w:szCs w:val="26"/>
          <w14:ligatures w14:val="standardContextual"/>
        </w:rPr>
        <w:t>Williams</w:t>
      </w:r>
      <w:r w:rsidRPr="00E35CBE">
        <w:rPr>
          <w:rFonts w:ascii="Times New Roman" w:eastAsia="Calibri" w:hAnsi="Times New Roman" w:cs="Times New Roman"/>
          <w:kern w:val="2"/>
          <w:sz w:val="26"/>
          <w:szCs w:val="26"/>
          <w14:ligatures w14:val="standardContextual"/>
        </w:rPr>
        <w:t xml:space="preserve"> identified a primary function of the criminal right to a jury trial as preventing oppression and arbitrary law enforcement by interposing the jurors as a neutral institutional body in between the Government and the people, the </w:t>
      </w:r>
      <w:r w:rsidRPr="00E35CBE">
        <w:rPr>
          <w:rFonts w:ascii="Times New Roman" w:eastAsia="Calibri" w:hAnsi="Times New Roman" w:cs="Times New Roman"/>
          <w:i/>
          <w:iCs/>
          <w:kern w:val="2"/>
          <w:sz w:val="26"/>
          <w:szCs w:val="26"/>
          <w14:ligatures w14:val="standardContextual"/>
        </w:rPr>
        <w:t>Williams</w:t>
      </w:r>
      <w:r w:rsidRPr="00E35CBE">
        <w:rPr>
          <w:rFonts w:ascii="Times New Roman" w:eastAsia="Calibri" w:hAnsi="Times New Roman" w:cs="Times New Roman"/>
          <w:kern w:val="2"/>
          <w:sz w:val="26"/>
          <w:szCs w:val="26"/>
          <w14:ligatures w14:val="standardContextual"/>
        </w:rPr>
        <w:t xml:space="preserve"> Court held that the actual </w:t>
      </w:r>
      <w:r w:rsidRPr="00E35CBE">
        <w:rPr>
          <w:rFonts w:ascii="Times New Roman" w:eastAsia="Calibri" w:hAnsi="Times New Roman" w:cs="Times New Roman"/>
          <w:i/>
          <w:iCs/>
          <w:kern w:val="2"/>
          <w:sz w:val="26"/>
          <w:szCs w:val="26"/>
          <w14:ligatures w14:val="standardContextual"/>
        </w:rPr>
        <w:t>size</w:t>
      </w:r>
      <w:r w:rsidRPr="00E35CBE">
        <w:rPr>
          <w:rFonts w:ascii="Times New Roman" w:eastAsia="Calibri" w:hAnsi="Times New Roman" w:cs="Times New Roman"/>
          <w:kern w:val="2"/>
          <w:sz w:val="26"/>
          <w:szCs w:val="26"/>
          <w14:ligatures w14:val="standardContextual"/>
        </w:rPr>
        <w:t xml:space="preserve"> of the jury was not related to that primary </w:t>
      </w:r>
      <w:r w:rsidRPr="00E35CBE">
        <w:rPr>
          <w:rFonts w:ascii="Times New Roman" w:eastAsia="Calibri" w:hAnsi="Times New Roman" w:cs="Times New Roman"/>
          <w:i/>
          <w:iCs/>
          <w:kern w:val="2"/>
          <w:sz w:val="26"/>
          <w:szCs w:val="26"/>
          <w14:ligatures w14:val="standardContextual"/>
        </w:rPr>
        <w:t>function</w:t>
      </w:r>
      <w:r w:rsidRPr="00E35CBE">
        <w:rPr>
          <w:rFonts w:ascii="Times New Roman" w:eastAsia="Calibri" w:hAnsi="Times New Roman" w:cs="Times New Roman"/>
          <w:kern w:val="2"/>
          <w:sz w:val="26"/>
          <w:szCs w:val="26"/>
          <w14:ligatures w14:val="standardContextual"/>
        </w:rPr>
        <w:t xml:space="preserve">.  </w:t>
      </w:r>
      <w:r w:rsidRPr="00E35CBE">
        <w:rPr>
          <w:rFonts w:ascii="Times New Roman" w:eastAsia="Calibri" w:hAnsi="Times New Roman" w:cs="Times New Roman"/>
          <w:i/>
          <w:iCs/>
          <w:kern w:val="2"/>
          <w:sz w:val="26"/>
          <w:szCs w:val="26"/>
          <w14:ligatures w14:val="standardContextual"/>
        </w:rPr>
        <w:t>See Williams</w:t>
      </w:r>
      <w:r w:rsidRPr="00E35CBE">
        <w:rPr>
          <w:rFonts w:ascii="Times New Roman" w:eastAsia="Calibri" w:hAnsi="Times New Roman" w:cs="Times New Roman"/>
          <w:kern w:val="2"/>
          <w:sz w:val="26"/>
          <w:szCs w:val="26"/>
          <w14:ligatures w14:val="standardContextual"/>
        </w:rPr>
        <w:t xml:space="preserve">, 399 U.S. at 99-103.  </w:t>
      </w:r>
    </w:p>
    <w:p w14:paraId="236296BF" w14:textId="77777777" w:rsidR="00E35CBE" w:rsidRPr="00E35CBE" w:rsidRDefault="00E35CBE" w:rsidP="00E35CBE">
      <w:pPr>
        <w:widowControl/>
        <w:spacing w:line="480" w:lineRule="auto"/>
        <w:ind w:right="90"/>
        <w:jc w:val="both"/>
        <w:rPr>
          <w:rFonts w:ascii="Times New Roman" w:eastAsia="Calibri" w:hAnsi="Times New Roman" w:cs="Times New Roman"/>
          <w:kern w:val="2"/>
          <w:sz w:val="26"/>
          <w:szCs w:val="26"/>
          <w14:ligatures w14:val="standardContextual"/>
        </w:rPr>
      </w:pPr>
      <w:r w:rsidRPr="00E35CBE">
        <w:rPr>
          <w:rFonts w:ascii="Times New Roman" w:eastAsia="Calibri" w:hAnsi="Times New Roman" w:cs="Times New Roman"/>
          <w:kern w:val="2"/>
          <w:sz w:val="26"/>
          <w:szCs w:val="26"/>
          <w14:ligatures w14:val="standardContextual"/>
        </w:rPr>
        <w:tab/>
        <w:t xml:space="preserve">But this was mistaken.  </w:t>
      </w:r>
    </w:p>
    <w:p w14:paraId="183DDFB3" w14:textId="21DA3039" w:rsidR="00E35CBE" w:rsidRPr="00E35CBE" w:rsidRDefault="00E35CBE" w:rsidP="00E35CBE">
      <w:pPr>
        <w:widowControl/>
        <w:spacing w:line="480" w:lineRule="auto"/>
        <w:ind w:right="90"/>
        <w:jc w:val="both"/>
        <w:rPr>
          <w:rFonts w:ascii="Times New Roman" w:eastAsia="Calibri" w:hAnsi="Times New Roman" w:cs="Times New Roman"/>
          <w:kern w:val="2"/>
          <w:sz w:val="26"/>
          <w:szCs w:val="26"/>
          <w14:ligatures w14:val="standardContextual"/>
        </w:rPr>
      </w:pPr>
      <w:r w:rsidRPr="00E35CBE">
        <w:rPr>
          <w:rFonts w:ascii="Times New Roman" w:eastAsia="Calibri" w:hAnsi="Times New Roman" w:cs="Times New Roman"/>
          <w:kern w:val="2"/>
          <w:sz w:val="26"/>
          <w:szCs w:val="26"/>
          <w14:ligatures w14:val="standardContextual"/>
        </w:rPr>
        <w:tab/>
        <w:t xml:space="preserve">It is the criminal jury’s twelve-member size that contributes to that very function.  </w:t>
      </w:r>
      <w:r w:rsidRPr="00E35CBE">
        <w:rPr>
          <w:rFonts w:ascii="Times New Roman" w:eastAsia="Calibri" w:hAnsi="Times New Roman" w:cs="Times New Roman"/>
          <w:i/>
          <w:iCs/>
          <w:kern w:val="2"/>
          <w:sz w:val="26"/>
          <w:szCs w:val="26"/>
          <w14:ligatures w14:val="standardContextual"/>
        </w:rPr>
        <w:t>Cf. Khorrami</w:t>
      </w:r>
      <w:r w:rsidRPr="00E35CBE">
        <w:rPr>
          <w:rFonts w:ascii="Times New Roman" w:eastAsia="Calibri" w:hAnsi="Times New Roman" w:cs="Times New Roman"/>
          <w:kern w:val="2"/>
          <w:sz w:val="26"/>
          <w:szCs w:val="26"/>
          <w14:ligatures w14:val="standardContextual"/>
        </w:rPr>
        <w:t xml:space="preserve">, 143 S.Ct. at 26-27.  The criminal jury’s twelve-member size </w:t>
      </w:r>
      <w:r w:rsidR="009B2E0D">
        <w:rPr>
          <w:rFonts w:ascii="Times New Roman" w:eastAsia="Calibri" w:hAnsi="Times New Roman" w:cs="Times New Roman"/>
          <w:kern w:val="2"/>
          <w:sz w:val="26"/>
          <w:szCs w:val="26"/>
          <w14:ligatures w14:val="standardContextual"/>
        </w:rPr>
        <w:t xml:space="preserve">is integral to </w:t>
      </w:r>
      <w:r w:rsidR="009B2E0D">
        <w:rPr>
          <w:rFonts w:ascii="Times New Roman" w:eastAsia="Calibri" w:hAnsi="Times New Roman" w:cs="Times New Roman"/>
          <w:kern w:val="2"/>
          <w:sz w:val="26"/>
          <w:szCs w:val="26"/>
          <w14:ligatures w14:val="standardContextual"/>
        </w:rPr>
        <w:lastRenderedPageBreak/>
        <w:t>holding the State to its burden of proof.</w:t>
      </w:r>
      <w:r w:rsidRPr="00E35CBE">
        <w:rPr>
          <w:rFonts w:ascii="Times New Roman" w:eastAsia="Calibri" w:hAnsi="Times New Roman" w:cs="Times New Roman"/>
          <w:kern w:val="2"/>
          <w:sz w:val="26"/>
          <w:szCs w:val="26"/>
          <w14:ligatures w14:val="standardContextual"/>
        </w:rPr>
        <w:t xml:space="preserve"> </w:t>
      </w:r>
      <w:r w:rsidR="009A2B30">
        <w:rPr>
          <w:rFonts w:ascii="Times New Roman" w:eastAsia="Calibri" w:hAnsi="Times New Roman" w:cs="Times New Roman"/>
          <w:kern w:val="2"/>
          <w:sz w:val="26"/>
          <w:szCs w:val="26"/>
          <w14:ligatures w14:val="standardContextual"/>
        </w:rPr>
        <w:t>For</w:t>
      </w:r>
      <w:r w:rsidRPr="00E35CBE">
        <w:rPr>
          <w:rFonts w:ascii="Times New Roman" w:eastAsia="Calibri" w:hAnsi="Times New Roman" w:cs="Times New Roman"/>
          <w:kern w:val="2"/>
          <w:sz w:val="26"/>
          <w:szCs w:val="26"/>
          <w14:ligatures w14:val="standardContextual"/>
        </w:rPr>
        <w:t xml:space="preserve"> the State to obtain a conviction or a finding: it is easier to persuade eight out of eight people than it is to persuade </w:t>
      </w:r>
      <w:r w:rsidR="009A2B30">
        <w:rPr>
          <w:rFonts w:ascii="Times New Roman" w:eastAsia="Calibri" w:hAnsi="Times New Roman" w:cs="Times New Roman"/>
          <w:kern w:val="2"/>
          <w:sz w:val="26"/>
          <w:szCs w:val="26"/>
          <w14:ligatures w14:val="standardContextual"/>
        </w:rPr>
        <w:t>twelve</w:t>
      </w:r>
      <w:r w:rsidRPr="00E35CBE">
        <w:rPr>
          <w:rFonts w:ascii="Times New Roman" w:eastAsia="Calibri" w:hAnsi="Times New Roman" w:cs="Times New Roman"/>
          <w:kern w:val="2"/>
          <w:sz w:val="26"/>
          <w:szCs w:val="26"/>
          <w14:ligatures w14:val="standardContextual"/>
        </w:rPr>
        <w:t xml:space="preserve"> out </w:t>
      </w:r>
      <w:r w:rsidR="009A2B30">
        <w:rPr>
          <w:rFonts w:ascii="Times New Roman" w:eastAsia="Calibri" w:hAnsi="Times New Roman" w:cs="Times New Roman"/>
          <w:kern w:val="2"/>
          <w:sz w:val="26"/>
          <w:szCs w:val="26"/>
          <w14:ligatures w14:val="standardContextual"/>
        </w:rPr>
        <w:t>twelve</w:t>
      </w:r>
      <w:r w:rsidRPr="00E35CBE">
        <w:rPr>
          <w:rFonts w:ascii="Times New Roman" w:eastAsia="Calibri" w:hAnsi="Times New Roman" w:cs="Times New Roman"/>
          <w:kern w:val="2"/>
          <w:sz w:val="26"/>
          <w:szCs w:val="26"/>
          <w14:ligatures w14:val="standardContextual"/>
        </w:rPr>
        <w:t xml:space="preserve"> people.  </w:t>
      </w:r>
      <w:r w:rsidRPr="00E35CBE">
        <w:rPr>
          <w:rFonts w:ascii="Times New Roman" w:eastAsia="Calibri" w:hAnsi="Times New Roman" w:cs="Times New Roman"/>
          <w:i/>
          <w:iCs/>
          <w:kern w:val="2"/>
          <w:sz w:val="26"/>
          <w:szCs w:val="26"/>
          <w14:ligatures w14:val="standardContextual"/>
        </w:rPr>
        <w:t>Cf. id.</w:t>
      </w:r>
      <w:r w:rsidRPr="00E35CBE">
        <w:rPr>
          <w:rFonts w:ascii="Times New Roman" w:eastAsia="Calibri" w:hAnsi="Times New Roman" w:cs="Times New Roman"/>
          <w:kern w:val="2"/>
          <w:sz w:val="26"/>
          <w:szCs w:val="26"/>
          <w14:ligatures w14:val="standardContextual"/>
        </w:rPr>
        <w:t xml:space="preserve">  </w:t>
      </w:r>
    </w:p>
    <w:p w14:paraId="18BBA65A" w14:textId="77777777" w:rsidR="00E35CBE" w:rsidRPr="00E35CBE" w:rsidRDefault="00E35CBE" w:rsidP="00E35CBE">
      <w:pPr>
        <w:widowControl/>
        <w:spacing w:line="480" w:lineRule="auto"/>
        <w:ind w:right="90"/>
        <w:jc w:val="both"/>
        <w:rPr>
          <w:rFonts w:ascii="Times New Roman" w:eastAsia="Calibri" w:hAnsi="Times New Roman" w:cs="Times New Roman"/>
          <w:kern w:val="2"/>
          <w:sz w:val="26"/>
          <w:szCs w:val="26"/>
          <w14:ligatures w14:val="standardContextual"/>
        </w:rPr>
      </w:pPr>
      <w:r w:rsidRPr="00E35CBE">
        <w:rPr>
          <w:rFonts w:ascii="Times New Roman" w:eastAsia="Calibri" w:hAnsi="Times New Roman" w:cs="Times New Roman"/>
          <w:kern w:val="2"/>
          <w:sz w:val="26"/>
          <w:szCs w:val="26"/>
          <w14:ligatures w14:val="standardContextual"/>
        </w:rPr>
        <w:tab/>
        <w:t xml:space="preserve">And the greater the jury size, the more likely that the jury will represent a fair cross-section of the community through more diverse racial composition of the jurors.   </w:t>
      </w:r>
      <w:r w:rsidRPr="00E35CBE">
        <w:rPr>
          <w:rFonts w:ascii="Times New Roman" w:eastAsia="Calibri" w:hAnsi="Times New Roman" w:cs="Times New Roman"/>
          <w:i/>
          <w:iCs/>
          <w:kern w:val="2"/>
          <w:sz w:val="26"/>
          <w:szCs w:val="26"/>
          <w14:ligatures w14:val="standardContextual"/>
        </w:rPr>
        <w:t>See id.</w:t>
      </w:r>
      <w:r w:rsidRPr="00E35CBE">
        <w:rPr>
          <w:rFonts w:ascii="Times New Roman" w:eastAsia="Calibri" w:hAnsi="Times New Roman" w:cs="Times New Roman"/>
          <w:kern w:val="2"/>
          <w:sz w:val="26"/>
          <w:szCs w:val="26"/>
          <w14:ligatures w14:val="standardContextual"/>
        </w:rPr>
        <w:t xml:space="preserve"> at 27.  </w:t>
      </w:r>
    </w:p>
    <w:p w14:paraId="71E999BE" w14:textId="77777777" w:rsidR="00E35CBE" w:rsidRPr="00E35CBE" w:rsidRDefault="00E35CBE" w:rsidP="00E35CBE">
      <w:pPr>
        <w:widowControl/>
        <w:spacing w:line="480" w:lineRule="auto"/>
        <w:ind w:right="90" w:firstLine="720"/>
        <w:jc w:val="both"/>
        <w:rPr>
          <w:rFonts w:ascii="Times New Roman" w:eastAsia="Calibri" w:hAnsi="Times New Roman" w:cs="Times New Roman"/>
          <w:kern w:val="2"/>
          <w:sz w:val="26"/>
          <w:szCs w:val="26"/>
          <w14:ligatures w14:val="standardContextual"/>
        </w:rPr>
      </w:pPr>
      <w:r w:rsidRPr="00E35CBE">
        <w:rPr>
          <w:rFonts w:ascii="Times New Roman" w:eastAsia="Calibri" w:hAnsi="Times New Roman" w:cs="Times New Roman"/>
          <w:kern w:val="2"/>
          <w:sz w:val="26"/>
          <w:szCs w:val="26"/>
          <w14:ligatures w14:val="standardContextual"/>
        </w:rPr>
        <w:t xml:space="preserve">Although the </w:t>
      </w:r>
      <w:r w:rsidRPr="00E35CBE">
        <w:rPr>
          <w:rFonts w:ascii="Times New Roman" w:eastAsia="Calibri" w:hAnsi="Times New Roman" w:cs="Times New Roman"/>
          <w:i/>
          <w:iCs/>
          <w:kern w:val="2"/>
          <w:sz w:val="26"/>
          <w:szCs w:val="26"/>
          <w14:ligatures w14:val="standardContextual"/>
        </w:rPr>
        <w:t>Williams</w:t>
      </w:r>
      <w:r w:rsidRPr="00E35CBE">
        <w:rPr>
          <w:rFonts w:ascii="Times New Roman" w:eastAsia="Calibri" w:hAnsi="Times New Roman" w:cs="Times New Roman"/>
          <w:kern w:val="2"/>
          <w:sz w:val="26"/>
          <w:szCs w:val="26"/>
          <w14:ligatures w14:val="standardContextual"/>
        </w:rPr>
        <w:t xml:space="preserve"> Court permitted the States to reduce the criminal jury’s size from twelve to as low as six, the </w:t>
      </w:r>
      <w:r w:rsidRPr="00E35CBE">
        <w:rPr>
          <w:rFonts w:ascii="Times New Roman" w:eastAsia="Calibri" w:hAnsi="Times New Roman" w:cs="Times New Roman"/>
          <w:i/>
          <w:iCs/>
          <w:kern w:val="2"/>
          <w:sz w:val="26"/>
          <w:szCs w:val="26"/>
          <w14:ligatures w14:val="standardContextual"/>
        </w:rPr>
        <w:t>Williams</w:t>
      </w:r>
      <w:r w:rsidRPr="00E35CBE">
        <w:rPr>
          <w:rFonts w:ascii="Times New Roman" w:eastAsia="Calibri" w:hAnsi="Times New Roman" w:cs="Times New Roman"/>
          <w:kern w:val="2"/>
          <w:sz w:val="26"/>
          <w:szCs w:val="26"/>
          <w14:ligatures w14:val="standardContextual"/>
        </w:rPr>
        <w:t xml:space="preserve"> Court did not </w:t>
      </w:r>
      <w:r w:rsidRPr="00E35CBE">
        <w:rPr>
          <w:rFonts w:ascii="Times New Roman" w:eastAsia="Calibri" w:hAnsi="Times New Roman" w:cs="Times New Roman"/>
          <w:i/>
          <w:iCs/>
          <w:kern w:val="2"/>
          <w:sz w:val="26"/>
          <w:szCs w:val="26"/>
          <w14:ligatures w14:val="standardContextual"/>
        </w:rPr>
        <w:t>require</w:t>
      </w:r>
      <w:r w:rsidRPr="00E35CBE">
        <w:rPr>
          <w:rFonts w:ascii="Times New Roman" w:eastAsia="Calibri" w:hAnsi="Times New Roman" w:cs="Times New Roman"/>
          <w:kern w:val="2"/>
          <w:sz w:val="26"/>
          <w:szCs w:val="26"/>
          <w14:ligatures w14:val="standardContextual"/>
        </w:rPr>
        <w:t xml:space="preserve"> it.  </w:t>
      </w:r>
      <w:r w:rsidRPr="00E35CBE">
        <w:rPr>
          <w:rFonts w:ascii="Times New Roman" w:eastAsia="Calibri" w:hAnsi="Times New Roman" w:cs="Times New Roman"/>
          <w:i/>
          <w:iCs/>
          <w:kern w:val="2"/>
          <w:sz w:val="26"/>
          <w:szCs w:val="26"/>
          <w14:ligatures w14:val="standardContextual"/>
        </w:rPr>
        <w:t>See Williams</w:t>
      </w:r>
      <w:r w:rsidRPr="00E35CBE">
        <w:rPr>
          <w:rFonts w:ascii="Times New Roman" w:eastAsia="Calibri" w:hAnsi="Times New Roman" w:cs="Times New Roman"/>
          <w:kern w:val="2"/>
          <w:sz w:val="26"/>
          <w:szCs w:val="26"/>
          <w14:ligatures w14:val="standardContextual"/>
        </w:rPr>
        <w:t xml:space="preserve">, 399 U.S. at 103 (“We do not mean to intimate that legislatures can never have good reasons for concluding that the 12-man jury is preferable to the smaller jury, or that such conclusions—reflected in the provisions of most States and in our federal system—are in any sense unwise.  . . . . Our holding does no more than leave these considerations to Congress and the States, unrestrained by an interpretation of the Sixth Amendment that would forever dictate the precise number that can constitute a jury.”).    </w:t>
      </w:r>
    </w:p>
    <w:p w14:paraId="29BC0011" w14:textId="77777777" w:rsidR="00E35CBE" w:rsidRPr="00E35CBE" w:rsidRDefault="00E35CBE" w:rsidP="00E35CBE">
      <w:pPr>
        <w:widowControl/>
        <w:spacing w:line="480" w:lineRule="auto"/>
        <w:ind w:right="90" w:firstLine="720"/>
        <w:jc w:val="both"/>
        <w:rPr>
          <w:rFonts w:ascii="Times New Roman" w:eastAsia="Calibri" w:hAnsi="Times New Roman" w:cs="Times New Roman"/>
          <w:kern w:val="2"/>
          <w:sz w:val="26"/>
          <w:szCs w:val="26"/>
          <w14:ligatures w14:val="standardContextual"/>
        </w:rPr>
      </w:pPr>
      <w:r w:rsidRPr="00E35CBE">
        <w:rPr>
          <w:rFonts w:ascii="Times New Roman" w:eastAsia="Calibri" w:hAnsi="Times New Roman" w:cs="Times New Roman"/>
          <w:kern w:val="2"/>
          <w:sz w:val="26"/>
          <w:szCs w:val="26"/>
          <w14:ligatures w14:val="standardContextual"/>
        </w:rPr>
        <w:t>Under the logic of Arizona state law, and in the absence of a federal requirement to establish an eight-member jury in this context, this Court is respectfully asked to establish a unanimous verdict of twelve jurors for these proceedings.</w:t>
      </w:r>
    </w:p>
    <w:p w14:paraId="5B65D1B7" w14:textId="59CA4A97" w:rsidR="00BE3E73" w:rsidRPr="00474279" w:rsidRDefault="00570FA6" w:rsidP="009A2B30">
      <w:pPr>
        <w:widowControl/>
        <w:spacing w:line="480" w:lineRule="auto"/>
        <w:ind w:firstLine="720"/>
        <w:jc w:val="both"/>
        <w:rPr>
          <w:rFonts w:ascii="Times New Roman" w:eastAsia="Calibri" w:hAnsi="Times New Roman" w:cs="Times New Roman"/>
          <w:sz w:val="26"/>
          <w:szCs w:val="26"/>
        </w:rPr>
      </w:pPr>
      <w:r w:rsidRPr="00474279">
        <w:rPr>
          <w:rFonts w:ascii="Times New Roman" w:eastAsia="Calibri" w:hAnsi="Times New Roman" w:cs="Times New Roman"/>
          <w:sz w:val="26"/>
          <w:szCs w:val="26"/>
        </w:rPr>
        <w:t xml:space="preserve"> While well-intentioned, the currently proposed amendment to</w:t>
      </w:r>
      <w:r w:rsidR="000A2EE6" w:rsidRPr="00474279">
        <w:rPr>
          <w:rFonts w:ascii="Times New Roman" w:eastAsia="Calibri" w:hAnsi="Times New Roman" w:cs="Times New Roman"/>
          <w:sz w:val="26"/>
          <w:szCs w:val="26"/>
        </w:rPr>
        <w:t xml:space="preserve"> Civil</w:t>
      </w:r>
      <w:r w:rsidRPr="00474279">
        <w:rPr>
          <w:rFonts w:ascii="Times New Roman" w:eastAsia="Calibri" w:hAnsi="Times New Roman" w:cs="Times New Roman"/>
          <w:sz w:val="26"/>
          <w:szCs w:val="26"/>
        </w:rPr>
        <w:t xml:space="preserve"> Rule </w:t>
      </w:r>
      <w:r w:rsidR="000A2EE6" w:rsidRPr="00474279">
        <w:rPr>
          <w:rFonts w:ascii="Times New Roman" w:eastAsia="Calibri" w:hAnsi="Times New Roman" w:cs="Times New Roman"/>
          <w:sz w:val="26"/>
          <w:szCs w:val="26"/>
        </w:rPr>
        <w:t>49(d)(1) and Criminal Rule 18.1</w:t>
      </w:r>
      <w:r w:rsidRPr="00474279">
        <w:rPr>
          <w:rFonts w:ascii="Times New Roman" w:eastAsia="Calibri" w:hAnsi="Times New Roman" w:cs="Times New Roman"/>
          <w:sz w:val="26"/>
          <w:szCs w:val="26"/>
        </w:rPr>
        <w:t xml:space="preserve"> would likely cause unintended complications and obstacles for defendants and indigent criminal defense attorneys. Consequently, the directors of the </w:t>
      </w:r>
      <w:r w:rsidR="005B6730">
        <w:rPr>
          <w:rFonts w:ascii="Times New Roman" w:eastAsia="Calibri" w:hAnsi="Times New Roman" w:cs="Times New Roman"/>
          <w:sz w:val="26"/>
          <w:szCs w:val="26"/>
        </w:rPr>
        <w:t>indigent representation</w:t>
      </w:r>
      <w:r w:rsidRPr="00474279">
        <w:rPr>
          <w:rFonts w:ascii="Times New Roman" w:eastAsia="Calibri" w:hAnsi="Times New Roman" w:cs="Times New Roman"/>
          <w:sz w:val="26"/>
          <w:szCs w:val="26"/>
        </w:rPr>
        <w:t xml:space="preserve"> agencies of Maricopa County oppose the proposed amendment to Rule 15.4, </w:t>
      </w:r>
      <w:r w:rsidRPr="00474279">
        <w:rPr>
          <w:rFonts w:ascii="Times New Roman" w:eastAsia="Calibri" w:hAnsi="Times New Roman" w:cs="Times New Roman"/>
          <w:i/>
          <w:iCs/>
          <w:sz w:val="26"/>
          <w:szCs w:val="26"/>
        </w:rPr>
        <w:t>Ariz. R. Crim. P.</w:t>
      </w:r>
      <w:r w:rsidRPr="00474279">
        <w:rPr>
          <w:rFonts w:ascii="Times New Roman" w:eastAsia="Calibri" w:hAnsi="Times New Roman" w:cs="Times New Roman"/>
          <w:sz w:val="26"/>
          <w:szCs w:val="26"/>
        </w:rPr>
        <w:t xml:space="preserve"> </w:t>
      </w:r>
    </w:p>
    <w:p w14:paraId="4EA617D8" w14:textId="3E4F9EDF" w:rsidR="00336578" w:rsidRDefault="00336578" w:rsidP="003848A8">
      <w:pPr>
        <w:widowControl/>
        <w:jc w:val="both"/>
        <w:rPr>
          <w:rFonts w:ascii="Times New Roman" w:hAnsi="Times New Roman"/>
          <w:sz w:val="26"/>
          <w:szCs w:val="26"/>
        </w:rPr>
      </w:pPr>
    </w:p>
    <w:p w14:paraId="0F8EB904" w14:textId="77777777" w:rsidR="00570FA6" w:rsidRDefault="00570FA6" w:rsidP="003848A8">
      <w:pPr>
        <w:widowControl/>
        <w:jc w:val="both"/>
        <w:rPr>
          <w:rFonts w:ascii="Times New Roman" w:hAnsi="Times New Roman"/>
          <w:sz w:val="28"/>
          <w:szCs w:val="28"/>
        </w:rPr>
      </w:pPr>
    </w:p>
    <w:p w14:paraId="2ABA1376" w14:textId="428BFFF7" w:rsidR="00517872" w:rsidRPr="00BF4611" w:rsidRDefault="00517872" w:rsidP="00517872">
      <w:pPr>
        <w:widowControl/>
        <w:ind w:firstLine="720"/>
        <w:jc w:val="both"/>
        <w:rPr>
          <w:rFonts w:ascii="Times New Roman" w:hAnsi="Times New Roman"/>
          <w:sz w:val="26"/>
          <w:szCs w:val="26"/>
        </w:rPr>
      </w:pPr>
      <w:r w:rsidRPr="00BF4611">
        <w:rPr>
          <w:rFonts w:ascii="Times New Roman" w:hAnsi="Times New Roman"/>
          <w:sz w:val="26"/>
          <w:szCs w:val="26"/>
        </w:rPr>
        <w:t xml:space="preserve">Respectfully submitted </w:t>
      </w:r>
      <w:r w:rsidR="00336578" w:rsidRPr="00BF4611">
        <w:rPr>
          <w:rFonts w:ascii="Times New Roman" w:hAnsi="Times New Roman"/>
          <w:sz w:val="26"/>
          <w:szCs w:val="26"/>
        </w:rPr>
        <w:t xml:space="preserve">this </w:t>
      </w:r>
      <w:r w:rsidR="009A2B30">
        <w:rPr>
          <w:rFonts w:ascii="Times New Roman" w:hAnsi="Times New Roman"/>
          <w:sz w:val="26"/>
          <w:szCs w:val="26"/>
          <w:u w:val="single"/>
        </w:rPr>
        <w:t>28th</w:t>
      </w:r>
      <w:r w:rsidR="000A2EE6">
        <w:rPr>
          <w:rFonts w:ascii="Times New Roman" w:hAnsi="Times New Roman"/>
          <w:sz w:val="26"/>
          <w:szCs w:val="26"/>
        </w:rPr>
        <w:t xml:space="preserve"> </w:t>
      </w:r>
      <w:r w:rsidR="00336578" w:rsidRPr="00BF4611">
        <w:rPr>
          <w:rFonts w:ascii="Times New Roman" w:hAnsi="Times New Roman"/>
          <w:sz w:val="26"/>
          <w:szCs w:val="26"/>
        </w:rPr>
        <w:t>day of</w:t>
      </w:r>
      <w:r w:rsidR="009A2B30">
        <w:rPr>
          <w:rFonts w:ascii="Times New Roman" w:hAnsi="Times New Roman"/>
          <w:sz w:val="26"/>
          <w:szCs w:val="26"/>
        </w:rPr>
        <w:t xml:space="preserve"> </w:t>
      </w:r>
      <w:r w:rsidR="009A2B30">
        <w:rPr>
          <w:rFonts w:ascii="Times New Roman" w:hAnsi="Times New Roman"/>
          <w:sz w:val="26"/>
          <w:szCs w:val="26"/>
          <w:u w:val="single"/>
        </w:rPr>
        <w:t>April</w:t>
      </w:r>
      <w:r w:rsidRPr="00BF4611">
        <w:rPr>
          <w:rFonts w:ascii="Times New Roman" w:hAnsi="Times New Roman"/>
          <w:sz w:val="26"/>
          <w:szCs w:val="26"/>
        </w:rPr>
        <w:t>, 202</w:t>
      </w:r>
      <w:r w:rsidR="000A2EE6">
        <w:rPr>
          <w:rFonts w:ascii="Times New Roman" w:hAnsi="Times New Roman"/>
          <w:sz w:val="26"/>
          <w:szCs w:val="26"/>
        </w:rPr>
        <w:t>4</w:t>
      </w:r>
      <w:r w:rsidRPr="00BF4611">
        <w:rPr>
          <w:rFonts w:ascii="Times New Roman" w:hAnsi="Times New Roman"/>
          <w:sz w:val="26"/>
          <w:szCs w:val="26"/>
        </w:rPr>
        <w:t>.</w:t>
      </w:r>
    </w:p>
    <w:p w14:paraId="3F894C91" w14:textId="77777777" w:rsidR="00517872" w:rsidRPr="00BF4611" w:rsidRDefault="00517872" w:rsidP="00517872">
      <w:pPr>
        <w:widowControl/>
        <w:jc w:val="both"/>
        <w:rPr>
          <w:rFonts w:ascii="Times New Roman" w:hAnsi="Times New Roman"/>
          <w:sz w:val="26"/>
          <w:szCs w:val="26"/>
        </w:rPr>
      </w:pPr>
    </w:p>
    <w:p w14:paraId="114B2115" w14:textId="77777777" w:rsidR="00517872" w:rsidRPr="00BF4611" w:rsidRDefault="00517872" w:rsidP="00517872">
      <w:pPr>
        <w:widowControl/>
        <w:jc w:val="both"/>
        <w:rPr>
          <w:rFonts w:ascii="Times New Roman" w:hAnsi="Times New Roman"/>
          <w:sz w:val="26"/>
          <w:szCs w:val="26"/>
        </w:rPr>
      </w:pPr>
    </w:p>
    <w:p w14:paraId="0A40E445" w14:textId="72470C23" w:rsidR="00517872" w:rsidRPr="00BF4611" w:rsidRDefault="00517872" w:rsidP="00517872">
      <w:pPr>
        <w:widowControl/>
        <w:jc w:val="both"/>
        <w:rPr>
          <w:rFonts w:ascii="Times New Roman" w:hAnsi="Times New Roman"/>
          <w:sz w:val="26"/>
          <w:szCs w:val="26"/>
          <w:u w:val="single"/>
        </w:rPr>
      </w:pP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 xml:space="preserve">Rosemarie </w:t>
      </w:r>
      <w:r w:rsidR="009A2B30" w:rsidRPr="009A2B30">
        <w:rPr>
          <w:rFonts w:ascii="Times New Roman" w:hAnsi="Times New Roman"/>
          <w:i/>
          <w:iCs/>
          <w:sz w:val="26"/>
          <w:szCs w:val="26"/>
          <w:u w:val="single"/>
        </w:rPr>
        <w:t>Peña</w:t>
      </w:r>
      <w:r w:rsidRPr="00BF4611">
        <w:rPr>
          <w:rFonts w:ascii="Times New Roman" w:hAnsi="Times New Roman"/>
          <w:i/>
          <w:iCs/>
          <w:sz w:val="26"/>
          <w:szCs w:val="26"/>
          <w:u w:val="single"/>
        </w:rPr>
        <w:t>-Lynch</w:t>
      </w:r>
      <w:r w:rsidRPr="00BF4611">
        <w:rPr>
          <w:rFonts w:ascii="Times New Roman" w:hAnsi="Times New Roman"/>
          <w:sz w:val="26"/>
          <w:szCs w:val="26"/>
          <w:u w:val="single"/>
        </w:rPr>
        <w:tab/>
      </w:r>
      <w:r w:rsidRPr="00BF4611">
        <w:rPr>
          <w:rFonts w:ascii="Times New Roman" w:hAnsi="Times New Roman"/>
          <w:sz w:val="26"/>
          <w:szCs w:val="26"/>
        </w:rPr>
        <w:tab/>
      </w:r>
      <w:r w:rsidR="00BF4611">
        <w:rPr>
          <w:rFonts w:ascii="Times New Roman" w:hAnsi="Times New Roman"/>
          <w:sz w:val="26"/>
          <w:szCs w:val="26"/>
        </w:rPr>
        <w:tab/>
      </w: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Gary Kula</w:t>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u w:val="single"/>
        </w:rPr>
        <w:tab/>
      </w:r>
    </w:p>
    <w:p w14:paraId="6FEFC468" w14:textId="4968EFF4" w:rsidR="00517872" w:rsidRPr="00BF4611" w:rsidRDefault="00517872" w:rsidP="005B2963">
      <w:pPr>
        <w:widowControl/>
        <w:tabs>
          <w:tab w:val="left" w:pos="5400"/>
        </w:tabs>
        <w:ind w:firstLine="360"/>
        <w:jc w:val="both"/>
        <w:rPr>
          <w:rFonts w:ascii="Times New Roman" w:hAnsi="Times New Roman"/>
          <w:b/>
          <w:bCs/>
          <w:sz w:val="26"/>
          <w:szCs w:val="26"/>
        </w:rPr>
      </w:pPr>
      <w:r w:rsidRPr="00BF4611">
        <w:rPr>
          <w:rFonts w:ascii="Times New Roman" w:hAnsi="Times New Roman"/>
          <w:sz w:val="26"/>
          <w:szCs w:val="26"/>
        </w:rPr>
        <w:t xml:space="preserve">Rosemarie </w:t>
      </w:r>
      <w:r w:rsidR="009A2B30" w:rsidRPr="009A2B30">
        <w:rPr>
          <w:rFonts w:ascii="Times New Roman" w:hAnsi="Times New Roman"/>
          <w:sz w:val="26"/>
          <w:szCs w:val="26"/>
        </w:rPr>
        <w:t>Peña</w:t>
      </w:r>
      <w:r w:rsidRPr="00BF4611">
        <w:rPr>
          <w:rFonts w:ascii="Times New Roman" w:hAnsi="Times New Roman"/>
          <w:sz w:val="26"/>
          <w:szCs w:val="26"/>
        </w:rPr>
        <w:t>-Lynch</w:t>
      </w:r>
      <w:r w:rsidR="005B2963" w:rsidRPr="00BF4611">
        <w:rPr>
          <w:rFonts w:ascii="Times New Roman" w:hAnsi="Times New Roman"/>
          <w:sz w:val="26"/>
          <w:szCs w:val="26"/>
        </w:rPr>
        <w:t>, Director</w:t>
      </w:r>
      <w:r w:rsidRPr="00BF4611">
        <w:rPr>
          <w:rFonts w:ascii="Times New Roman" w:hAnsi="Times New Roman"/>
          <w:sz w:val="26"/>
          <w:szCs w:val="26"/>
        </w:rPr>
        <w:tab/>
        <w:t>Gary Kula</w:t>
      </w:r>
      <w:r w:rsidR="005B2963" w:rsidRPr="00BF4611">
        <w:rPr>
          <w:rFonts w:ascii="Times New Roman" w:hAnsi="Times New Roman"/>
          <w:sz w:val="26"/>
          <w:szCs w:val="26"/>
        </w:rPr>
        <w:t>, Director</w:t>
      </w:r>
    </w:p>
    <w:p w14:paraId="530CB84C" w14:textId="7864D18F" w:rsidR="00517872" w:rsidRPr="00BF4611" w:rsidRDefault="00517872" w:rsidP="008C6960">
      <w:pPr>
        <w:widowControl/>
        <w:tabs>
          <w:tab w:val="left" w:pos="5400"/>
        </w:tabs>
        <w:ind w:firstLine="360"/>
        <w:jc w:val="both"/>
        <w:rPr>
          <w:rFonts w:ascii="Times New Roman" w:hAnsi="Times New Roman"/>
          <w:sz w:val="26"/>
          <w:szCs w:val="26"/>
        </w:rPr>
      </w:pPr>
      <w:r w:rsidRPr="00BF4611">
        <w:rPr>
          <w:rFonts w:ascii="Times New Roman" w:hAnsi="Times New Roman"/>
          <w:sz w:val="26"/>
          <w:szCs w:val="26"/>
        </w:rPr>
        <w:t>Mcpa. Cnty. Ofc. of Public Defense Svc.</w:t>
      </w:r>
      <w:r w:rsidRPr="00BF4611">
        <w:rPr>
          <w:rFonts w:ascii="Times New Roman" w:hAnsi="Times New Roman"/>
          <w:sz w:val="26"/>
          <w:szCs w:val="26"/>
        </w:rPr>
        <w:tab/>
        <w:t>Mcpa. Cnty. Public Defenders</w:t>
      </w:r>
      <w:r w:rsidR="008C6960" w:rsidRPr="00BF4611">
        <w:rPr>
          <w:rFonts w:ascii="Times New Roman" w:hAnsi="Times New Roman"/>
          <w:sz w:val="26"/>
          <w:szCs w:val="26"/>
        </w:rPr>
        <w:t xml:space="preserve"> Ofc.</w:t>
      </w:r>
    </w:p>
    <w:p w14:paraId="2A0718F9" w14:textId="77777777" w:rsidR="00517872" w:rsidRPr="00BF4611" w:rsidRDefault="00517872" w:rsidP="00517872">
      <w:pPr>
        <w:widowControl/>
        <w:jc w:val="both"/>
        <w:rPr>
          <w:rFonts w:ascii="Times New Roman" w:hAnsi="Times New Roman"/>
          <w:sz w:val="26"/>
          <w:szCs w:val="26"/>
        </w:rPr>
      </w:pPr>
    </w:p>
    <w:p w14:paraId="6D55C85E" w14:textId="77777777" w:rsidR="00517872" w:rsidRPr="00BF4611" w:rsidRDefault="00517872" w:rsidP="00517872">
      <w:pPr>
        <w:widowControl/>
        <w:jc w:val="both"/>
        <w:rPr>
          <w:rFonts w:ascii="Times New Roman" w:hAnsi="Times New Roman"/>
          <w:sz w:val="26"/>
          <w:szCs w:val="26"/>
        </w:rPr>
      </w:pPr>
    </w:p>
    <w:p w14:paraId="0EF4BC08" w14:textId="77777777" w:rsidR="00517872" w:rsidRPr="00BF4611" w:rsidRDefault="00517872" w:rsidP="00517872">
      <w:pPr>
        <w:widowControl/>
        <w:jc w:val="both"/>
        <w:rPr>
          <w:rFonts w:ascii="Times New Roman" w:hAnsi="Times New Roman"/>
          <w:sz w:val="26"/>
          <w:szCs w:val="26"/>
          <w:u w:val="single"/>
        </w:rPr>
      </w:pP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Steve Koestner</w:t>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rPr>
        <w:tab/>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Shannon Burns</w:t>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u w:val="single"/>
        </w:rPr>
        <w:tab/>
      </w:r>
    </w:p>
    <w:p w14:paraId="04C60272" w14:textId="3DD29583" w:rsidR="00CD0B1E" w:rsidRPr="00BF4611" w:rsidRDefault="00517872" w:rsidP="00517872">
      <w:pPr>
        <w:widowControl/>
        <w:tabs>
          <w:tab w:val="left" w:pos="5400"/>
        </w:tabs>
        <w:ind w:firstLine="360"/>
        <w:jc w:val="both"/>
        <w:rPr>
          <w:rFonts w:ascii="Times New Roman" w:hAnsi="Times New Roman"/>
          <w:b/>
          <w:bCs/>
          <w:sz w:val="26"/>
          <w:szCs w:val="26"/>
        </w:rPr>
      </w:pPr>
      <w:r w:rsidRPr="00BF4611">
        <w:rPr>
          <w:rFonts w:ascii="Times New Roman" w:hAnsi="Times New Roman"/>
          <w:sz w:val="26"/>
          <w:szCs w:val="26"/>
        </w:rPr>
        <w:t>Steve Koestner</w:t>
      </w:r>
      <w:r w:rsidR="005B2963" w:rsidRPr="00BF4611">
        <w:rPr>
          <w:rFonts w:ascii="Times New Roman" w:hAnsi="Times New Roman"/>
          <w:sz w:val="26"/>
          <w:szCs w:val="26"/>
        </w:rPr>
        <w:t>, Director</w:t>
      </w:r>
      <w:r w:rsidRPr="00BF4611">
        <w:rPr>
          <w:rFonts w:ascii="Times New Roman" w:hAnsi="Times New Roman"/>
          <w:sz w:val="26"/>
          <w:szCs w:val="26"/>
        </w:rPr>
        <w:tab/>
        <w:t>Shannon Burns</w:t>
      </w:r>
      <w:r w:rsidR="005B2963" w:rsidRPr="00BF4611">
        <w:rPr>
          <w:rFonts w:ascii="Times New Roman" w:hAnsi="Times New Roman"/>
          <w:sz w:val="26"/>
          <w:szCs w:val="26"/>
        </w:rPr>
        <w:t>, Director</w:t>
      </w:r>
    </w:p>
    <w:p w14:paraId="697FD7BC" w14:textId="7F017110" w:rsidR="00517872" w:rsidRPr="00BF4611" w:rsidRDefault="00517872" w:rsidP="008C6960">
      <w:pPr>
        <w:widowControl/>
        <w:tabs>
          <w:tab w:val="left" w:pos="5400"/>
        </w:tabs>
        <w:ind w:left="4320" w:right="-1350" w:hanging="3960"/>
        <w:jc w:val="both"/>
        <w:rPr>
          <w:rFonts w:ascii="Times New Roman" w:hAnsi="Times New Roman"/>
          <w:sz w:val="26"/>
          <w:szCs w:val="26"/>
        </w:rPr>
      </w:pPr>
      <w:r w:rsidRPr="00BF4611">
        <w:rPr>
          <w:rFonts w:ascii="Times New Roman" w:hAnsi="Times New Roman"/>
          <w:sz w:val="26"/>
          <w:szCs w:val="26"/>
        </w:rPr>
        <w:t>Mcpa. Cnty. Ofc. of Legal Advocate</w:t>
      </w:r>
      <w:r w:rsidRPr="00BF4611">
        <w:rPr>
          <w:rFonts w:ascii="Times New Roman" w:hAnsi="Times New Roman"/>
          <w:sz w:val="26"/>
          <w:szCs w:val="26"/>
        </w:rPr>
        <w:tab/>
      </w:r>
      <w:r w:rsidR="00BF4611">
        <w:rPr>
          <w:rFonts w:ascii="Times New Roman" w:hAnsi="Times New Roman"/>
          <w:sz w:val="26"/>
          <w:szCs w:val="26"/>
        </w:rPr>
        <w:tab/>
      </w:r>
      <w:r w:rsidRPr="00BF4611">
        <w:rPr>
          <w:rFonts w:ascii="Times New Roman" w:hAnsi="Times New Roman"/>
          <w:sz w:val="26"/>
          <w:szCs w:val="26"/>
        </w:rPr>
        <w:t>Mcpa. Cnty. Ofc. of Public</w:t>
      </w:r>
      <w:r w:rsidR="008C6960" w:rsidRPr="00BF4611">
        <w:rPr>
          <w:rFonts w:ascii="Times New Roman" w:hAnsi="Times New Roman"/>
          <w:sz w:val="26"/>
          <w:szCs w:val="26"/>
        </w:rPr>
        <w:t xml:space="preserve"> Advocate</w:t>
      </w:r>
      <w:r w:rsidRPr="00BF4611">
        <w:rPr>
          <w:rFonts w:ascii="Times New Roman" w:hAnsi="Times New Roman"/>
          <w:sz w:val="26"/>
          <w:szCs w:val="26"/>
        </w:rPr>
        <w:t xml:space="preserve"> </w:t>
      </w:r>
    </w:p>
    <w:p w14:paraId="68842C39" w14:textId="77777777" w:rsidR="00517872" w:rsidRPr="00BF4611" w:rsidRDefault="00517872" w:rsidP="00517872">
      <w:pPr>
        <w:widowControl/>
        <w:jc w:val="both"/>
        <w:rPr>
          <w:rFonts w:ascii="Times New Roman" w:hAnsi="Times New Roman"/>
          <w:sz w:val="26"/>
          <w:szCs w:val="26"/>
        </w:rPr>
      </w:pPr>
    </w:p>
    <w:p w14:paraId="31A17A3F" w14:textId="77777777" w:rsidR="00517872" w:rsidRPr="00BF4611" w:rsidRDefault="00517872" w:rsidP="00517872">
      <w:pPr>
        <w:widowControl/>
        <w:jc w:val="both"/>
        <w:rPr>
          <w:rFonts w:ascii="Times New Roman" w:hAnsi="Times New Roman"/>
          <w:sz w:val="26"/>
          <w:szCs w:val="26"/>
        </w:rPr>
      </w:pPr>
    </w:p>
    <w:p w14:paraId="1ADBA02D" w14:textId="77777777" w:rsidR="00517872" w:rsidRPr="00BF4611" w:rsidRDefault="00517872" w:rsidP="00517872">
      <w:pPr>
        <w:widowControl/>
        <w:jc w:val="both"/>
        <w:rPr>
          <w:rFonts w:ascii="Times New Roman" w:hAnsi="Times New Roman"/>
          <w:sz w:val="26"/>
          <w:szCs w:val="26"/>
          <w:u w:val="single"/>
        </w:rPr>
      </w:pP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Sherri McGuire Lawson</w:t>
      </w:r>
      <w:r w:rsidRPr="00BF4611">
        <w:rPr>
          <w:rFonts w:ascii="Times New Roman" w:hAnsi="Times New Roman"/>
          <w:sz w:val="26"/>
          <w:szCs w:val="26"/>
          <w:u w:val="single"/>
        </w:rPr>
        <w:tab/>
      </w:r>
    </w:p>
    <w:p w14:paraId="769C974A" w14:textId="7334DCCC" w:rsidR="00517872" w:rsidRPr="00BF4611" w:rsidRDefault="00517872" w:rsidP="00517872">
      <w:pPr>
        <w:widowControl/>
        <w:ind w:firstLine="360"/>
        <w:jc w:val="both"/>
        <w:rPr>
          <w:rFonts w:ascii="Times New Roman" w:hAnsi="Times New Roman"/>
          <w:sz w:val="26"/>
          <w:szCs w:val="26"/>
        </w:rPr>
      </w:pPr>
      <w:r w:rsidRPr="00BF4611">
        <w:rPr>
          <w:rFonts w:ascii="Times New Roman" w:hAnsi="Times New Roman"/>
          <w:sz w:val="26"/>
          <w:szCs w:val="26"/>
        </w:rPr>
        <w:t>Sherri McGuire Lawson</w:t>
      </w:r>
      <w:r w:rsidR="005B2963" w:rsidRPr="00BF4611">
        <w:rPr>
          <w:rFonts w:ascii="Times New Roman" w:hAnsi="Times New Roman"/>
          <w:sz w:val="26"/>
          <w:szCs w:val="26"/>
        </w:rPr>
        <w:t>, Director</w:t>
      </w:r>
    </w:p>
    <w:p w14:paraId="6BED04A2" w14:textId="77777777" w:rsidR="00517872" w:rsidRPr="00BF4611" w:rsidRDefault="00517872" w:rsidP="00517872">
      <w:pPr>
        <w:widowControl/>
        <w:ind w:firstLine="360"/>
        <w:jc w:val="both"/>
        <w:rPr>
          <w:rFonts w:ascii="Times New Roman" w:hAnsi="Times New Roman"/>
          <w:sz w:val="26"/>
          <w:szCs w:val="26"/>
        </w:rPr>
      </w:pPr>
      <w:r w:rsidRPr="00BF4611">
        <w:rPr>
          <w:rFonts w:ascii="Times New Roman" w:hAnsi="Times New Roman"/>
          <w:sz w:val="26"/>
          <w:szCs w:val="26"/>
        </w:rPr>
        <w:t>Mcpa. Cnty. Ofc. of Legal Defender</w:t>
      </w:r>
    </w:p>
    <w:p w14:paraId="0FA914E6" w14:textId="77777777" w:rsidR="0031043B" w:rsidRDefault="0031043B"/>
    <w:sectPr w:rsidR="0031043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43B2C" w14:textId="77777777" w:rsidR="00FC5E7F" w:rsidRDefault="00FC5E7F" w:rsidP="00517872">
      <w:r>
        <w:separator/>
      </w:r>
    </w:p>
  </w:endnote>
  <w:endnote w:type="continuationSeparator" w:id="0">
    <w:p w14:paraId="1ADE931E" w14:textId="77777777" w:rsidR="00FC5E7F" w:rsidRDefault="00FC5E7F" w:rsidP="0051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139587"/>
      <w:docPartObj>
        <w:docPartGallery w:val="Page Numbers (Bottom of Page)"/>
        <w:docPartUnique/>
      </w:docPartObj>
    </w:sdtPr>
    <w:sdtEndPr>
      <w:rPr>
        <w:noProof/>
      </w:rPr>
    </w:sdtEndPr>
    <w:sdtContent>
      <w:p w14:paraId="33BCCFC8" w14:textId="4916F461" w:rsidR="002A25AC" w:rsidRDefault="002A25AC">
        <w:pPr>
          <w:pStyle w:val="Footer"/>
          <w:jc w:val="center"/>
        </w:pPr>
        <w:r w:rsidRPr="00336578">
          <w:rPr>
            <w:rFonts w:ascii="Times New Roman" w:hAnsi="Times New Roman" w:cs="Times New Roman"/>
          </w:rPr>
          <w:fldChar w:fldCharType="begin"/>
        </w:r>
        <w:r w:rsidRPr="00336578">
          <w:rPr>
            <w:rFonts w:ascii="Times New Roman" w:hAnsi="Times New Roman" w:cs="Times New Roman"/>
          </w:rPr>
          <w:instrText xml:space="preserve"> PAGE   \* MERGEFORMAT </w:instrText>
        </w:r>
        <w:r w:rsidRPr="00336578">
          <w:rPr>
            <w:rFonts w:ascii="Times New Roman" w:hAnsi="Times New Roman" w:cs="Times New Roman"/>
          </w:rPr>
          <w:fldChar w:fldCharType="separate"/>
        </w:r>
        <w:r w:rsidRPr="00336578">
          <w:rPr>
            <w:rFonts w:ascii="Times New Roman" w:hAnsi="Times New Roman" w:cs="Times New Roman"/>
            <w:noProof/>
          </w:rPr>
          <w:t>2</w:t>
        </w:r>
        <w:r w:rsidRPr="00336578">
          <w:rPr>
            <w:rFonts w:ascii="Times New Roman" w:hAnsi="Times New Roman" w:cs="Times New Roman"/>
            <w:noProof/>
          </w:rPr>
          <w:fldChar w:fldCharType="end"/>
        </w:r>
      </w:p>
    </w:sdtContent>
  </w:sdt>
  <w:p w14:paraId="3A41DEAE" w14:textId="77777777" w:rsidR="000444F5" w:rsidRDefault="00044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50FE7" w14:textId="77777777" w:rsidR="00FC5E7F" w:rsidRDefault="00FC5E7F" w:rsidP="00517872">
      <w:r>
        <w:separator/>
      </w:r>
    </w:p>
  </w:footnote>
  <w:footnote w:type="continuationSeparator" w:id="0">
    <w:p w14:paraId="529A7345" w14:textId="77777777" w:rsidR="00FC5E7F" w:rsidRDefault="00FC5E7F" w:rsidP="0051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E1E67"/>
    <w:multiLevelType w:val="hybridMultilevel"/>
    <w:tmpl w:val="A18AD182"/>
    <w:lvl w:ilvl="0" w:tplc="FB14C8E2">
      <w:start w:val="1"/>
      <w:numFmt w:val="decimal"/>
      <w:lvlText w:val="%1."/>
      <w:lvlJc w:val="left"/>
      <w:pPr>
        <w:ind w:left="1080" w:hanging="360"/>
      </w:pPr>
      <w:rPr>
        <w:rFonts w:hint="default"/>
        <w:b/>
        <w:bCs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36432A"/>
    <w:multiLevelType w:val="hybridMultilevel"/>
    <w:tmpl w:val="D2823DBA"/>
    <w:lvl w:ilvl="0" w:tplc="C0DC380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F176E34"/>
    <w:multiLevelType w:val="hybridMultilevel"/>
    <w:tmpl w:val="84B69C58"/>
    <w:lvl w:ilvl="0" w:tplc="2D86D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9307D2"/>
    <w:multiLevelType w:val="hybridMultilevel"/>
    <w:tmpl w:val="BE74DA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8243652">
    <w:abstractNumId w:val="1"/>
  </w:num>
  <w:num w:numId="2" w16cid:durableId="2052993522">
    <w:abstractNumId w:val="0"/>
  </w:num>
  <w:num w:numId="3" w16cid:durableId="257564656">
    <w:abstractNumId w:val="3"/>
  </w:num>
  <w:num w:numId="4" w16cid:durableId="1596206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0C"/>
    <w:rsid w:val="000319F9"/>
    <w:rsid w:val="00034715"/>
    <w:rsid w:val="000444F5"/>
    <w:rsid w:val="00054132"/>
    <w:rsid w:val="0008409D"/>
    <w:rsid w:val="000926B8"/>
    <w:rsid w:val="00094D8A"/>
    <w:rsid w:val="000A2EE6"/>
    <w:rsid w:val="000D0CB5"/>
    <w:rsid w:val="001041B0"/>
    <w:rsid w:val="0010481C"/>
    <w:rsid w:val="0019728E"/>
    <w:rsid w:val="001A588D"/>
    <w:rsid w:val="001A7E73"/>
    <w:rsid w:val="001B2969"/>
    <w:rsid w:val="001B4244"/>
    <w:rsid w:val="001C5E96"/>
    <w:rsid w:val="001C7C91"/>
    <w:rsid w:val="001D6B69"/>
    <w:rsid w:val="001E072E"/>
    <w:rsid w:val="00203B97"/>
    <w:rsid w:val="00204182"/>
    <w:rsid w:val="00207B3E"/>
    <w:rsid w:val="002170A9"/>
    <w:rsid w:val="00230BFC"/>
    <w:rsid w:val="00282FB2"/>
    <w:rsid w:val="00285E75"/>
    <w:rsid w:val="00287AC6"/>
    <w:rsid w:val="00296B1E"/>
    <w:rsid w:val="002A25AC"/>
    <w:rsid w:val="002C77B0"/>
    <w:rsid w:val="002C7D23"/>
    <w:rsid w:val="0031043B"/>
    <w:rsid w:val="00336578"/>
    <w:rsid w:val="0034631F"/>
    <w:rsid w:val="00361ECA"/>
    <w:rsid w:val="003848A8"/>
    <w:rsid w:val="0039086B"/>
    <w:rsid w:val="00395387"/>
    <w:rsid w:val="003D666F"/>
    <w:rsid w:val="003E5721"/>
    <w:rsid w:val="00410529"/>
    <w:rsid w:val="00436D38"/>
    <w:rsid w:val="00455190"/>
    <w:rsid w:val="00472128"/>
    <w:rsid w:val="00474279"/>
    <w:rsid w:val="004979F8"/>
    <w:rsid w:val="004A0709"/>
    <w:rsid w:val="004C0BB5"/>
    <w:rsid w:val="004C1DBC"/>
    <w:rsid w:val="004D31D2"/>
    <w:rsid w:val="004D7478"/>
    <w:rsid w:val="0050719E"/>
    <w:rsid w:val="00517872"/>
    <w:rsid w:val="0053659E"/>
    <w:rsid w:val="005414ED"/>
    <w:rsid w:val="005444FE"/>
    <w:rsid w:val="005462C0"/>
    <w:rsid w:val="00552C6A"/>
    <w:rsid w:val="00570FA6"/>
    <w:rsid w:val="005B0DD3"/>
    <w:rsid w:val="005B2963"/>
    <w:rsid w:val="005B6730"/>
    <w:rsid w:val="005D022F"/>
    <w:rsid w:val="005D2E63"/>
    <w:rsid w:val="005D4A93"/>
    <w:rsid w:val="005E03CC"/>
    <w:rsid w:val="005F3AD7"/>
    <w:rsid w:val="00614985"/>
    <w:rsid w:val="00644083"/>
    <w:rsid w:val="0064456B"/>
    <w:rsid w:val="006B75E0"/>
    <w:rsid w:val="006D01B5"/>
    <w:rsid w:val="007057E1"/>
    <w:rsid w:val="0071157B"/>
    <w:rsid w:val="007175BC"/>
    <w:rsid w:val="0071774D"/>
    <w:rsid w:val="00721CE8"/>
    <w:rsid w:val="00744EFD"/>
    <w:rsid w:val="0076484F"/>
    <w:rsid w:val="00765850"/>
    <w:rsid w:val="0077605C"/>
    <w:rsid w:val="007D6F26"/>
    <w:rsid w:val="007E2205"/>
    <w:rsid w:val="007F3B31"/>
    <w:rsid w:val="00803C75"/>
    <w:rsid w:val="0083399A"/>
    <w:rsid w:val="00846FF1"/>
    <w:rsid w:val="008C6960"/>
    <w:rsid w:val="008D17C1"/>
    <w:rsid w:val="008D26AC"/>
    <w:rsid w:val="00910F99"/>
    <w:rsid w:val="00935A53"/>
    <w:rsid w:val="009517F1"/>
    <w:rsid w:val="009A2B30"/>
    <w:rsid w:val="009A3592"/>
    <w:rsid w:val="009A49F1"/>
    <w:rsid w:val="009B2E0D"/>
    <w:rsid w:val="009B3C4D"/>
    <w:rsid w:val="00A0011D"/>
    <w:rsid w:val="00A00E0C"/>
    <w:rsid w:val="00A20CA9"/>
    <w:rsid w:val="00A25ADC"/>
    <w:rsid w:val="00A36AA2"/>
    <w:rsid w:val="00A4307D"/>
    <w:rsid w:val="00A578B4"/>
    <w:rsid w:val="00A75F89"/>
    <w:rsid w:val="00AA2E2B"/>
    <w:rsid w:val="00AC125A"/>
    <w:rsid w:val="00AF291B"/>
    <w:rsid w:val="00B32944"/>
    <w:rsid w:val="00B45D2E"/>
    <w:rsid w:val="00BB31F7"/>
    <w:rsid w:val="00BE24AD"/>
    <w:rsid w:val="00BE3E73"/>
    <w:rsid w:val="00BE6519"/>
    <w:rsid w:val="00BF4611"/>
    <w:rsid w:val="00C35B5E"/>
    <w:rsid w:val="00C6355C"/>
    <w:rsid w:val="00CA253C"/>
    <w:rsid w:val="00CB2A87"/>
    <w:rsid w:val="00CB71BA"/>
    <w:rsid w:val="00CD0B1E"/>
    <w:rsid w:val="00CD2D1F"/>
    <w:rsid w:val="00D001CA"/>
    <w:rsid w:val="00D02A89"/>
    <w:rsid w:val="00D32EB6"/>
    <w:rsid w:val="00D550AB"/>
    <w:rsid w:val="00D575CD"/>
    <w:rsid w:val="00D8593D"/>
    <w:rsid w:val="00DB2440"/>
    <w:rsid w:val="00DB5D1E"/>
    <w:rsid w:val="00DD5E3A"/>
    <w:rsid w:val="00E170E0"/>
    <w:rsid w:val="00E219E8"/>
    <w:rsid w:val="00E25729"/>
    <w:rsid w:val="00E35CBE"/>
    <w:rsid w:val="00E62663"/>
    <w:rsid w:val="00E70894"/>
    <w:rsid w:val="00EA24E2"/>
    <w:rsid w:val="00EE33FE"/>
    <w:rsid w:val="00F04614"/>
    <w:rsid w:val="00F055FC"/>
    <w:rsid w:val="00F061AA"/>
    <w:rsid w:val="00F57D78"/>
    <w:rsid w:val="00F8181F"/>
    <w:rsid w:val="00F81C9B"/>
    <w:rsid w:val="00F917B2"/>
    <w:rsid w:val="00F91871"/>
    <w:rsid w:val="00FB79E9"/>
    <w:rsid w:val="00FC19D4"/>
    <w:rsid w:val="00FC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43BA6"/>
  <w15:chartTrackingRefBased/>
  <w15:docId w15:val="{A25CBAAA-BEBE-4D84-BB26-ADF432C0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0C"/>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0E0C"/>
    <w:rPr>
      <w:color w:val="0000FF"/>
      <w:u w:val="single"/>
    </w:rPr>
  </w:style>
  <w:style w:type="character" w:styleId="FootnoteReference">
    <w:name w:val="footnote reference"/>
    <w:uiPriority w:val="99"/>
    <w:semiHidden/>
    <w:rsid w:val="00517872"/>
  </w:style>
  <w:style w:type="paragraph" w:styleId="ListParagraph">
    <w:name w:val="List Paragraph"/>
    <w:basedOn w:val="Normal"/>
    <w:uiPriority w:val="34"/>
    <w:qFormat/>
    <w:rsid w:val="00517872"/>
    <w:pPr>
      <w:ind w:left="720"/>
      <w:contextualSpacing/>
    </w:pPr>
  </w:style>
  <w:style w:type="character" w:customStyle="1" w:styleId="normaltextrun">
    <w:name w:val="normaltextrun"/>
    <w:basedOn w:val="DefaultParagraphFont"/>
    <w:rsid w:val="00517872"/>
  </w:style>
  <w:style w:type="paragraph" w:customStyle="1" w:styleId="paragraph">
    <w:name w:val="paragraph"/>
    <w:basedOn w:val="Normal"/>
    <w:rsid w:val="00517872"/>
    <w:pPr>
      <w:widowControl/>
      <w:spacing w:before="100" w:beforeAutospacing="1" w:after="100" w:afterAutospacing="1"/>
    </w:pPr>
    <w:rPr>
      <w:rFonts w:ascii="Times New Roman" w:hAnsi="Times New Roman"/>
      <w:snapToGrid w:val="0"/>
      <w:szCs w:val="24"/>
    </w:rPr>
  </w:style>
  <w:style w:type="character" w:styleId="UnresolvedMention">
    <w:name w:val="Unresolved Mention"/>
    <w:basedOn w:val="DefaultParagraphFont"/>
    <w:uiPriority w:val="99"/>
    <w:semiHidden/>
    <w:unhideWhenUsed/>
    <w:rsid w:val="006B75E0"/>
    <w:rPr>
      <w:color w:val="605E5C"/>
      <w:shd w:val="clear" w:color="auto" w:fill="E1DFDD"/>
    </w:rPr>
  </w:style>
  <w:style w:type="paragraph" w:styleId="FootnoteText">
    <w:name w:val="footnote text"/>
    <w:basedOn w:val="Normal"/>
    <w:link w:val="FootnoteTextChar"/>
    <w:uiPriority w:val="99"/>
    <w:semiHidden/>
    <w:unhideWhenUsed/>
    <w:rsid w:val="00CD2D1F"/>
    <w:pPr>
      <w:widowControl/>
    </w:pPr>
    <w:rPr>
      <w:snapToGrid w:val="0"/>
      <w:sz w:val="20"/>
    </w:rPr>
  </w:style>
  <w:style w:type="character" w:customStyle="1" w:styleId="FootnoteTextChar">
    <w:name w:val="Footnote Text Char"/>
    <w:basedOn w:val="DefaultParagraphFont"/>
    <w:link w:val="FootnoteText"/>
    <w:uiPriority w:val="99"/>
    <w:semiHidden/>
    <w:rsid w:val="00CD2D1F"/>
    <w:rPr>
      <w:sz w:val="20"/>
      <w:szCs w:val="20"/>
    </w:rPr>
  </w:style>
  <w:style w:type="paragraph" w:styleId="Header">
    <w:name w:val="header"/>
    <w:basedOn w:val="Normal"/>
    <w:link w:val="HeaderChar"/>
    <w:uiPriority w:val="99"/>
    <w:unhideWhenUsed/>
    <w:rsid w:val="000444F5"/>
    <w:pPr>
      <w:tabs>
        <w:tab w:val="center" w:pos="4680"/>
        <w:tab w:val="right" w:pos="9360"/>
      </w:tabs>
    </w:pPr>
  </w:style>
  <w:style w:type="character" w:customStyle="1" w:styleId="HeaderChar">
    <w:name w:val="Header Char"/>
    <w:basedOn w:val="DefaultParagraphFont"/>
    <w:link w:val="Header"/>
    <w:uiPriority w:val="99"/>
    <w:rsid w:val="000444F5"/>
  </w:style>
  <w:style w:type="paragraph" w:styleId="Footer">
    <w:name w:val="footer"/>
    <w:basedOn w:val="Normal"/>
    <w:link w:val="FooterChar"/>
    <w:uiPriority w:val="99"/>
    <w:unhideWhenUsed/>
    <w:rsid w:val="000444F5"/>
    <w:pPr>
      <w:tabs>
        <w:tab w:val="center" w:pos="4680"/>
        <w:tab w:val="right" w:pos="9360"/>
      </w:tabs>
    </w:pPr>
  </w:style>
  <w:style w:type="character" w:customStyle="1" w:styleId="FooterChar">
    <w:name w:val="Footer Char"/>
    <w:basedOn w:val="DefaultParagraphFont"/>
    <w:link w:val="Footer"/>
    <w:uiPriority w:val="99"/>
    <w:rsid w:val="0004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9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Gary.Kula@maric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A1489-A86B-4CB2-99BF-5D5F3485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1138</Words>
  <Characters>5941</Characters>
  <Application>Microsoft Office Word</Application>
  <DocSecurity>0</DocSecurity>
  <Lines>138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Garcia (OPD)</dc:creator>
  <cp:keywords/>
  <dc:description/>
  <cp:lastModifiedBy>Lina Garcia (OPD)</cp:lastModifiedBy>
  <cp:revision>2</cp:revision>
  <dcterms:created xsi:type="dcterms:W3CDTF">2024-04-29T02:17:00Z</dcterms:created>
  <dcterms:modified xsi:type="dcterms:W3CDTF">2024-04-29T02:17:00Z</dcterms:modified>
</cp:coreProperties>
</file>