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D3193" w14:textId="77777777" w:rsidR="00710707" w:rsidRDefault="00710707">
      <w:bookmarkStart w:id="0" w:name="_zzmpFIXED_CounselTable"/>
      <w:bookmarkEnd w:id="0"/>
    </w:p>
    <w:tbl>
      <w:tblPr>
        <w:tblW w:w="9036" w:type="dxa"/>
        <w:tblLayout w:type="fixed"/>
        <w:tblLook w:val="0000" w:firstRow="0" w:lastRow="0" w:firstColumn="0" w:lastColumn="0" w:noHBand="0" w:noVBand="0"/>
      </w:tblPr>
      <w:tblGrid>
        <w:gridCol w:w="4837"/>
        <w:gridCol w:w="4199"/>
      </w:tblGrid>
      <w:tr w:rsidR="00710707" w14:paraId="54B775ED" w14:textId="77777777">
        <w:trPr>
          <w:cantSplit/>
          <w:trHeight w:val="1987"/>
        </w:trPr>
        <w:tc>
          <w:tcPr>
            <w:tcW w:w="4836" w:type="dxa"/>
          </w:tcPr>
          <w:p w14:paraId="3C439418" w14:textId="77777777" w:rsidR="00710707" w:rsidRDefault="00000000">
            <w:pPr>
              <w:pStyle w:val="FirmInformation"/>
              <w:spacing w:line="240" w:lineRule="auto"/>
              <w:rPr>
                <w:sz w:val="28"/>
                <w:szCs w:val="28"/>
              </w:rPr>
            </w:pPr>
            <w:r>
              <w:rPr>
                <w:sz w:val="28"/>
                <w:szCs w:val="28"/>
              </w:rPr>
              <w:t xml:space="preserve">Mauricio R. Hernandez (#020181) </w:t>
            </w:r>
            <w:r>
              <w:rPr>
                <w:sz w:val="28"/>
                <w:szCs w:val="28"/>
              </w:rPr>
              <w:br/>
              <w:t>mo@lawmrh.com</w:t>
            </w:r>
          </w:p>
          <w:p w14:paraId="07951F55" w14:textId="77777777" w:rsidR="00710707" w:rsidRDefault="00000000">
            <w:pPr>
              <w:pStyle w:val="FirmInformation"/>
              <w:spacing w:line="240" w:lineRule="auto"/>
              <w:rPr>
                <w:sz w:val="28"/>
                <w:szCs w:val="28"/>
              </w:rPr>
            </w:pPr>
            <w:r>
              <w:rPr>
                <w:sz w:val="28"/>
                <w:szCs w:val="28"/>
              </w:rPr>
              <w:t>P.O. Box 7347</w:t>
            </w:r>
          </w:p>
          <w:p w14:paraId="7EDFC5B5" w14:textId="28B25BBF" w:rsidR="00710707" w:rsidRDefault="003E7E7B">
            <w:pPr>
              <w:pStyle w:val="FirmInformation"/>
              <w:spacing w:line="240" w:lineRule="auto"/>
              <w:rPr>
                <w:sz w:val="28"/>
                <w:szCs w:val="28"/>
              </w:rPr>
            </w:pPr>
            <w:r>
              <w:rPr>
                <w:sz w:val="28"/>
                <w:szCs w:val="28"/>
              </w:rPr>
              <w:t>Goodyear, AZ  85338</w:t>
            </w:r>
          </w:p>
          <w:p w14:paraId="69B0BC0B" w14:textId="77777777" w:rsidR="00710707" w:rsidRDefault="00000000">
            <w:pPr>
              <w:pStyle w:val="FirmInformation"/>
              <w:spacing w:line="240" w:lineRule="auto"/>
              <w:rPr>
                <w:sz w:val="28"/>
                <w:szCs w:val="28"/>
              </w:rPr>
            </w:pPr>
            <w:r>
              <w:rPr>
                <w:sz w:val="28"/>
                <w:szCs w:val="28"/>
              </w:rPr>
              <w:t>(623) 363-2649</w:t>
            </w:r>
          </w:p>
        </w:tc>
        <w:tc>
          <w:tcPr>
            <w:tcW w:w="4199" w:type="dxa"/>
          </w:tcPr>
          <w:p w14:paraId="3C2AE59C" w14:textId="77777777" w:rsidR="00710707" w:rsidRDefault="00710707">
            <w:pPr>
              <w:widowControl w:val="0"/>
              <w:ind w:left="113" w:right="113"/>
              <w:rPr>
                <w:sz w:val="26"/>
                <w:szCs w:val="26"/>
              </w:rPr>
            </w:pPr>
            <w:bookmarkStart w:id="1" w:name="_zzmpFIXED_CounselTable_Copy_1"/>
            <w:bookmarkEnd w:id="1"/>
          </w:p>
        </w:tc>
      </w:tr>
    </w:tbl>
    <w:p w14:paraId="1D33E04A" w14:textId="77777777" w:rsidR="00710707" w:rsidRDefault="00710707">
      <w:pPr>
        <w:pStyle w:val="Court"/>
        <w:spacing w:line="508" w:lineRule="exact"/>
        <w:jc w:val="left"/>
        <w:rPr>
          <w:b/>
        </w:rPr>
      </w:pPr>
    </w:p>
    <w:p w14:paraId="6A302C87" w14:textId="77777777" w:rsidR="00710707" w:rsidRDefault="00000000">
      <w:pPr>
        <w:pStyle w:val="Court"/>
        <w:spacing w:line="240" w:lineRule="auto"/>
        <w:rPr>
          <w:b/>
          <w:sz w:val="28"/>
          <w:szCs w:val="28"/>
        </w:rPr>
      </w:pPr>
      <w:r>
        <w:rPr>
          <w:b/>
          <w:sz w:val="28"/>
          <w:szCs w:val="28"/>
        </w:rPr>
        <w:t>IN THE SUPREME COURT</w:t>
      </w:r>
      <w:r>
        <w:rPr>
          <w:b/>
          <w:sz w:val="28"/>
          <w:szCs w:val="28"/>
        </w:rPr>
        <w:br/>
        <w:t>STATE OF ARIZONA</w:t>
      </w:r>
    </w:p>
    <w:tbl>
      <w:tblPr>
        <w:tblW w:w="9204" w:type="dxa"/>
        <w:tblLayout w:type="fixed"/>
        <w:tblLook w:val="0000" w:firstRow="0" w:lastRow="0" w:firstColumn="0" w:lastColumn="0" w:noHBand="0" w:noVBand="0"/>
      </w:tblPr>
      <w:tblGrid>
        <w:gridCol w:w="4681"/>
        <w:gridCol w:w="4523"/>
      </w:tblGrid>
      <w:tr w:rsidR="00710707" w14:paraId="7A95107E" w14:textId="77777777">
        <w:tc>
          <w:tcPr>
            <w:tcW w:w="4680" w:type="dxa"/>
            <w:tcBorders>
              <w:bottom w:val="single" w:sz="4" w:space="0" w:color="000000"/>
              <w:right w:val="single" w:sz="4" w:space="0" w:color="000000"/>
            </w:tcBorders>
            <w:shd w:val="clear" w:color="auto" w:fill="auto"/>
          </w:tcPr>
          <w:p w14:paraId="55293958" w14:textId="77777777" w:rsidR="00710707" w:rsidRDefault="00000000">
            <w:pPr>
              <w:pStyle w:val="Caption"/>
              <w:spacing w:before="240" w:line="260" w:lineRule="exact"/>
              <w:rPr>
                <w:sz w:val="28"/>
                <w:szCs w:val="28"/>
              </w:rPr>
            </w:pPr>
            <w:bookmarkStart w:id="2" w:name="_zzmpFIXED_CaptionTable"/>
            <w:bookmarkEnd w:id="2"/>
            <w:r>
              <w:rPr>
                <w:sz w:val="28"/>
                <w:szCs w:val="28"/>
              </w:rPr>
              <w:t>In the Matter of:</w:t>
            </w:r>
          </w:p>
          <w:p w14:paraId="2989B9F0" w14:textId="77777777" w:rsidR="00710707" w:rsidRDefault="00000000">
            <w:pPr>
              <w:pStyle w:val="Caption"/>
              <w:spacing w:before="240" w:line="260" w:lineRule="exact"/>
              <w:rPr>
                <w:b/>
                <w:sz w:val="28"/>
                <w:szCs w:val="28"/>
              </w:rPr>
            </w:pPr>
            <w:r>
              <w:rPr>
                <w:b/>
                <w:sz w:val="28"/>
                <w:szCs w:val="28"/>
              </w:rPr>
              <w:t>PETITION TO AMEND RULES 32(b) AND (c) OF THE ARIZONA RULES OF SUPREME COURT</w:t>
            </w:r>
            <w:r>
              <w:rPr>
                <w:b/>
                <w:sz w:val="28"/>
                <w:szCs w:val="28"/>
              </w:rPr>
              <w:br/>
            </w:r>
          </w:p>
        </w:tc>
        <w:tc>
          <w:tcPr>
            <w:tcW w:w="4523" w:type="dxa"/>
            <w:tcBorders>
              <w:left w:val="single" w:sz="4" w:space="0" w:color="000000"/>
            </w:tcBorders>
            <w:shd w:val="clear" w:color="auto" w:fill="auto"/>
          </w:tcPr>
          <w:p w14:paraId="23AF0547" w14:textId="77777777" w:rsidR="00710707" w:rsidRDefault="00000000">
            <w:pPr>
              <w:pStyle w:val="Caption"/>
              <w:tabs>
                <w:tab w:val="left" w:pos="1238"/>
              </w:tabs>
              <w:spacing w:before="240" w:after="240"/>
              <w:ind w:left="259" w:right="115"/>
              <w:rPr>
                <w:sz w:val="28"/>
                <w:szCs w:val="28"/>
              </w:rPr>
            </w:pPr>
            <w:r>
              <w:rPr>
                <w:sz w:val="28"/>
                <w:szCs w:val="28"/>
              </w:rPr>
              <w:t>Supreme Court No. R-24-0030</w:t>
            </w:r>
          </w:p>
          <w:p w14:paraId="0C6A4D83" w14:textId="77777777" w:rsidR="00710707" w:rsidRDefault="00000000">
            <w:pPr>
              <w:pStyle w:val="Caption"/>
              <w:tabs>
                <w:tab w:val="left" w:pos="1238"/>
              </w:tabs>
              <w:spacing w:line="260" w:lineRule="exact"/>
              <w:ind w:right="115"/>
              <w:jc w:val="center"/>
              <w:rPr>
                <w:b/>
                <w:sz w:val="28"/>
                <w:szCs w:val="28"/>
              </w:rPr>
            </w:pPr>
            <w:r>
              <w:rPr>
                <w:b/>
                <w:sz w:val="28"/>
                <w:szCs w:val="28"/>
              </w:rPr>
              <w:t>COMMENT IN SUPPORT OF PENDING PETITION</w:t>
            </w:r>
          </w:p>
          <w:p w14:paraId="652C5076" w14:textId="77777777" w:rsidR="00710707" w:rsidRDefault="00710707">
            <w:pPr>
              <w:pStyle w:val="Caption"/>
              <w:tabs>
                <w:tab w:val="left" w:pos="1238"/>
              </w:tabs>
              <w:spacing w:line="260" w:lineRule="exact"/>
              <w:ind w:right="115"/>
              <w:jc w:val="center"/>
              <w:rPr>
                <w:b/>
                <w:sz w:val="28"/>
                <w:szCs w:val="28"/>
              </w:rPr>
            </w:pPr>
          </w:p>
          <w:p w14:paraId="7017AFB5" w14:textId="77777777" w:rsidR="00710707" w:rsidRDefault="00710707">
            <w:pPr>
              <w:pStyle w:val="DocumentTitle"/>
              <w:rPr>
                <w:szCs w:val="26"/>
              </w:rPr>
            </w:pPr>
          </w:p>
          <w:p w14:paraId="57BCA1B9" w14:textId="77777777" w:rsidR="00710707" w:rsidRDefault="00710707">
            <w:pPr>
              <w:pStyle w:val="Caption"/>
              <w:ind w:left="1512" w:right="115" w:hanging="1253"/>
              <w:rPr>
                <w:szCs w:val="26"/>
              </w:rPr>
            </w:pPr>
            <w:bookmarkStart w:id="3" w:name="_zzmpFIXED_CaptionTable_Copy_1"/>
            <w:bookmarkEnd w:id="3"/>
          </w:p>
        </w:tc>
      </w:tr>
    </w:tbl>
    <w:p w14:paraId="43A6AD41" w14:textId="77777777" w:rsidR="00710707" w:rsidRDefault="00710707">
      <w:pPr>
        <w:pStyle w:val="Body"/>
        <w:widowControl w:val="0"/>
        <w:ind w:firstLine="720"/>
        <w:jc w:val="both"/>
        <w:rPr>
          <w:sz w:val="28"/>
          <w:szCs w:val="28"/>
        </w:rPr>
      </w:pPr>
    </w:p>
    <w:p w14:paraId="6C517DA3" w14:textId="77777777" w:rsidR="00710707" w:rsidRDefault="00000000" w:rsidP="00C36ADF">
      <w:pPr>
        <w:pStyle w:val="Body"/>
        <w:widowControl w:val="0"/>
        <w:spacing w:line="480" w:lineRule="auto"/>
        <w:ind w:firstLine="720"/>
        <w:jc w:val="both"/>
        <w:rPr>
          <w:sz w:val="28"/>
          <w:szCs w:val="28"/>
        </w:rPr>
      </w:pPr>
      <w:r>
        <w:rPr>
          <w:sz w:val="28"/>
          <w:szCs w:val="28"/>
        </w:rPr>
        <w:t xml:space="preserve">In accordance with Rule 28(d), Ariz. R. Sup. Ct., the undersigned submits the following Comment in support of the Petition. </w:t>
      </w:r>
    </w:p>
    <w:p w14:paraId="0D4DCD0E" w14:textId="77777777" w:rsidR="00710707" w:rsidRDefault="00000000">
      <w:pPr>
        <w:pStyle w:val="Body"/>
        <w:widowControl w:val="0"/>
        <w:spacing w:line="480" w:lineRule="auto"/>
        <w:ind w:firstLine="720"/>
        <w:jc w:val="center"/>
        <w:rPr>
          <w:b/>
          <w:sz w:val="28"/>
          <w:szCs w:val="28"/>
        </w:rPr>
      </w:pPr>
      <w:r>
        <w:rPr>
          <w:b/>
          <w:sz w:val="28"/>
          <w:szCs w:val="28"/>
        </w:rPr>
        <w:t xml:space="preserve">DISCUSSION </w:t>
      </w:r>
      <w:r>
        <w:rPr>
          <w:sz w:val="28"/>
          <w:szCs w:val="28"/>
        </w:rPr>
        <w:tab/>
        <w:t xml:space="preserve"> </w:t>
      </w:r>
    </w:p>
    <w:p w14:paraId="6A1CF99E" w14:textId="73EB8990" w:rsidR="000E207C" w:rsidRDefault="00D46BE1" w:rsidP="00C34AE8">
      <w:pPr>
        <w:pStyle w:val="Body"/>
        <w:widowControl w:val="0"/>
        <w:spacing w:line="480" w:lineRule="auto"/>
        <w:ind w:firstLine="720"/>
      </w:pPr>
      <w:r>
        <w:rPr>
          <w:sz w:val="28"/>
          <w:szCs w:val="28"/>
        </w:rPr>
        <w:t>It’s</w:t>
      </w:r>
      <w:r w:rsidR="003834DF">
        <w:rPr>
          <w:sz w:val="28"/>
          <w:szCs w:val="28"/>
        </w:rPr>
        <w:t xml:space="preserve"> been</w:t>
      </w:r>
      <w:r>
        <w:rPr>
          <w:sz w:val="28"/>
          <w:szCs w:val="28"/>
        </w:rPr>
        <w:t xml:space="preserve"> </w:t>
      </w:r>
      <w:r w:rsidR="003834DF">
        <w:rPr>
          <w:sz w:val="28"/>
          <w:szCs w:val="28"/>
        </w:rPr>
        <w:t>34 years</w:t>
      </w:r>
      <w:r>
        <w:rPr>
          <w:sz w:val="28"/>
          <w:szCs w:val="28"/>
        </w:rPr>
        <w:t xml:space="preserve"> since </w:t>
      </w:r>
      <w:r w:rsidRPr="009B2E09">
        <w:rPr>
          <w:i/>
          <w:iCs/>
          <w:szCs w:val="26"/>
        </w:rPr>
        <w:t>Keller v. State Bar of California</w:t>
      </w:r>
      <w:r>
        <w:rPr>
          <w:szCs w:val="26"/>
        </w:rPr>
        <w:t xml:space="preserve">, 496 U.S. 1 (1990), was decided. And notwithstanding the Court’s ruling that mandatory dues could be used only to regulate the legal profession or improve the quality of legal services and not to subsidize non-germane political and ideological activities, the Arizona Bar has persisted in </w:t>
      </w:r>
      <w:r w:rsidR="007A0067">
        <w:rPr>
          <w:szCs w:val="26"/>
        </w:rPr>
        <w:t>veering out of</w:t>
      </w:r>
      <w:r>
        <w:rPr>
          <w:szCs w:val="26"/>
        </w:rPr>
        <w:t xml:space="preserve"> its lane. For this principal reason, </w:t>
      </w:r>
      <w:r>
        <w:t xml:space="preserve">I support the Goldwater Institute’s </w:t>
      </w:r>
      <w:r>
        <w:lastRenderedPageBreak/>
        <w:t>(GI) third bite</w:t>
      </w:r>
      <w:r>
        <w:rPr>
          <w:rStyle w:val="FootnoteReference"/>
        </w:rPr>
        <w:footnoteReference w:id="1"/>
      </w:r>
      <w:r>
        <w:t xml:space="preserve"> at the bifurcated bar apple. In </w:t>
      </w:r>
      <w:r w:rsidR="00087C8D">
        <w:t xml:space="preserve">addition to the reasons GI enumerates, the State Bar of Arizona </w:t>
      </w:r>
      <w:r w:rsidR="00A11838">
        <w:t>repeatedly</w:t>
      </w:r>
      <w:r w:rsidR="00087C8D">
        <w:t xml:space="preserve"> engag</w:t>
      </w:r>
      <w:r w:rsidR="00A11838">
        <w:t>es</w:t>
      </w:r>
      <w:r w:rsidR="00087C8D">
        <w:t xml:space="preserve"> in non-germane political </w:t>
      </w:r>
      <w:r w:rsidR="00DA6F9C">
        <w:t xml:space="preserve">and ideological </w:t>
      </w:r>
      <w:r w:rsidR="00087C8D">
        <w:t>speech</w:t>
      </w:r>
      <w:r w:rsidR="00FF474E">
        <w:t xml:space="preserve"> even more pronounced than laid out by Petitioners</w:t>
      </w:r>
      <w:r w:rsidR="000E207C">
        <w:t>.</w:t>
      </w:r>
    </w:p>
    <w:p w14:paraId="675E4B1E" w14:textId="517EFB40" w:rsidR="000E207C" w:rsidRPr="000E207C" w:rsidRDefault="000E207C" w:rsidP="000E207C">
      <w:pPr>
        <w:pStyle w:val="Body"/>
        <w:widowControl w:val="0"/>
        <w:spacing w:line="480" w:lineRule="auto"/>
        <w:ind w:firstLine="0"/>
        <w:rPr>
          <w:b/>
          <w:bCs/>
        </w:rPr>
      </w:pPr>
      <w:r w:rsidRPr="000E207C">
        <w:rPr>
          <w:b/>
          <w:bCs/>
        </w:rPr>
        <w:t>Mandatory Diversity and Inclusion CLE Rule Change Petition</w:t>
      </w:r>
      <w:r w:rsidR="009E3B28">
        <w:rPr>
          <w:b/>
          <w:bCs/>
        </w:rPr>
        <w:t>.</w:t>
      </w:r>
    </w:p>
    <w:p w14:paraId="1CDC548A" w14:textId="1F44A0A7" w:rsidR="004454D6" w:rsidRDefault="000E207C" w:rsidP="002A18D3">
      <w:pPr>
        <w:pStyle w:val="Body"/>
        <w:widowControl w:val="0"/>
        <w:spacing w:line="480" w:lineRule="auto"/>
        <w:ind w:firstLine="720"/>
      </w:pPr>
      <w:r>
        <w:rPr>
          <w:szCs w:val="26"/>
        </w:rPr>
        <w:t>In January 2021</w:t>
      </w:r>
      <w:r w:rsidR="00111443">
        <w:rPr>
          <w:szCs w:val="26"/>
        </w:rPr>
        <w:t>,</w:t>
      </w:r>
      <w:r>
        <w:rPr>
          <w:szCs w:val="26"/>
        </w:rPr>
        <w:t xml:space="preserve"> the Bar filed a rule change petition</w:t>
      </w:r>
      <w:r w:rsidR="001C3A11">
        <w:rPr>
          <w:szCs w:val="26"/>
        </w:rPr>
        <w:t xml:space="preserve"> R-21-0016</w:t>
      </w:r>
      <w:r>
        <w:rPr>
          <w:szCs w:val="26"/>
        </w:rPr>
        <w:t xml:space="preserve"> to “</w:t>
      </w:r>
      <w:r w:rsidRPr="000E207C">
        <w:rPr>
          <w:szCs w:val="26"/>
        </w:rPr>
        <w:t>amend Sup. Ct. Rule 45(a)(2) to require active attorneys, not otherwise exempt, to dedicate one hour of CLE to training on diversity and inclusion as part of the three hours of professional responsibility mandatory CLE for each educational year.</w:t>
      </w:r>
      <w:r>
        <w:rPr>
          <w:szCs w:val="26"/>
        </w:rPr>
        <w:t xml:space="preserve">” </w:t>
      </w:r>
      <w:r w:rsidR="00615A29">
        <w:rPr>
          <w:szCs w:val="26"/>
        </w:rPr>
        <w:t>As t</w:t>
      </w:r>
      <w:r w:rsidR="00111443">
        <w:rPr>
          <w:szCs w:val="26"/>
        </w:rPr>
        <w:t xml:space="preserve">his court subsequently denied the Bar’s petition, there’s no need </w:t>
      </w:r>
      <w:r w:rsidR="00615A29">
        <w:rPr>
          <w:szCs w:val="26"/>
        </w:rPr>
        <w:t xml:space="preserve">here </w:t>
      </w:r>
      <w:r w:rsidR="00111443">
        <w:rPr>
          <w:szCs w:val="26"/>
        </w:rPr>
        <w:t xml:space="preserve">to revisit the equal protection and compelled </w:t>
      </w:r>
      <w:r w:rsidR="00D148D1">
        <w:rPr>
          <w:szCs w:val="26"/>
        </w:rPr>
        <w:t xml:space="preserve">political and </w:t>
      </w:r>
      <w:r w:rsidR="00111443">
        <w:rPr>
          <w:szCs w:val="26"/>
        </w:rPr>
        <w:t>ideological speech arguments</w:t>
      </w:r>
      <w:r w:rsidR="00D148D1">
        <w:rPr>
          <w:szCs w:val="26"/>
        </w:rPr>
        <w:t xml:space="preserve"> against the proposal</w:t>
      </w:r>
      <w:r w:rsidR="00111443">
        <w:rPr>
          <w:szCs w:val="26"/>
        </w:rPr>
        <w:t>. Suffice it to say that no matter how well-intentioned, the Bar’s decision to file the petition undermines</w:t>
      </w:r>
      <w:r w:rsidR="004650DF">
        <w:t xml:space="preserve"> its claims of </w:t>
      </w:r>
      <w:r w:rsidR="004650DF" w:rsidRPr="00E3751A">
        <w:rPr>
          <w:i/>
          <w:iCs/>
        </w:rPr>
        <w:t>Keller</w:t>
      </w:r>
      <w:r w:rsidR="004650DF">
        <w:t>-purity</w:t>
      </w:r>
      <w:r w:rsidR="00D148D1">
        <w:t xml:space="preserve">. </w:t>
      </w:r>
      <w:r w:rsidR="004454D6" w:rsidRPr="00E3751A">
        <w:rPr>
          <w:i/>
          <w:iCs/>
        </w:rPr>
        <w:t xml:space="preserve">Keller </w:t>
      </w:r>
      <w:r w:rsidR="004454D6">
        <w:t xml:space="preserve">496 U.S. </w:t>
      </w:r>
      <w:r w:rsidR="009B2E09">
        <w:t>at</w:t>
      </w:r>
      <w:r w:rsidR="004454D6">
        <w:t xml:space="preserve"> 14 noted that a group “may not . . . fund activities of an ideological nature” that are “not ‘germane’ to the purpose for which compelled association was justified.” </w:t>
      </w:r>
      <w:r w:rsidR="004454D6" w:rsidRPr="004454D6">
        <w:t>Th</w:t>
      </w:r>
      <w:r w:rsidR="004454D6">
        <w:t xml:space="preserve">e </w:t>
      </w:r>
      <w:r w:rsidR="004454D6" w:rsidRPr="00E3751A">
        <w:rPr>
          <w:i/>
          <w:iCs/>
        </w:rPr>
        <w:t>Keller</w:t>
      </w:r>
      <w:r w:rsidR="004454D6">
        <w:t xml:space="preserve"> Court declared “</w:t>
      </w:r>
      <w:r w:rsidR="004454D6" w:rsidRPr="004454D6">
        <w:t xml:space="preserve">the guiding standard must be whether the challenged expenditures are necessarily or reasonably incurred for the purpose of regulating the legal profession or improving the quality of the legal service available to the people of the State." </w:t>
      </w:r>
      <w:r w:rsidR="004454D6" w:rsidRPr="004454D6">
        <w:rPr>
          <w:i/>
          <w:iCs/>
        </w:rPr>
        <w:t>Lathrop</w:t>
      </w:r>
      <w:r w:rsidR="00C93150">
        <w:rPr>
          <w:i/>
          <w:iCs/>
        </w:rPr>
        <w:t xml:space="preserve"> v Donohue</w:t>
      </w:r>
      <w:r w:rsidR="004454D6" w:rsidRPr="004454D6">
        <w:rPr>
          <w:i/>
          <w:iCs/>
        </w:rPr>
        <w:t>,</w:t>
      </w:r>
      <w:r w:rsidR="004454D6" w:rsidRPr="004454D6">
        <w:t xml:space="preserve"> 367 U.S. </w:t>
      </w:r>
      <w:r w:rsidR="00C93150">
        <w:t xml:space="preserve">820 (1961) </w:t>
      </w:r>
      <w:r w:rsidR="004454D6" w:rsidRPr="004454D6">
        <w:t xml:space="preserve">at </w:t>
      </w:r>
      <w:hyperlink r:id="rId8" w:anchor="843" w:history="1">
        <w:r w:rsidR="004454D6" w:rsidRPr="004454D6">
          <w:rPr>
            <w:rStyle w:val="Hyperlink"/>
          </w:rPr>
          <w:t>843</w:t>
        </w:r>
      </w:hyperlink>
      <w:r w:rsidR="004454D6">
        <w:t>.”</w:t>
      </w:r>
    </w:p>
    <w:p w14:paraId="798A152A" w14:textId="6153B67A" w:rsidR="00DD4EE9" w:rsidRDefault="009E3B28" w:rsidP="00015238">
      <w:pPr>
        <w:pStyle w:val="Body"/>
        <w:widowControl w:val="0"/>
        <w:spacing w:line="480" w:lineRule="auto"/>
        <w:ind w:firstLine="720"/>
      </w:pPr>
      <w:r w:rsidRPr="009E3B28">
        <w:lastRenderedPageBreak/>
        <w:t>A cursory look at headlines then and now give test</w:t>
      </w:r>
      <w:r w:rsidR="00A510EB">
        <w:t>a</w:t>
      </w:r>
      <w:r w:rsidRPr="009E3B28">
        <w:t>m</w:t>
      </w:r>
      <w:r w:rsidR="00A510EB">
        <w:t>ent</w:t>
      </w:r>
      <w:r w:rsidRPr="009E3B28">
        <w:t xml:space="preserve"> to the heightened ideological and political </w:t>
      </w:r>
      <w:r w:rsidR="00A510EB">
        <w:t>divisions</w:t>
      </w:r>
      <w:r w:rsidRPr="009E3B28">
        <w:rPr>
          <w:vertAlign w:val="superscript"/>
        </w:rPr>
        <w:footnoteReference w:id="2"/>
      </w:r>
      <w:r w:rsidRPr="009E3B28">
        <w:t xml:space="preserve"> </w:t>
      </w:r>
      <w:r w:rsidR="00A510EB">
        <w:t xml:space="preserve">represented by the notions of </w:t>
      </w:r>
      <w:r w:rsidRPr="009E3B28">
        <w:t>diversity</w:t>
      </w:r>
      <w:r w:rsidR="00A510EB">
        <w:t>, equity,</w:t>
      </w:r>
      <w:r w:rsidRPr="009E3B28">
        <w:t xml:space="preserve"> and inclusion</w:t>
      </w:r>
      <w:r w:rsidR="00A510EB">
        <w:t xml:space="preserve"> (DEI)</w:t>
      </w:r>
      <w:r w:rsidRPr="009E3B28">
        <w:t xml:space="preserve">. </w:t>
      </w:r>
      <w:r w:rsidR="00E3751A">
        <w:t xml:space="preserve">The Bar’s </w:t>
      </w:r>
      <w:r>
        <w:t>decision to file</w:t>
      </w:r>
      <w:r w:rsidR="00E3751A">
        <w:t xml:space="preserve"> such an ideologically and politically freighted rule change petition underscore</w:t>
      </w:r>
      <w:r>
        <w:t>d</w:t>
      </w:r>
      <w:r w:rsidR="00E3751A">
        <w:t xml:space="preserve"> the Bar’s insularity and how expansively it chooses to define its core functions of </w:t>
      </w:r>
      <w:r w:rsidR="00E3751A" w:rsidRPr="004650DF">
        <w:t>regulating the legal profession and improving the quality of legal services.</w:t>
      </w:r>
      <w:r w:rsidR="00E3751A">
        <w:t xml:space="preserve"> </w:t>
      </w:r>
      <w:r w:rsidR="00A510EB">
        <w:t>DEI</w:t>
      </w:r>
      <w:r w:rsidR="00615A29">
        <w:t xml:space="preserve"> </w:t>
      </w:r>
      <w:r w:rsidR="00C9178B">
        <w:t>continue</w:t>
      </w:r>
      <w:r w:rsidR="00615A29">
        <w:t>s</w:t>
      </w:r>
      <w:r w:rsidR="00C9178B">
        <w:t xml:space="preserve"> being litigated</w:t>
      </w:r>
      <w:r w:rsidR="003F0AB7">
        <w:rPr>
          <w:rStyle w:val="FootnoteReference"/>
        </w:rPr>
        <w:footnoteReference w:id="3"/>
      </w:r>
      <w:r w:rsidR="00C9178B">
        <w:t xml:space="preserve"> </w:t>
      </w:r>
      <w:r w:rsidR="00615A29">
        <w:t>and</w:t>
      </w:r>
      <w:r w:rsidR="00A510EB">
        <w:t xml:space="preserve"> provides even more fuel for plaintiffs challenging mandatory bar conduct</w:t>
      </w:r>
      <w:r w:rsidR="008454AE">
        <w:t>.</w:t>
      </w:r>
      <w:r w:rsidR="00C9178B">
        <w:rPr>
          <w:rStyle w:val="FootnoteReference"/>
        </w:rPr>
        <w:footnoteReference w:id="4"/>
      </w:r>
      <w:r w:rsidR="00615A29">
        <w:t xml:space="preserve"> </w:t>
      </w:r>
      <w:r w:rsidR="00D860E1">
        <w:t>Not to be outdone, some lawmakers at the Arizona Legislature continue</w:t>
      </w:r>
      <w:r w:rsidR="00615A29">
        <w:t xml:space="preserve"> </w:t>
      </w:r>
      <w:r w:rsidR="00D860E1">
        <w:t xml:space="preserve">introducing legislation seeking </w:t>
      </w:r>
      <w:r w:rsidR="00615A29">
        <w:t xml:space="preserve">to </w:t>
      </w:r>
      <w:r w:rsidR="00D860E1">
        <w:t>push back against the public funding of DEI</w:t>
      </w:r>
      <w:r w:rsidR="00615A29">
        <w:t>.</w:t>
      </w:r>
      <w:r w:rsidR="00615A29">
        <w:rPr>
          <w:rStyle w:val="FootnoteReference"/>
        </w:rPr>
        <w:footnoteReference w:id="5"/>
      </w:r>
      <w:r w:rsidR="00C15A2A">
        <w:t xml:space="preserve"> </w:t>
      </w:r>
      <w:r w:rsidR="00F51979">
        <w:t xml:space="preserve">In this </w:t>
      </w:r>
      <w:r w:rsidR="007A259B">
        <w:t>discordant environment</w:t>
      </w:r>
      <w:r w:rsidR="00F51979">
        <w:t xml:space="preserve">, how did the </w:t>
      </w:r>
      <w:r w:rsidR="00C15A2A">
        <w:t>Bar</w:t>
      </w:r>
      <w:r w:rsidR="00F51979">
        <w:t xml:space="preserve"> conclude </w:t>
      </w:r>
      <w:r w:rsidR="00CA136F">
        <w:t xml:space="preserve">that engaging in an expressive activity compelling members </w:t>
      </w:r>
      <w:r w:rsidR="00DF721F">
        <w:t xml:space="preserve">under an </w:t>
      </w:r>
      <w:r w:rsidR="00CA136F">
        <w:t>ethical rule</w:t>
      </w:r>
      <w:r w:rsidR="00DF721F">
        <w:t xml:space="preserve"> to </w:t>
      </w:r>
      <w:r w:rsidR="00112FBC">
        <w:t>mandatory</w:t>
      </w:r>
      <w:r w:rsidR="00DF721F">
        <w:t xml:space="preserve"> training in</w:t>
      </w:r>
      <w:r w:rsidR="00CA136F">
        <w:t xml:space="preserve"> such a controversial ideology </w:t>
      </w:r>
      <w:r w:rsidR="00C15A2A">
        <w:t xml:space="preserve">was consistent with </w:t>
      </w:r>
      <w:r w:rsidR="00C15A2A" w:rsidRPr="00C15A2A">
        <w:rPr>
          <w:i/>
          <w:iCs/>
        </w:rPr>
        <w:t>Keller</w:t>
      </w:r>
      <w:r w:rsidR="00C15A2A">
        <w:t>?</w:t>
      </w:r>
    </w:p>
    <w:p w14:paraId="727EBB9D" w14:textId="69B5FC72" w:rsidR="009E3B28" w:rsidRDefault="00246BCC" w:rsidP="00111443">
      <w:pPr>
        <w:pStyle w:val="Body"/>
        <w:widowControl w:val="0"/>
        <w:spacing w:line="480" w:lineRule="auto"/>
        <w:ind w:firstLine="0"/>
        <w:rPr>
          <w:b/>
          <w:bCs/>
        </w:rPr>
      </w:pPr>
      <w:r>
        <w:rPr>
          <w:b/>
          <w:bCs/>
        </w:rPr>
        <w:lastRenderedPageBreak/>
        <w:t>Persistent</w:t>
      </w:r>
      <w:r w:rsidR="009E3B28" w:rsidRPr="009E3B28">
        <w:rPr>
          <w:b/>
          <w:bCs/>
        </w:rPr>
        <w:t xml:space="preserve"> </w:t>
      </w:r>
      <w:r w:rsidR="009E3B28">
        <w:rPr>
          <w:b/>
          <w:bCs/>
        </w:rPr>
        <w:t>First Amendment</w:t>
      </w:r>
      <w:r w:rsidR="009E3B28" w:rsidRPr="009E3B28">
        <w:rPr>
          <w:b/>
          <w:bCs/>
        </w:rPr>
        <w:t xml:space="preserve"> problems</w:t>
      </w:r>
      <w:r>
        <w:rPr>
          <w:b/>
          <w:bCs/>
        </w:rPr>
        <w:t xml:space="preserve"> are avoidable </w:t>
      </w:r>
      <w:r w:rsidR="00AE5E56">
        <w:rPr>
          <w:b/>
          <w:bCs/>
        </w:rPr>
        <w:t>with</w:t>
      </w:r>
      <w:r>
        <w:rPr>
          <w:b/>
          <w:bCs/>
        </w:rPr>
        <w:t xml:space="preserve"> a voluntary association</w:t>
      </w:r>
      <w:r w:rsidR="009E3B28" w:rsidRPr="009E3B28">
        <w:rPr>
          <w:b/>
          <w:bCs/>
        </w:rPr>
        <w:t>.</w:t>
      </w:r>
    </w:p>
    <w:p w14:paraId="127AAF38" w14:textId="516C8DA3" w:rsidR="008426EC" w:rsidRDefault="009E3B28" w:rsidP="00111443">
      <w:pPr>
        <w:pStyle w:val="Body"/>
        <w:widowControl w:val="0"/>
        <w:spacing w:line="480" w:lineRule="auto"/>
        <w:ind w:firstLine="0"/>
      </w:pPr>
      <w:r>
        <w:rPr>
          <w:b/>
          <w:bCs/>
        </w:rPr>
        <w:tab/>
      </w:r>
      <w:r w:rsidR="00A54C8D">
        <w:t>D</w:t>
      </w:r>
      <w:r w:rsidR="00993A14">
        <w:t xml:space="preserve">efining what </w:t>
      </w:r>
      <w:r w:rsidR="00AF5FEB">
        <w:t xml:space="preserve">activities </w:t>
      </w:r>
      <w:r w:rsidR="00A54C8D">
        <w:t>a</w:t>
      </w:r>
      <w:r w:rsidR="00AF5FEB">
        <w:t>re</w:t>
      </w:r>
      <w:r w:rsidR="00993A14">
        <w:t xml:space="preserve"> “germane</w:t>
      </w:r>
      <w:r w:rsidR="00993A14" w:rsidRPr="00AF5FEB">
        <w:t xml:space="preserve">” </w:t>
      </w:r>
      <w:r w:rsidR="00AF5FEB" w:rsidRPr="00AF5FEB">
        <w:t xml:space="preserve">to the purposes </w:t>
      </w:r>
      <w:r w:rsidR="00AF5FEB">
        <w:t>justifying compelled association</w:t>
      </w:r>
      <w:r w:rsidR="00A54C8D">
        <w:t xml:space="preserve"> has</w:t>
      </w:r>
      <w:r w:rsidR="00C15A2A">
        <w:t xml:space="preserve"> </w:t>
      </w:r>
      <w:r w:rsidR="00A54C8D">
        <w:t>n</w:t>
      </w:r>
      <w:r w:rsidR="00C15A2A">
        <w:t>o</w:t>
      </w:r>
      <w:r w:rsidR="00A54C8D">
        <w:t>t gotten any easier since</w:t>
      </w:r>
      <w:r w:rsidR="00AF5FEB">
        <w:t xml:space="preserve"> t</w:t>
      </w:r>
      <w:r w:rsidR="006A065D" w:rsidRPr="00AF5FEB">
        <w:t xml:space="preserve">he court in </w:t>
      </w:r>
      <w:r w:rsidR="006A065D" w:rsidRPr="00AF5FEB">
        <w:rPr>
          <w:i/>
          <w:iCs/>
        </w:rPr>
        <w:t>Keller</w:t>
      </w:r>
      <w:r w:rsidR="006A065D" w:rsidRPr="00AF5FEB">
        <w:t xml:space="preserve"> </w:t>
      </w:r>
      <w:r w:rsidR="00A54C8D">
        <w:t>first s</w:t>
      </w:r>
      <w:r w:rsidR="006A065D" w:rsidRPr="00AF5FEB">
        <w:t>aid fi</w:t>
      </w:r>
      <w:r w:rsidR="006A065D">
        <w:t>nding “p</w:t>
      </w:r>
      <w:r w:rsidR="006A065D" w:rsidRPr="006A065D">
        <w:t xml:space="preserve">recisely </w:t>
      </w:r>
      <w:bookmarkStart w:id="4" w:name="_Hlk164419521"/>
      <w:r w:rsidR="006A065D" w:rsidRPr="006A065D">
        <w:t>where the line falls between permissible and impermissible dues-financed activities will not always be easy to discern</w:t>
      </w:r>
      <w:bookmarkEnd w:id="4"/>
      <w:r w:rsidR="006A065D">
        <w:t>.”</w:t>
      </w:r>
      <w:r w:rsidR="00E93741">
        <w:rPr>
          <w:rStyle w:val="FootnoteReference"/>
        </w:rPr>
        <w:footnoteReference w:id="6"/>
      </w:r>
      <w:r w:rsidR="006A065D">
        <w:t xml:space="preserve"> </w:t>
      </w:r>
      <w:r w:rsidR="00993A14">
        <w:t xml:space="preserve"> </w:t>
      </w:r>
    </w:p>
    <w:p w14:paraId="7379E279" w14:textId="56AF9B3E" w:rsidR="00EA7B07" w:rsidRDefault="008426EC" w:rsidP="008426EC">
      <w:pPr>
        <w:pStyle w:val="Body"/>
        <w:widowControl w:val="0"/>
        <w:spacing w:line="480" w:lineRule="auto"/>
        <w:ind w:firstLine="720"/>
      </w:pPr>
      <w:r>
        <w:t xml:space="preserve">For example, despite the Bar’s oft-professed assertions that it weighs </w:t>
      </w:r>
      <w:r w:rsidRPr="000757CB">
        <w:t xml:space="preserve">proposed </w:t>
      </w:r>
      <w:r>
        <w:t xml:space="preserve">continuing legal education and convention programming </w:t>
      </w:r>
      <w:r w:rsidRPr="000757CB">
        <w:t xml:space="preserve">content </w:t>
      </w:r>
      <w:r>
        <w:t xml:space="preserve">in accord with its </w:t>
      </w:r>
      <w:r w:rsidRPr="000757CB">
        <w:t>core purposes</w:t>
      </w:r>
      <w:r>
        <w:t xml:space="preserve"> and functions and</w:t>
      </w:r>
      <w:r w:rsidRPr="000757CB">
        <w:t xml:space="preserve"> </w:t>
      </w:r>
      <w:r w:rsidR="00EA7B07">
        <w:t>up</w:t>
      </w:r>
      <w:r w:rsidR="006B5506">
        <w:t xml:space="preserve">on </w:t>
      </w:r>
      <w:r w:rsidRPr="000757CB">
        <w:t>whether</w:t>
      </w:r>
      <w:r w:rsidR="00EA7B07">
        <w:t xml:space="preserve"> the proposed program</w:t>
      </w:r>
      <w:r w:rsidRPr="000757CB">
        <w:t xml:space="preserve"> is </w:t>
      </w:r>
      <w:r w:rsidRPr="008426EC">
        <w:rPr>
          <w:i/>
          <w:iCs/>
        </w:rPr>
        <w:t>Keller</w:t>
      </w:r>
      <w:r>
        <w:t xml:space="preserve">-compliant </w:t>
      </w:r>
      <w:r w:rsidR="00EA7B07">
        <w:t>with respect to</w:t>
      </w:r>
      <w:r>
        <w:t xml:space="preserve"> </w:t>
      </w:r>
      <w:r w:rsidRPr="000757CB">
        <w:t>politic</w:t>
      </w:r>
      <w:r w:rsidR="00EA7B07">
        <w:t>s</w:t>
      </w:r>
      <w:r w:rsidRPr="000757CB">
        <w:t xml:space="preserve"> or ideolog</w:t>
      </w:r>
      <w:r w:rsidR="00EA7B07">
        <w:t>y</w:t>
      </w:r>
      <w:r w:rsidRPr="000757CB">
        <w:t>,</w:t>
      </w:r>
      <w:r>
        <w:t xml:space="preserve"> members are nevertheless left </w:t>
      </w:r>
      <w:r w:rsidR="00EA7B07">
        <w:t>wondering</w:t>
      </w:r>
      <w:r>
        <w:t xml:space="preserve"> about </w:t>
      </w:r>
      <w:r w:rsidR="00EA7B07">
        <w:t xml:space="preserve">how </w:t>
      </w:r>
      <w:r>
        <w:t>the Bar</w:t>
      </w:r>
      <w:r w:rsidR="00EA7B07">
        <w:t xml:space="preserve"> satisfies </w:t>
      </w:r>
      <w:r w:rsidR="00EA7B07" w:rsidRPr="00EA7B07">
        <w:rPr>
          <w:i/>
          <w:iCs/>
        </w:rPr>
        <w:t>Keller</w:t>
      </w:r>
      <w:r>
        <w:t xml:space="preserve">. </w:t>
      </w:r>
      <w:r w:rsidR="00EA7B07">
        <w:t>Given the Bar’s inconsistency and nontransparency, members can only guess. As shown below, some programs that are clearly political or ideological on their face are nonetheless approved. And others that are just as arguably political or ideological are rejected.</w:t>
      </w:r>
    </w:p>
    <w:p w14:paraId="071F54A0" w14:textId="54CBA30D" w:rsidR="00EA7B07" w:rsidRDefault="008426EC" w:rsidP="008426EC">
      <w:pPr>
        <w:pStyle w:val="Body"/>
        <w:widowControl w:val="0"/>
        <w:spacing w:line="480" w:lineRule="auto"/>
        <w:ind w:firstLine="720"/>
      </w:pPr>
      <w:r>
        <w:t>N</w:t>
      </w:r>
      <w:r w:rsidR="002F7E7B">
        <w:t xml:space="preserve">otwithstanding the U.S. Supreme Court’s </w:t>
      </w:r>
      <w:r>
        <w:t xml:space="preserve">2023 </w:t>
      </w:r>
      <w:r w:rsidR="002F7E7B">
        <w:t xml:space="preserve">decision in </w:t>
      </w:r>
      <w:r w:rsidR="002F7E7B" w:rsidRPr="002F7E7B">
        <w:rPr>
          <w:i/>
          <w:iCs/>
        </w:rPr>
        <w:t>Students for Fair Admissions, Inc. v. President &amp; Fellows of Harvard College</w:t>
      </w:r>
      <w:r w:rsidR="002F7E7B">
        <w:rPr>
          <w:rStyle w:val="FootnoteReference"/>
          <w:i/>
          <w:iCs/>
        </w:rPr>
        <w:footnoteReference w:id="7"/>
      </w:r>
      <w:r w:rsidR="005F342C">
        <w:t xml:space="preserve"> </w:t>
      </w:r>
      <w:r w:rsidR="00F052CC">
        <w:t>that race-conscious affirmative action in admissions is unconstitutional and that the subject remains rife with controversy, the Arizona Bar</w:t>
      </w:r>
      <w:r>
        <w:t xml:space="preserve"> has</w:t>
      </w:r>
      <w:r w:rsidR="00F052CC">
        <w:t xml:space="preserve"> continue</w:t>
      </w:r>
      <w:r>
        <w:t>d</w:t>
      </w:r>
      <w:r w:rsidR="00F052CC">
        <w:t xml:space="preserve"> pursu</w:t>
      </w:r>
      <w:r>
        <w:t>ing</w:t>
      </w:r>
      <w:r w:rsidR="00F052CC">
        <w:t xml:space="preserve"> its own diversity and implicit bias initiatives</w:t>
      </w:r>
      <w:r w:rsidR="00EA7B07">
        <w:t xml:space="preserve"> and educational programming, </w:t>
      </w:r>
      <w:r w:rsidR="00F052CC">
        <w:t>whether members are on board with th</w:t>
      </w:r>
      <w:r>
        <w:t>em</w:t>
      </w:r>
      <w:r w:rsidR="00F052CC">
        <w:t xml:space="preserve"> or not.</w:t>
      </w:r>
      <w:r>
        <w:t xml:space="preserve"> </w:t>
      </w:r>
      <w:r w:rsidR="00EA7B07">
        <w:t xml:space="preserve">In the meantime, </w:t>
      </w:r>
      <w:r>
        <w:t>other mandatory bar jurisdictions have mo</w:t>
      </w:r>
      <w:r w:rsidR="00EA7B07">
        <w:t xml:space="preserve">ved away from such </w:t>
      </w:r>
      <w:r w:rsidR="00EA7B07">
        <w:lastRenderedPageBreak/>
        <w:t>programming in conformance</w:t>
      </w:r>
      <w:r>
        <w:t xml:space="preserve"> with the U.S. Supreme Court’s ruling. </w:t>
      </w:r>
      <w:r w:rsidR="00F052CC">
        <w:t xml:space="preserve"> </w:t>
      </w:r>
      <w:r w:rsidR="00EA7B07">
        <w:tab/>
      </w:r>
    </w:p>
    <w:p w14:paraId="56980466" w14:textId="00AE9F51" w:rsidR="009E3B28" w:rsidRDefault="00957510" w:rsidP="00B93B89">
      <w:pPr>
        <w:pStyle w:val="Body"/>
        <w:widowControl w:val="0"/>
        <w:spacing w:line="480" w:lineRule="auto"/>
        <w:ind w:firstLine="720"/>
      </w:pPr>
      <w:r>
        <w:t>Earlier this year, t</w:t>
      </w:r>
      <w:r w:rsidRPr="00957510">
        <w:t xml:space="preserve">he Florida Supreme Court directed </w:t>
      </w:r>
      <w:r>
        <w:t>t</w:t>
      </w:r>
      <w:r w:rsidRPr="00957510">
        <w:t xml:space="preserve">he Florida </w:t>
      </w:r>
      <w:r>
        <w:t xml:space="preserve">State </w:t>
      </w:r>
      <w:r w:rsidRPr="00957510">
        <w:t xml:space="preserve">Bar to </w:t>
      </w:r>
      <w:r>
        <w:t>stop</w:t>
      </w:r>
      <w:r w:rsidRPr="00957510">
        <w:t xml:space="preserve"> funding diversity and inclusion initiatives </w:t>
      </w:r>
      <w:r>
        <w:t xml:space="preserve">in its </w:t>
      </w:r>
      <w:r w:rsidRPr="00957510">
        <w:t>forthcoming budget.</w:t>
      </w:r>
      <w:r>
        <w:rPr>
          <w:rStyle w:val="FootnoteReference"/>
        </w:rPr>
        <w:footnoteReference w:id="8"/>
      </w:r>
      <w:r>
        <w:t xml:space="preserve"> The Florida Supreme Court also earlier decided that Florida judges could no longer obtain continuing legal education credit for general ‘fairness and diversity’ courses. </w:t>
      </w:r>
      <w:r w:rsidR="00EA7B07">
        <w:t>And in Wisconsin,</w:t>
      </w:r>
      <w:r w:rsidR="00B93B89">
        <w:t xml:space="preserve"> Reuters reported</w:t>
      </w:r>
      <w:r w:rsidR="00EA7B07">
        <w:t xml:space="preserve"> </w:t>
      </w:r>
      <w:r w:rsidR="00B93B89">
        <w:t xml:space="preserve">this month </w:t>
      </w:r>
      <w:r w:rsidR="00EA7B07">
        <w:t xml:space="preserve">the </w:t>
      </w:r>
      <w:r w:rsidR="00B93B89">
        <w:t>Wisconsin State Bar</w:t>
      </w:r>
      <w:r w:rsidR="00EA7B07">
        <w:t xml:space="preserve"> </w:t>
      </w:r>
      <w:r w:rsidR="00B93B89">
        <w:t xml:space="preserve">had reached a partial settlement in </w:t>
      </w:r>
      <w:r w:rsidR="00EA7B07">
        <w:t xml:space="preserve">a lawsuit brought by </w:t>
      </w:r>
      <w:r w:rsidR="00B93B89">
        <w:t xml:space="preserve">The Wisconsin Institute for Law &amp; Liberty that allowed the Bar’s Diversity Clerkship Program to continue with a new definition of diversity. </w:t>
      </w:r>
    </w:p>
    <w:p w14:paraId="71EBFF2A" w14:textId="3E4570E8" w:rsidR="00F052CC" w:rsidRDefault="00F052CC" w:rsidP="00111443">
      <w:pPr>
        <w:pStyle w:val="Body"/>
        <w:widowControl w:val="0"/>
        <w:spacing w:line="480" w:lineRule="auto"/>
        <w:ind w:firstLine="0"/>
      </w:pPr>
      <w:r>
        <w:tab/>
      </w:r>
      <w:r w:rsidR="00B93B89">
        <w:t>And yet the Arizona Bar has f</w:t>
      </w:r>
      <w:r>
        <w:t>or the past several years at its annual convention included</w:t>
      </w:r>
      <w:r w:rsidR="00B93B89">
        <w:t xml:space="preserve"> ideological and political</w:t>
      </w:r>
      <w:r>
        <w:t xml:space="preserve"> programming</w:t>
      </w:r>
      <w:r w:rsidR="00B93B89">
        <w:t xml:space="preserve"> about diversity and inclusion, including the related </w:t>
      </w:r>
      <w:r>
        <w:t>hot-button</w:t>
      </w:r>
      <w:r w:rsidR="000757CB">
        <w:t xml:space="preserve"> </w:t>
      </w:r>
      <w:r>
        <w:t>topic</w:t>
      </w:r>
      <w:r w:rsidR="00B93B89">
        <w:t xml:space="preserve"> known as</w:t>
      </w:r>
      <w:r>
        <w:t xml:space="preserve"> implicit bias.</w:t>
      </w:r>
      <w:r>
        <w:rPr>
          <w:rStyle w:val="FootnoteReference"/>
        </w:rPr>
        <w:footnoteReference w:id="9"/>
      </w:r>
      <w:r w:rsidR="000757CB">
        <w:t xml:space="preserve"> I</w:t>
      </w:r>
      <w:r w:rsidR="00B93B89">
        <w:t xml:space="preserve">ndeed, </w:t>
      </w:r>
      <w:r w:rsidR="000757CB">
        <w:t>t</w:t>
      </w:r>
      <w:r w:rsidR="000757CB" w:rsidRPr="000757CB">
        <w:t xml:space="preserve">he theme of the 2019 </w:t>
      </w:r>
      <w:r w:rsidR="000757CB">
        <w:t xml:space="preserve">State Bar </w:t>
      </w:r>
      <w:r w:rsidR="000757CB" w:rsidRPr="000757CB">
        <w:t xml:space="preserve">Convention </w:t>
      </w:r>
      <w:r w:rsidR="000757CB">
        <w:t>wa</w:t>
      </w:r>
      <w:r w:rsidR="000757CB" w:rsidRPr="000757CB">
        <w:t xml:space="preserve">s “The Power of Inclusion” and </w:t>
      </w:r>
      <w:r w:rsidR="000757CB">
        <w:t>featured</w:t>
      </w:r>
      <w:r w:rsidR="000757CB" w:rsidRPr="000757CB">
        <w:t xml:space="preserve"> a special </w:t>
      </w:r>
      <w:r w:rsidR="00122FEF">
        <w:t>“</w:t>
      </w:r>
      <w:r w:rsidR="000757CB" w:rsidRPr="000757CB">
        <w:t>Diversity &amp; Inclusion Programming</w:t>
      </w:r>
      <w:r w:rsidR="00122FEF">
        <w:t>”</w:t>
      </w:r>
      <w:r w:rsidR="000757CB" w:rsidRPr="000757CB">
        <w:t xml:space="preserve"> section</w:t>
      </w:r>
      <w:r w:rsidR="00B93B89">
        <w:t xml:space="preserve"> that included</w:t>
      </w:r>
      <w:r w:rsidR="000757CB">
        <w:t xml:space="preserve"> seminars such as “</w:t>
      </w:r>
      <w:r w:rsidR="000757CB" w:rsidRPr="000757CB">
        <w:t>Understanding Implicit Bias</w:t>
      </w:r>
      <w:r w:rsidR="000757CB">
        <w:t>” and</w:t>
      </w:r>
      <w:r w:rsidR="000757CB" w:rsidRPr="000757CB">
        <w:t xml:space="preserve"> </w:t>
      </w:r>
      <w:r w:rsidR="000757CB">
        <w:t>“</w:t>
      </w:r>
      <w:r w:rsidR="000757CB" w:rsidRPr="000757CB">
        <w:t>Microaggression in the Legal Profession</w:t>
      </w:r>
      <w:r w:rsidR="00494208">
        <w:t>.</w:t>
      </w:r>
      <w:r w:rsidR="000757CB">
        <w:t xml:space="preserve">” </w:t>
      </w:r>
      <w:r w:rsidR="00494208">
        <w:t xml:space="preserve">These are </w:t>
      </w:r>
      <w:r w:rsidR="000757CB">
        <w:t>issues</w:t>
      </w:r>
      <w:r w:rsidR="00B93B89">
        <w:t xml:space="preserve"> that</w:t>
      </w:r>
      <w:r w:rsidR="000757CB">
        <w:t xml:space="preserve"> </w:t>
      </w:r>
      <w:r w:rsidR="00E635EF">
        <w:t xml:space="preserve">remain </w:t>
      </w:r>
      <w:r w:rsidR="00257188">
        <w:t>“</w:t>
      </w:r>
      <w:r w:rsidR="00E635EF">
        <w:t>po</w:t>
      </w:r>
      <w:r w:rsidR="000757CB">
        <w:t>litical</w:t>
      </w:r>
      <w:r w:rsidR="00E635EF">
        <w:t>ly</w:t>
      </w:r>
      <w:r w:rsidR="000757CB">
        <w:t xml:space="preserve"> </w:t>
      </w:r>
      <w:r w:rsidR="00257188">
        <w:t>fraught”</w:t>
      </w:r>
      <w:r w:rsidR="00257188">
        <w:rPr>
          <w:rStyle w:val="FootnoteReference"/>
        </w:rPr>
        <w:footnoteReference w:id="10"/>
      </w:r>
      <w:r w:rsidR="00257188">
        <w:t xml:space="preserve"> </w:t>
      </w:r>
      <w:r w:rsidR="000757CB">
        <w:t>and ideological</w:t>
      </w:r>
      <w:r w:rsidR="00E635EF">
        <w:t>ly controversial</w:t>
      </w:r>
      <w:r w:rsidR="000757CB">
        <w:t>.</w:t>
      </w:r>
      <w:r w:rsidR="00E635EF">
        <w:rPr>
          <w:rStyle w:val="FootnoteReference"/>
        </w:rPr>
        <w:footnoteReference w:id="11"/>
      </w:r>
      <w:r w:rsidR="000757CB">
        <w:t xml:space="preserve"> </w:t>
      </w:r>
    </w:p>
    <w:p w14:paraId="441E38C7" w14:textId="60F09514" w:rsidR="00494208" w:rsidRDefault="00687F09" w:rsidP="00E94FA0">
      <w:pPr>
        <w:pStyle w:val="Body"/>
        <w:widowControl w:val="0"/>
        <w:spacing w:line="480" w:lineRule="auto"/>
        <w:ind w:firstLine="0"/>
      </w:pPr>
      <w:r>
        <w:lastRenderedPageBreak/>
        <w:tab/>
      </w:r>
      <w:r w:rsidR="003C66A4">
        <w:t xml:space="preserve">In the meantime, </w:t>
      </w:r>
      <w:r>
        <w:t>the Bar’s non-transparent methodology to determine what passes its</w:t>
      </w:r>
      <w:r w:rsidR="00B93B89">
        <w:t xml:space="preserve"> </w:t>
      </w:r>
      <w:r>
        <w:t xml:space="preserve">definition of </w:t>
      </w:r>
      <w:r w:rsidRPr="00E94FA0">
        <w:rPr>
          <w:i/>
          <w:iCs/>
        </w:rPr>
        <w:t>Keller</w:t>
      </w:r>
      <w:r>
        <w:t>-compliant programming</w:t>
      </w:r>
      <w:r w:rsidR="003C66A4">
        <w:t xml:space="preserve"> has remained mystifying</w:t>
      </w:r>
      <w:r>
        <w:t xml:space="preserve">. </w:t>
      </w:r>
      <w:r w:rsidR="00B93B89">
        <w:t xml:space="preserve">In fact, </w:t>
      </w:r>
      <w:r w:rsidR="00A932BA">
        <w:t>earlier this</w:t>
      </w:r>
      <w:r w:rsidR="00B93B89">
        <w:t xml:space="preserve"> year, </w:t>
      </w:r>
      <w:r w:rsidR="0012742B">
        <w:t xml:space="preserve">a proposed 2024 Annual Convention seminar </w:t>
      </w:r>
      <w:r w:rsidR="0012742B" w:rsidRPr="003F2DF9">
        <w:t>aimed at practice tips for lawyers defending Palestinians locally or under international law from various forms of legal attacks</w:t>
      </w:r>
      <w:r w:rsidR="0012742B" w:rsidRPr="003F2DF9">
        <w:rPr>
          <w:sz w:val="20"/>
          <w:vertAlign w:val="superscript"/>
        </w:rPr>
        <w:t xml:space="preserve"> </w:t>
      </w:r>
      <w:r w:rsidR="0012742B" w:rsidRPr="003F2DF9">
        <w:rPr>
          <w:vertAlign w:val="superscript"/>
        </w:rPr>
        <w:footnoteReference w:id="12"/>
      </w:r>
      <w:r w:rsidR="0012742B">
        <w:rPr>
          <w:sz w:val="20"/>
          <w:vertAlign w:val="superscript"/>
        </w:rPr>
        <w:t xml:space="preserve"> </w:t>
      </w:r>
      <w:r w:rsidR="0012742B">
        <w:t xml:space="preserve"> </w:t>
      </w:r>
      <w:r w:rsidR="00E94FA0">
        <w:t xml:space="preserve">was rejected on the grounds it </w:t>
      </w:r>
      <w:r w:rsidR="00256129">
        <w:t>r</w:t>
      </w:r>
      <w:r w:rsidR="00B757DA">
        <w:t>an</w:t>
      </w:r>
      <w:r w:rsidR="00256129">
        <w:t xml:space="preserve"> afoul of </w:t>
      </w:r>
      <w:r w:rsidR="00256129" w:rsidRPr="00256129">
        <w:rPr>
          <w:i/>
          <w:iCs/>
        </w:rPr>
        <w:t>Keller</w:t>
      </w:r>
      <w:r w:rsidR="00256129">
        <w:t xml:space="preserve"> </w:t>
      </w:r>
      <w:r w:rsidR="00A932BA">
        <w:t>as</w:t>
      </w:r>
      <w:r w:rsidR="00256129">
        <w:t xml:space="preserve"> it </w:t>
      </w:r>
      <w:r w:rsidR="000574FE">
        <w:t xml:space="preserve">supposedly </w:t>
      </w:r>
      <w:r w:rsidR="00E94FA0">
        <w:t>pose</w:t>
      </w:r>
      <w:r w:rsidR="00B757DA">
        <w:t>d</w:t>
      </w:r>
      <w:r w:rsidR="00E94FA0">
        <w:t xml:space="preserve"> both political and ideological issues. </w:t>
      </w:r>
    </w:p>
    <w:p w14:paraId="2F861F37" w14:textId="39563507" w:rsidR="00E94FA0" w:rsidRDefault="00E94FA0" w:rsidP="00494208">
      <w:pPr>
        <w:pStyle w:val="Body"/>
        <w:widowControl w:val="0"/>
        <w:spacing w:line="480" w:lineRule="auto"/>
        <w:ind w:firstLine="720"/>
      </w:pPr>
      <w:r>
        <w:t>The 2024 convention theme is “Balancing the Scales of Justice</w:t>
      </w:r>
      <w:r w:rsidR="0012742B">
        <w:t>.</w:t>
      </w:r>
      <w:r>
        <w:t>”</w:t>
      </w:r>
      <w:r w:rsidR="0012742B">
        <w:t xml:space="preserve"> But despite the belief</w:t>
      </w:r>
      <w:r w:rsidR="00B757DA">
        <w:t xml:space="preserve"> the </w:t>
      </w:r>
      <w:r w:rsidR="003F2DF9">
        <w:t>proposed</w:t>
      </w:r>
      <w:r w:rsidR="0012742B">
        <w:t xml:space="preserve"> seminar</w:t>
      </w:r>
      <w:r w:rsidR="003F2DF9">
        <w:t xml:space="preserve"> </w:t>
      </w:r>
      <w:r w:rsidR="00B757DA">
        <w:t xml:space="preserve">was </w:t>
      </w:r>
      <w:r w:rsidR="003F2DF9">
        <w:t xml:space="preserve">consistent </w:t>
      </w:r>
      <w:r w:rsidR="00B757DA">
        <w:t xml:space="preserve">with the </w:t>
      </w:r>
      <w:r w:rsidR="003F2DF9">
        <w:t>convention</w:t>
      </w:r>
      <w:r w:rsidR="00B757DA">
        <w:t xml:space="preserve"> theme</w:t>
      </w:r>
      <w:r w:rsidR="0012742B">
        <w:t xml:space="preserve"> it was </w:t>
      </w:r>
      <w:r w:rsidR="00A932BA">
        <w:t xml:space="preserve">nevertheless </w:t>
      </w:r>
      <w:r w:rsidR="0012742B">
        <w:t xml:space="preserve">turned down. </w:t>
      </w:r>
      <w:r w:rsidR="00DA2703">
        <w:t>And i</w:t>
      </w:r>
      <w:r w:rsidR="00494208">
        <w:t>t’s</w:t>
      </w:r>
      <w:r w:rsidR="00256129">
        <w:t xml:space="preserve"> not the first time the Bar has rejected convention programming dealing with </w:t>
      </w:r>
      <w:r w:rsidR="008156A2">
        <w:t>the greater Middle East</w:t>
      </w:r>
      <w:r w:rsidR="00256129">
        <w:t>.</w:t>
      </w:r>
      <w:r w:rsidR="00256129">
        <w:rPr>
          <w:rStyle w:val="FootnoteReference"/>
        </w:rPr>
        <w:footnoteReference w:id="13"/>
      </w:r>
      <w:r w:rsidR="00256129">
        <w:t xml:space="preserve"> </w:t>
      </w:r>
      <w:r w:rsidR="003F2DF9">
        <w:t>Indeed, it can be said t</w:t>
      </w:r>
      <w:r w:rsidR="00B757DA">
        <w:t xml:space="preserve">he Bar has a </w:t>
      </w:r>
      <w:r w:rsidR="00231CD0">
        <w:t>contentious</w:t>
      </w:r>
      <w:r w:rsidR="00B757DA">
        <w:t xml:space="preserve"> history </w:t>
      </w:r>
      <w:r w:rsidR="00231CD0">
        <w:t xml:space="preserve">with educational </w:t>
      </w:r>
      <w:r w:rsidR="00B757DA">
        <w:t xml:space="preserve">programming </w:t>
      </w:r>
      <w:r w:rsidR="008156A2">
        <w:t xml:space="preserve">dealing with local or international legal aspects of </w:t>
      </w:r>
      <w:r w:rsidR="00231CD0" w:rsidRPr="00231CD0">
        <w:t>contemporary conflicts in th</w:t>
      </w:r>
      <w:r w:rsidR="008156A2">
        <w:t>at region</w:t>
      </w:r>
      <w:r w:rsidR="003F2DF9">
        <w:t xml:space="preserve">. </w:t>
      </w:r>
      <w:r w:rsidR="00494208">
        <w:t>Granted</w:t>
      </w:r>
      <w:r w:rsidR="003F2DF9">
        <w:t>, these are</w:t>
      </w:r>
      <w:r w:rsidR="00231CD0">
        <w:t xml:space="preserve"> </w:t>
      </w:r>
      <w:r w:rsidR="005451D4">
        <w:t xml:space="preserve">potentially polarizing </w:t>
      </w:r>
      <w:r w:rsidR="008156A2">
        <w:t>topics that</w:t>
      </w:r>
      <w:r w:rsidR="0096753B">
        <w:t>,</w:t>
      </w:r>
      <w:r w:rsidR="008156A2">
        <w:t xml:space="preserve"> </w:t>
      </w:r>
      <w:r w:rsidR="00231CD0">
        <w:t>especially now</w:t>
      </w:r>
      <w:r w:rsidR="0096753B">
        <w:t>,</w:t>
      </w:r>
      <w:r w:rsidR="00231CD0">
        <w:t xml:space="preserve"> </w:t>
      </w:r>
      <w:r w:rsidR="00B757DA">
        <w:t>are</w:t>
      </w:r>
      <w:r w:rsidR="00231CD0">
        <w:t xml:space="preserve"> dividing communities and</w:t>
      </w:r>
      <w:r w:rsidR="00B757DA">
        <w:t xml:space="preserve"> </w:t>
      </w:r>
      <w:r w:rsidR="0096753B">
        <w:t>generating</w:t>
      </w:r>
      <w:r w:rsidR="00B757DA">
        <w:t xml:space="preserve"> </w:t>
      </w:r>
      <w:r w:rsidR="008156A2">
        <w:t xml:space="preserve">even more </w:t>
      </w:r>
      <w:r w:rsidR="00B757DA">
        <w:t xml:space="preserve">headlines </w:t>
      </w:r>
      <w:r w:rsidR="008156A2">
        <w:t>because of the Israel-Gaza war</w:t>
      </w:r>
      <w:r w:rsidR="00B757DA">
        <w:t>.</w:t>
      </w:r>
      <w:r w:rsidR="00494208">
        <w:t xml:space="preserve"> But why is one divisive political or ideological seminar topic permitted while another is denied?</w:t>
      </w:r>
    </w:p>
    <w:p w14:paraId="76D62285" w14:textId="5CDF5360" w:rsidR="00231CD0" w:rsidRDefault="00231CD0" w:rsidP="00E94FA0">
      <w:pPr>
        <w:pStyle w:val="Body"/>
        <w:widowControl w:val="0"/>
        <w:spacing w:line="480" w:lineRule="auto"/>
        <w:ind w:firstLine="0"/>
      </w:pPr>
      <w:r>
        <w:tab/>
      </w:r>
      <w:r w:rsidR="00494208">
        <w:t>W</w:t>
      </w:r>
      <w:r w:rsidR="005451D4">
        <w:t xml:space="preserve">ithout </w:t>
      </w:r>
      <w:r w:rsidR="008156A2">
        <w:t xml:space="preserve">transparency about </w:t>
      </w:r>
      <w:r w:rsidR="00475CAD">
        <w:t>the Bar’s supposed objective methodology</w:t>
      </w:r>
      <w:r w:rsidR="008156A2">
        <w:t xml:space="preserve"> </w:t>
      </w:r>
      <w:r w:rsidR="00475CAD">
        <w:t xml:space="preserve">to </w:t>
      </w:r>
      <w:r w:rsidR="008156A2">
        <w:t>approv</w:t>
      </w:r>
      <w:r w:rsidR="00475CAD">
        <w:t>e</w:t>
      </w:r>
      <w:r w:rsidR="008156A2">
        <w:t xml:space="preserve"> and reject programming in light of </w:t>
      </w:r>
      <w:r w:rsidR="008156A2" w:rsidRPr="008156A2">
        <w:rPr>
          <w:i/>
          <w:iCs/>
        </w:rPr>
        <w:t>Keller</w:t>
      </w:r>
      <w:r w:rsidR="008156A2">
        <w:t>, i</w:t>
      </w:r>
      <w:r>
        <w:t xml:space="preserve">t is hard not to conclude that if </w:t>
      </w:r>
      <w:r w:rsidR="00475CAD">
        <w:t>a topic</w:t>
      </w:r>
      <w:r>
        <w:t xml:space="preserve"> </w:t>
      </w:r>
      <w:r w:rsidR="008156A2">
        <w:t>conflicts with</w:t>
      </w:r>
      <w:r w:rsidR="005451D4">
        <w:t xml:space="preserve"> the Bar’</w:t>
      </w:r>
      <w:r>
        <w:t xml:space="preserve">s political or ideological agenda, </w:t>
      </w:r>
      <w:r w:rsidRPr="00231CD0">
        <w:rPr>
          <w:i/>
          <w:iCs/>
        </w:rPr>
        <w:t>Keller</w:t>
      </w:r>
      <w:r>
        <w:t xml:space="preserve"> </w:t>
      </w:r>
      <w:r w:rsidR="00475CAD">
        <w:t xml:space="preserve">becomes </w:t>
      </w:r>
      <w:r>
        <w:t xml:space="preserve">a sword to parry </w:t>
      </w:r>
      <w:r>
        <w:lastRenderedPageBreak/>
        <w:t>programming it disagrees with such as Palestinian legal issues here and abroad</w:t>
      </w:r>
      <w:r w:rsidR="008156A2">
        <w:t>. But</w:t>
      </w:r>
      <w:r w:rsidR="00475CAD">
        <w:t xml:space="preserve"> if, on the other hand, a proposal fits its mission-creeping political or ideological framework, such as DEI,</w:t>
      </w:r>
      <w:r w:rsidR="005451D4">
        <w:t xml:space="preserve"> then</w:t>
      </w:r>
      <w:r w:rsidR="00475CAD">
        <w:t xml:space="preserve"> </w:t>
      </w:r>
      <w:r w:rsidR="00475CAD" w:rsidRPr="00475CAD">
        <w:rPr>
          <w:i/>
          <w:iCs/>
        </w:rPr>
        <w:t xml:space="preserve">Keller </w:t>
      </w:r>
      <w:r w:rsidR="00475CAD">
        <w:t xml:space="preserve">becomes a </w:t>
      </w:r>
      <w:r w:rsidR="005451D4">
        <w:t xml:space="preserve">useful </w:t>
      </w:r>
      <w:r w:rsidR="00475CAD">
        <w:t>shield</w:t>
      </w:r>
      <w:r w:rsidR="00494208">
        <w:t xml:space="preserve"> for</w:t>
      </w:r>
      <w:r w:rsidR="00475CAD">
        <w:t xml:space="preserve"> quick approval.</w:t>
      </w:r>
    </w:p>
    <w:p w14:paraId="3761AF21" w14:textId="77777777" w:rsidR="00694EFB" w:rsidRDefault="005F6551" w:rsidP="005F6551">
      <w:pPr>
        <w:pStyle w:val="Body"/>
        <w:widowControl w:val="0"/>
        <w:spacing w:line="480" w:lineRule="auto"/>
        <w:ind w:firstLine="0"/>
      </w:pPr>
      <w:r>
        <w:tab/>
      </w:r>
      <w:r w:rsidR="004B0D58">
        <w:t xml:space="preserve">In view of these </w:t>
      </w:r>
      <w:r w:rsidR="00694EFB">
        <w:t>perceived biases</w:t>
      </w:r>
      <w:r w:rsidR="004B0D58">
        <w:t>, t</w:t>
      </w:r>
      <w:r w:rsidR="00475CAD">
        <w:t xml:space="preserve">he </w:t>
      </w:r>
      <w:r w:rsidR="00C00C03">
        <w:t xml:space="preserve">best </w:t>
      </w:r>
      <w:r w:rsidR="00475CAD">
        <w:t xml:space="preserve">way to </w:t>
      </w:r>
      <w:r w:rsidR="00C00C03">
        <w:t>discern “</w:t>
      </w:r>
      <w:r w:rsidR="00475CAD" w:rsidRPr="00475CAD">
        <w:t>where the line falls between permissible and impermissible dues-financed activities</w:t>
      </w:r>
      <w:r w:rsidR="00C00C03">
        <w:t>”</w:t>
      </w:r>
      <w:r w:rsidR="00C00C03">
        <w:rPr>
          <w:rStyle w:val="FootnoteReference"/>
        </w:rPr>
        <w:footnoteReference w:id="14"/>
      </w:r>
      <w:r w:rsidR="001B67BA">
        <w:t xml:space="preserve"> </w:t>
      </w:r>
      <w:r w:rsidR="00655375">
        <w:t xml:space="preserve">is </w:t>
      </w:r>
      <w:r w:rsidR="001B67BA">
        <w:t>to avoid the difficulty altogether</w:t>
      </w:r>
      <w:r w:rsidR="004B0D58">
        <w:t xml:space="preserve">. </w:t>
      </w:r>
      <w:r w:rsidRPr="005F6551">
        <w:t>A voluntary bar is</w:t>
      </w:r>
      <w:r w:rsidR="004B0D58">
        <w:t xml:space="preserve"> the solution. </w:t>
      </w:r>
    </w:p>
    <w:p w14:paraId="34F02EFA" w14:textId="5AE59DE4" w:rsidR="00DA6F9C" w:rsidRDefault="004B0D58" w:rsidP="00694EFB">
      <w:pPr>
        <w:pStyle w:val="Body"/>
        <w:widowControl w:val="0"/>
        <w:spacing w:line="480" w:lineRule="auto"/>
        <w:ind w:firstLine="720"/>
      </w:pPr>
      <w:r>
        <w:t>A voluntary bar is</w:t>
      </w:r>
      <w:r w:rsidR="005F6551" w:rsidRPr="005F6551">
        <w:t xml:space="preserve"> no longer constrained by First Amendment speech concerns over the ideological and political advocacy harms inflicted on resistant members. Members who disagree with a particular advocacy position or a political or ideological agenda adopted by their voluntary association can choose to leave. But that choice is foreclosed to Arizona lawyers. Willing or not, they are marched along to whatever political or ideological siren song the </w:t>
      </w:r>
      <w:r w:rsidR="00122FEF">
        <w:t>B</w:t>
      </w:r>
      <w:r w:rsidR="005F6551" w:rsidRPr="005F6551">
        <w:t xml:space="preserve">ar’s board finds appealing. </w:t>
      </w:r>
    </w:p>
    <w:p w14:paraId="74C2D30B" w14:textId="7D0F2EB0" w:rsidR="005F6551" w:rsidRPr="005F6551" w:rsidRDefault="001B67BA" w:rsidP="00DA6F9C">
      <w:pPr>
        <w:pStyle w:val="Body"/>
        <w:widowControl w:val="0"/>
        <w:spacing w:line="480" w:lineRule="auto"/>
        <w:ind w:firstLine="720"/>
      </w:pPr>
      <w:r>
        <w:t>And while I may personally agree that a society</w:t>
      </w:r>
      <w:r w:rsidR="00122FEF">
        <w:t>,</w:t>
      </w:r>
      <w:r>
        <w:t xml:space="preserve"> and particularly, a legal profession with more </w:t>
      </w:r>
      <w:r w:rsidR="007A67CB">
        <w:t xml:space="preserve">immutable characteristic diversity is a good thing, I do not agree that </w:t>
      </w:r>
      <w:r w:rsidR="00DA6F9C">
        <w:t xml:space="preserve">a mandatory bar association </w:t>
      </w:r>
      <w:r w:rsidR="004B0D58">
        <w:t>funded by</w:t>
      </w:r>
      <w:r w:rsidR="00DA6F9C">
        <w:t xml:space="preserve"> </w:t>
      </w:r>
      <w:r w:rsidR="0096753B">
        <w:t>compulsory</w:t>
      </w:r>
      <w:r w:rsidR="00DA6F9C">
        <w:t xml:space="preserve"> member </w:t>
      </w:r>
      <w:r w:rsidR="004B0D58">
        <w:t xml:space="preserve">funds is the means to get there. </w:t>
      </w:r>
      <w:r w:rsidR="00DA6F9C">
        <w:t>This is what voluntary affinity bar associations do best – not a mandatory bar.</w:t>
      </w:r>
    </w:p>
    <w:p w14:paraId="240E351B" w14:textId="0D8CCAAA" w:rsidR="00C31FF0" w:rsidRPr="00C31FF0" w:rsidRDefault="00C31FF0" w:rsidP="00111443">
      <w:pPr>
        <w:pStyle w:val="Body"/>
        <w:widowControl w:val="0"/>
        <w:spacing w:line="480" w:lineRule="auto"/>
        <w:ind w:firstLine="0"/>
        <w:rPr>
          <w:b/>
          <w:bCs/>
        </w:rPr>
      </w:pPr>
      <w:r w:rsidRPr="00C31FF0">
        <w:rPr>
          <w:b/>
          <w:bCs/>
        </w:rPr>
        <w:t>No reason for compelled association.</w:t>
      </w:r>
    </w:p>
    <w:p w14:paraId="05911932" w14:textId="1E9EC81F" w:rsidR="00C64AA4" w:rsidRDefault="00C97554" w:rsidP="00201129">
      <w:pPr>
        <w:pStyle w:val="Body"/>
        <w:widowControl w:val="0"/>
        <w:spacing w:line="480" w:lineRule="auto"/>
        <w:ind w:firstLine="720"/>
        <w:jc w:val="both"/>
      </w:pPr>
      <w:r>
        <w:t>A</w:t>
      </w:r>
      <w:r w:rsidR="00DA6F9C">
        <w:t xml:space="preserve">s explained above, </w:t>
      </w:r>
      <w:r w:rsidR="00655375">
        <w:t>the preferred solution</w:t>
      </w:r>
      <w:r w:rsidR="00DA6F9C">
        <w:t xml:space="preserve"> </w:t>
      </w:r>
      <w:r w:rsidR="00655375">
        <w:t>is a purely voluntary bar association for Arizona</w:t>
      </w:r>
      <w:r w:rsidR="00DA6F9C">
        <w:t xml:space="preserve">, </w:t>
      </w:r>
      <w:r w:rsidR="00655375">
        <w:t>the next best alternative is what GI proposes, which is b</w:t>
      </w:r>
      <w:r w:rsidR="00201129">
        <w:t xml:space="preserve">ifurcating the Arizona </w:t>
      </w:r>
      <w:r w:rsidR="00201129">
        <w:lastRenderedPageBreak/>
        <w:t xml:space="preserve">Bar’s regulatory and non-regulatory functions. </w:t>
      </w:r>
      <w:r w:rsidR="00655375">
        <w:t xml:space="preserve">I do, though, </w:t>
      </w:r>
      <w:r w:rsidR="00DA6F9C">
        <w:t xml:space="preserve">continue to </w:t>
      </w:r>
      <w:r w:rsidR="00655375">
        <w:t xml:space="preserve">differ with the Petitioners who </w:t>
      </w:r>
      <w:r w:rsidR="00651566">
        <w:t>needle</w:t>
      </w:r>
      <w:r w:rsidR="00201129">
        <w:t>ssly</w:t>
      </w:r>
      <w:r w:rsidR="00655375">
        <w:t xml:space="preserve"> include in their petition to</w:t>
      </w:r>
      <w:r w:rsidR="00201129">
        <w:t xml:space="preserve"> “maintain</w:t>
      </w:r>
      <w:r w:rsidR="00025191">
        <w:t>[</w:t>
      </w:r>
      <w:r w:rsidR="00201129">
        <w:t>s</w:t>
      </w:r>
      <w:r w:rsidR="00025191">
        <w:t>]</w:t>
      </w:r>
      <w:r w:rsidR="00201129">
        <w:t xml:space="preserve"> the current mandatory membership requirement for all lawyers.”</w:t>
      </w:r>
      <w:r w:rsidR="00DA6F9C">
        <w:t xml:space="preserve"> </w:t>
      </w:r>
    </w:p>
    <w:p w14:paraId="2A239F49" w14:textId="609670EB" w:rsidR="00E17801" w:rsidRDefault="00655375" w:rsidP="00201129">
      <w:pPr>
        <w:pStyle w:val="Body"/>
        <w:widowControl w:val="0"/>
        <w:spacing w:line="480" w:lineRule="auto"/>
        <w:ind w:firstLine="720"/>
        <w:jc w:val="both"/>
      </w:pPr>
      <w:r>
        <w:t>I</w:t>
      </w:r>
      <w:r w:rsidR="00B45502">
        <w:t xml:space="preserve"> </w:t>
      </w:r>
      <w:r>
        <w:t xml:space="preserve">differ because </w:t>
      </w:r>
      <w:r w:rsidR="003A4A99">
        <w:t>19</w:t>
      </w:r>
      <w:r w:rsidR="00201129">
        <w:t xml:space="preserve"> </w:t>
      </w:r>
      <w:r w:rsidR="00C31FF0">
        <w:t>other jurisdictions,</w:t>
      </w:r>
      <w:r w:rsidR="00EC04FB">
        <w:rPr>
          <w:rStyle w:val="FootnoteReference"/>
        </w:rPr>
        <w:footnoteReference w:id="15"/>
      </w:r>
      <w:r w:rsidR="00C31FF0">
        <w:t xml:space="preserve"> both large and small, have successfully operated</w:t>
      </w:r>
      <w:r w:rsidR="00C31FF0">
        <w:rPr>
          <w:rStyle w:val="FootnoteReference"/>
        </w:rPr>
        <w:footnoteReference w:id="16"/>
      </w:r>
      <w:r w:rsidR="00C31FF0">
        <w:t xml:space="preserve"> without such a mandate. </w:t>
      </w:r>
      <w:r w:rsidR="00201129">
        <w:t xml:space="preserve">These </w:t>
      </w:r>
      <w:r w:rsidR="00C31FF0">
        <w:t xml:space="preserve">voluntary bar </w:t>
      </w:r>
      <w:r w:rsidR="00201129">
        <w:t>jurisdictions</w:t>
      </w:r>
      <w:r w:rsidR="00C31FF0">
        <w:t xml:space="preserve"> have for generations protected the public from unethical lawyers</w:t>
      </w:r>
      <w:r w:rsidR="0067415F">
        <w:rPr>
          <w:rStyle w:val="FootnoteReference"/>
        </w:rPr>
        <w:footnoteReference w:id="17"/>
      </w:r>
      <w:r w:rsidR="00C31FF0">
        <w:t xml:space="preserve"> and preserved the First Amendment rights of their lawyers without compelling membership in a state lawyer trade association. </w:t>
      </w:r>
    </w:p>
    <w:p w14:paraId="28D8295D" w14:textId="4C748E39" w:rsidR="00E17801" w:rsidRDefault="00651566" w:rsidP="00201129">
      <w:pPr>
        <w:pStyle w:val="Body"/>
        <w:widowControl w:val="0"/>
        <w:spacing w:line="480" w:lineRule="auto"/>
        <w:ind w:firstLine="720"/>
        <w:jc w:val="both"/>
      </w:pPr>
      <w:r>
        <w:t xml:space="preserve">They </w:t>
      </w:r>
      <w:r w:rsidR="00E17801" w:rsidRPr="00E17801">
        <w:t>offer programs and services that favorably compare</w:t>
      </w:r>
      <w:r w:rsidR="00246BCC">
        <w:rPr>
          <w:rStyle w:val="FootnoteReference"/>
        </w:rPr>
        <w:footnoteReference w:id="18"/>
      </w:r>
      <w:r w:rsidR="00E17801" w:rsidRPr="00E17801">
        <w:t xml:space="preserve"> and even exceed those offered by mandatory state bar associations, including</w:t>
      </w:r>
      <w:r w:rsidR="00E17801" w:rsidRPr="00E17801">
        <w:rPr>
          <w:b/>
          <w:bCs/>
        </w:rPr>
        <w:t xml:space="preserve"> </w:t>
      </w:r>
      <w:hyperlink r:id="rId9" w:tgtFrame="_blank" w:history="1">
        <w:r w:rsidR="00E17801" w:rsidRPr="00E17801">
          <w:rPr>
            <w:rStyle w:val="Hyperlink"/>
          </w:rPr>
          <w:t>law office management practice services</w:t>
        </w:r>
      </w:hyperlink>
      <w:r w:rsidR="00E17801" w:rsidRPr="00EC04FB">
        <w:t>;</w:t>
      </w:r>
      <w:r w:rsidR="00E17801" w:rsidRPr="00E17801">
        <w:rPr>
          <w:b/>
          <w:bCs/>
        </w:rPr>
        <w:t xml:space="preserve"> </w:t>
      </w:r>
      <w:hyperlink r:id="rId10" w:history="1">
        <w:r w:rsidR="00E17801" w:rsidRPr="00E17801">
          <w:rPr>
            <w:rStyle w:val="Hyperlink"/>
          </w:rPr>
          <w:t>insurance programs</w:t>
        </w:r>
      </w:hyperlink>
      <w:r w:rsidR="00E17801" w:rsidRPr="00EC04FB">
        <w:t>;</w:t>
      </w:r>
      <w:r w:rsidR="00E17801" w:rsidRPr="00E17801">
        <w:rPr>
          <w:b/>
          <w:bCs/>
        </w:rPr>
        <w:t xml:space="preserve"> </w:t>
      </w:r>
      <w:r w:rsidR="00E17801" w:rsidRPr="00E17801">
        <w:t>reduced-cost and</w:t>
      </w:r>
      <w:r w:rsidR="00E17801" w:rsidRPr="00E17801">
        <w:rPr>
          <w:b/>
          <w:bCs/>
        </w:rPr>
        <w:t xml:space="preserve"> </w:t>
      </w:r>
      <w:hyperlink r:id="rId11" w:tgtFrame="_blank" w:history="1">
        <w:r w:rsidR="00E17801" w:rsidRPr="00E17801">
          <w:rPr>
            <w:rStyle w:val="Hyperlink"/>
          </w:rPr>
          <w:t>free CLE</w:t>
        </w:r>
      </w:hyperlink>
      <w:r w:rsidR="00E17801" w:rsidRPr="00EC04FB">
        <w:t>;</w:t>
      </w:r>
      <w:r w:rsidR="00E17801" w:rsidRPr="00E17801">
        <w:rPr>
          <w:b/>
          <w:bCs/>
        </w:rPr>
        <w:t xml:space="preserve"> </w:t>
      </w:r>
      <w:hyperlink r:id="rId12" w:history="1">
        <w:r w:rsidR="00E17801" w:rsidRPr="00E17801">
          <w:rPr>
            <w:rStyle w:val="Hyperlink"/>
          </w:rPr>
          <w:t>Find-a-Lawyer</w:t>
        </w:r>
      </w:hyperlink>
      <w:r w:rsidR="00E17801" w:rsidRPr="00E17801">
        <w:rPr>
          <w:b/>
          <w:bCs/>
        </w:rPr>
        <w:t xml:space="preserve"> </w:t>
      </w:r>
      <w:r w:rsidR="00E17801" w:rsidRPr="00E17801">
        <w:t>member directories</w:t>
      </w:r>
      <w:r w:rsidR="00E17801" w:rsidRPr="00EC04FB">
        <w:t>;</w:t>
      </w:r>
      <w:r w:rsidR="00E17801" w:rsidRPr="00E17801">
        <w:rPr>
          <w:b/>
          <w:bCs/>
        </w:rPr>
        <w:t xml:space="preserve"> </w:t>
      </w:r>
      <w:hyperlink r:id="rId13" w:tgtFrame="_blank" w:history="1">
        <w:r w:rsidR="00E17801" w:rsidRPr="00E17801">
          <w:rPr>
            <w:rStyle w:val="Hyperlink"/>
          </w:rPr>
          <w:t>Access to Justice</w:t>
        </w:r>
      </w:hyperlink>
      <w:r w:rsidR="00E17801" w:rsidRPr="00E17801">
        <w:rPr>
          <w:b/>
          <w:bCs/>
        </w:rPr>
        <w:t xml:space="preserve"> </w:t>
      </w:r>
      <w:r w:rsidR="00E17801" w:rsidRPr="00E17801">
        <w:t>initiatives</w:t>
      </w:r>
      <w:r w:rsidR="00E17801" w:rsidRPr="00EC04FB">
        <w:t>;</w:t>
      </w:r>
      <w:r w:rsidR="00E17801" w:rsidRPr="00E17801">
        <w:rPr>
          <w:b/>
          <w:bCs/>
        </w:rPr>
        <w:t> </w:t>
      </w:r>
      <w:hyperlink r:id="rId14" w:history="1">
        <w:r w:rsidR="00E17801" w:rsidRPr="00E17801">
          <w:rPr>
            <w:rStyle w:val="Hyperlink"/>
          </w:rPr>
          <w:t>job hunting resources</w:t>
        </w:r>
      </w:hyperlink>
      <w:r w:rsidR="00E17801" w:rsidRPr="00EC04FB">
        <w:t>;</w:t>
      </w:r>
      <w:r w:rsidR="00E17801" w:rsidRPr="00E17801">
        <w:rPr>
          <w:b/>
          <w:bCs/>
        </w:rPr>
        <w:t xml:space="preserve"> </w:t>
      </w:r>
      <w:hyperlink r:id="rId15" w:tgtFrame="_blank" w:history="1">
        <w:r w:rsidR="00E17801" w:rsidRPr="00E17801">
          <w:rPr>
            <w:rStyle w:val="Hyperlink"/>
          </w:rPr>
          <w:t>Sections</w:t>
        </w:r>
      </w:hyperlink>
      <w:r w:rsidR="00E17801" w:rsidRPr="00E17801">
        <w:rPr>
          <w:b/>
          <w:bCs/>
        </w:rPr>
        <w:t xml:space="preserve"> </w:t>
      </w:r>
      <w:r w:rsidR="00E17801" w:rsidRPr="00E17801">
        <w:t>and</w:t>
      </w:r>
      <w:r w:rsidR="00E17801" w:rsidRPr="00E17801">
        <w:rPr>
          <w:b/>
          <w:bCs/>
        </w:rPr>
        <w:t xml:space="preserve"> </w:t>
      </w:r>
      <w:hyperlink r:id="rId16" w:tgtFrame="_blank" w:history="1">
        <w:r w:rsidR="00E17801" w:rsidRPr="00E17801">
          <w:rPr>
            <w:rStyle w:val="Hyperlink"/>
          </w:rPr>
          <w:t>Committees</w:t>
        </w:r>
      </w:hyperlink>
      <w:r w:rsidR="00E17801" w:rsidRPr="00EC04FB">
        <w:t xml:space="preserve">; </w:t>
      </w:r>
      <w:hyperlink r:id="rId17" w:tgtFrame="_blank" w:history="1">
        <w:r w:rsidR="00E17801" w:rsidRPr="00E17801">
          <w:rPr>
            <w:rStyle w:val="Hyperlink"/>
          </w:rPr>
          <w:t>lawyer referral services</w:t>
        </w:r>
      </w:hyperlink>
      <w:r w:rsidR="00E17801" w:rsidRPr="00EC04FB">
        <w:t>;</w:t>
      </w:r>
      <w:r w:rsidR="00E17801" w:rsidRPr="00E17801">
        <w:rPr>
          <w:b/>
          <w:bCs/>
        </w:rPr>
        <w:t xml:space="preserve"> </w:t>
      </w:r>
      <w:hyperlink r:id="rId18" w:tgtFrame="_blank" w:history="1">
        <w:r w:rsidR="00E17801" w:rsidRPr="00E17801">
          <w:rPr>
            <w:rStyle w:val="Hyperlink"/>
          </w:rPr>
          <w:t>Publications</w:t>
        </w:r>
      </w:hyperlink>
      <w:r w:rsidR="00E17801" w:rsidRPr="00EC04FB">
        <w:t>;</w:t>
      </w:r>
      <w:r w:rsidR="00E17801" w:rsidRPr="00E17801">
        <w:rPr>
          <w:b/>
          <w:bCs/>
        </w:rPr>
        <w:t xml:space="preserve"> </w:t>
      </w:r>
      <w:hyperlink r:id="rId19" w:history="1">
        <w:r w:rsidR="00E17801" w:rsidRPr="00E17801">
          <w:rPr>
            <w:rStyle w:val="Hyperlink"/>
          </w:rPr>
          <w:t>Young Lawyer Divisions</w:t>
        </w:r>
      </w:hyperlink>
      <w:r w:rsidR="00E17801" w:rsidRPr="00EC04FB">
        <w:t>;</w:t>
      </w:r>
      <w:r w:rsidR="00E17801" w:rsidRPr="00E17801">
        <w:rPr>
          <w:b/>
          <w:bCs/>
        </w:rPr>
        <w:t xml:space="preserve"> </w:t>
      </w:r>
      <w:r w:rsidR="00E17801" w:rsidRPr="00E17801">
        <w:t>Legal Research like</w:t>
      </w:r>
      <w:r w:rsidR="00E17801" w:rsidRPr="00E17801">
        <w:rPr>
          <w:b/>
          <w:bCs/>
        </w:rPr>
        <w:t xml:space="preserve"> </w:t>
      </w:r>
      <w:hyperlink r:id="rId20" w:history="1">
        <w:r w:rsidR="00E17801" w:rsidRPr="00E17801">
          <w:rPr>
            <w:rStyle w:val="Hyperlink"/>
          </w:rPr>
          <w:t>Fastcase</w:t>
        </w:r>
      </w:hyperlink>
      <w:r w:rsidR="00E17801" w:rsidRPr="00E17801">
        <w:rPr>
          <w:b/>
          <w:bCs/>
        </w:rPr>
        <w:t xml:space="preserve"> </w:t>
      </w:r>
      <w:r w:rsidR="00E17801" w:rsidRPr="00E17801">
        <w:t>and</w:t>
      </w:r>
      <w:r w:rsidR="00E17801" w:rsidRPr="00E17801">
        <w:rPr>
          <w:b/>
          <w:bCs/>
        </w:rPr>
        <w:t xml:space="preserve"> </w:t>
      </w:r>
      <w:hyperlink r:id="rId21" w:history="1">
        <w:r w:rsidR="00E17801" w:rsidRPr="00E17801">
          <w:rPr>
            <w:rStyle w:val="Hyperlink"/>
          </w:rPr>
          <w:t>Decisis</w:t>
        </w:r>
      </w:hyperlink>
      <w:r w:rsidR="00E17801" w:rsidRPr="00EC04FB">
        <w:t>;</w:t>
      </w:r>
      <w:r w:rsidR="00E17801" w:rsidRPr="00E17801">
        <w:rPr>
          <w:b/>
          <w:bCs/>
        </w:rPr>
        <w:t xml:space="preserve"> </w:t>
      </w:r>
      <w:hyperlink r:id="rId22" w:history="1">
        <w:r w:rsidR="00E17801" w:rsidRPr="00E17801">
          <w:rPr>
            <w:rStyle w:val="Hyperlink"/>
          </w:rPr>
          <w:t>Mentoring programs</w:t>
        </w:r>
      </w:hyperlink>
      <w:r w:rsidR="00E17801" w:rsidRPr="00EC04FB">
        <w:t>;</w:t>
      </w:r>
      <w:r w:rsidR="00E17801" w:rsidRPr="00E17801">
        <w:rPr>
          <w:b/>
          <w:bCs/>
        </w:rPr>
        <w:t xml:space="preserve"> </w:t>
      </w:r>
      <w:hyperlink r:id="rId23" w:tgtFrame="_blank" w:history="1">
        <w:r w:rsidR="00E17801" w:rsidRPr="00E17801">
          <w:rPr>
            <w:rStyle w:val="Hyperlink"/>
          </w:rPr>
          <w:t>leadership development programs</w:t>
        </w:r>
      </w:hyperlink>
      <w:r w:rsidR="00E17801" w:rsidRPr="00EC04FB">
        <w:t>;</w:t>
      </w:r>
      <w:r w:rsidR="00E17801" w:rsidRPr="00E17801">
        <w:rPr>
          <w:b/>
          <w:bCs/>
        </w:rPr>
        <w:t xml:space="preserve"> </w:t>
      </w:r>
      <w:hyperlink r:id="rId24" w:history="1">
        <w:r w:rsidR="00E17801" w:rsidRPr="00E17801">
          <w:rPr>
            <w:rStyle w:val="Hyperlink"/>
          </w:rPr>
          <w:t>Annual Meetings</w:t>
        </w:r>
      </w:hyperlink>
      <w:r w:rsidR="00E17801" w:rsidRPr="00EC04FB">
        <w:t>;</w:t>
      </w:r>
      <w:r w:rsidR="00E17801" w:rsidRPr="00E17801">
        <w:rPr>
          <w:b/>
          <w:bCs/>
        </w:rPr>
        <w:t xml:space="preserve"> </w:t>
      </w:r>
      <w:hyperlink r:id="rId25" w:tgtFrame="_blank" w:history="1">
        <w:r w:rsidR="00E17801" w:rsidRPr="00E17801">
          <w:rPr>
            <w:rStyle w:val="Hyperlink"/>
          </w:rPr>
          <w:t>high school mock trial programs</w:t>
        </w:r>
      </w:hyperlink>
      <w:r w:rsidR="00E17801" w:rsidRPr="00E17801">
        <w:rPr>
          <w:b/>
          <w:bCs/>
        </w:rPr>
        <w:t xml:space="preserve">; </w:t>
      </w:r>
      <w:hyperlink r:id="rId26" w:tgtFrame="_blank" w:history="1">
        <w:r w:rsidR="00E17801" w:rsidRPr="00E17801">
          <w:rPr>
            <w:rStyle w:val="Hyperlink"/>
          </w:rPr>
          <w:t>community pro bono</w:t>
        </w:r>
      </w:hyperlink>
      <w:r w:rsidR="009727FE">
        <w:t xml:space="preserve">, e.g. </w:t>
      </w:r>
      <w:hyperlink r:id="rId27" w:history="1">
        <w:r w:rsidR="009727FE" w:rsidRPr="009727FE">
          <w:rPr>
            <w:rStyle w:val="Hyperlink"/>
          </w:rPr>
          <w:t>Wills for Heroes</w:t>
        </w:r>
      </w:hyperlink>
      <w:r w:rsidR="009727FE">
        <w:t>;</w:t>
      </w:r>
      <w:r w:rsidR="00E17801" w:rsidRPr="00E17801">
        <w:rPr>
          <w:b/>
          <w:bCs/>
        </w:rPr>
        <w:t xml:space="preserve"> </w:t>
      </w:r>
      <w:hyperlink r:id="rId28" w:history="1">
        <w:r w:rsidR="00E17801" w:rsidRPr="00E17801">
          <w:rPr>
            <w:rStyle w:val="Hyperlink"/>
          </w:rPr>
          <w:t>ethics opinions and practice resources</w:t>
        </w:r>
      </w:hyperlink>
      <w:r w:rsidR="00E17801" w:rsidRPr="00E17801">
        <w:rPr>
          <w:b/>
          <w:bCs/>
        </w:rPr>
        <w:t xml:space="preserve"> </w:t>
      </w:r>
      <w:r w:rsidR="00E17801" w:rsidRPr="00EC04FB">
        <w:t>and even</w:t>
      </w:r>
      <w:r w:rsidR="00E17801" w:rsidRPr="00E17801">
        <w:rPr>
          <w:b/>
          <w:bCs/>
        </w:rPr>
        <w:t xml:space="preserve"> </w:t>
      </w:r>
      <w:hyperlink r:id="rId29" w:history="1">
        <w:r w:rsidR="00E17801" w:rsidRPr="00E17801">
          <w:rPr>
            <w:rStyle w:val="Hyperlink"/>
          </w:rPr>
          <w:t>online practice tools</w:t>
        </w:r>
      </w:hyperlink>
      <w:r w:rsidR="00E17801" w:rsidRPr="00EC04FB">
        <w:t>.</w:t>
      </w:r>
      <w:r w:rsidR="00DC178C">
        <w:t xml:space="preserve"> </w:t>
      </w:r>
      <w:r w:rsidR="00C64AA4">
        <w:t xml:space="preserve">Charitable state bar </w:t>
      </w:r>
      <w:r w:rsidR="00C64AA4">
        <w:lastRenderedPageBreak/>
        <w:t xml:space="preserve">foundations are also not unique to Arizona. They are found in voluntary bar jurisdictions, too, including </w:t>
      </w:r>
      <w:hyperlink r:id="rId30" w:history="1">
        <w:r w:rsidR="00C64AA4" w:rsidRPr="00C64AA4">
          <w:rPr>
            <w:rStyle w:val="Hyperlink"/>
          </w:rPr>
          <w:t>Illinois</w:t>
        </w:r>
      </w:hyperlink>
      <w:r w:rsidR="00C64AA4">
        <w:t xml:space="preserve">, </w:t>
      </w:r>
      <w:hyperlink r:id="rId31" w:history="1">
        <w:r w:rsidR="00C64AA4" w:rsidRPr="00C64AA4">
          <w:rPr>
            <w:rStyle w:val="Hyperlink"/>
          </w:rPr>
          <w:t>Ohio</w:t>
        </w:r>
      </w:hyperlink>
      <w:r w:rsidR="00C64AA4">
        <w:t xml:space="preserve">, </w:t>
      </w:r>
      <w:hyperlink r:id="rId32" w:history="1">
        <w:r w:rsidR="00C64AA4" w:rsidRPr="00C64AA4">
          <w:rPr>
            <w:rStyle w:val="Hyperlink"/>
          </w:rPr>
          <w:t>Colorado</w:t>
        </w:r>
      </w:hyperlink>
      <w:r w:rsidR="00C64AA4">
        <w:t xml:space="preserve">, </w:t>
      </w:r>
      <w:hyperlink r:id="rId33" w:history="1">
        <w:r w:rsidR="00C64AA4" w:rsidRPr="00C64AA4">
          <w:rPr>
            <w:rStyle w:val="Hyperlink"/>
          </w:rPr>
          <w:t>Iowa</w:t>
        </w:r>
      </w:hyperlink>
      <w:r w:rsidR="00C64AA4">
        <w:t xml:space="preserve">, and </w:t>
      </w:r>
      <w:hyperlink r:id="rId34" w:history="1">
        <w:r w:rsidR="00C64AA4" w:rsidRPr="00C64AA4">
          <w:rPr>
            <w:rStyle w:val="Hyperlink"/>
          </w:rPr>
          <w:t>New Jersey</w:t>
        </w:r>
      </w:hyperlink>
      <w:r w:rsidR="00C64AA4">
        <w:t xml:space="preserve"> to name a few.</w:t>
      </w:r>
    </w:p>
    <w:p w14:paraId="450A8F3F" w14:textId="77777777" w:rsidR="00710707" w:rsidRDefault="00000000">
      <w:pPr>
        <w:pStyle w:val="Body"/>
        <w:widowControl w:val="0"/>
        <w:spacing w:line="480" w:lineRule="auto"/>
        <w:ind w:firstLine="0"/>
        <w:jc w:val="center"/>
        <w:rPr>
          <w:b/>
          <w:sz w:val="28"/>
          <w:szCs w:val="28"/>
        </w:rPr>
      </w:pPr>
      <w:r>
        <w:rPr>
          <w:rStyle w:val="BodyTextChar"/>
          <w:b/>
          <w:sz w:val="28"/>
          <w:szCs w:val="28"/>
        </w:rPr>
        <w:t>CONCLUSION</w:t>
      </w:r>
      <w:r>
        <w:rPr>
          <w:sz w:val="28"/>
          <w:szCs w:val="28"/>
        </w:rPr>
        <w:t xml:space="preserve"> </w:t>
      </w:r>
    </w:p>
    <w:p w14:paraId="4126388E" w14:textId="29E7E8AD" w:rsidR="00710707" w:rsidRDefault="00000000">
      <w:pPr>
        <w:pStyle w:val="Body"/>
        <w:widowControl w:val="0"/>
        <w:tabs>
          <w:tab w:val="left" w:pos="720"/>
        </w:tabs>
        <w:spacing w:line="480" w:lineRule="auto"/>
        <w:ind w:firstLine="0"/>
        <w:jc w:val="both"/>
        <w:rPr>
          <w:spacing w:val="-3"/>
          <w:sz w:val="28"/>
          <w:szCs w:val="28"/>
        </w:rPr>
      </w:pPr>
      <w:r>
        <w:rPr>
          <w:sz w:val="28"/>
          <w:szCs w:val="28"/>
        </w:rPr>
        <w:tab/>
        <w:t xml:space="preserve">For the reasons stated herein, the undersigned </w:t>
      </w:r>
      <w:r w:rsidR="008144A2">
        <w:rPr>
          <w:sz w:val="28"/>
          <w:szCs w:val="28"/>
        </w:rPr>
        <w:t>supports the</w:t>
      </w:r>
      <w:r>
        <w:rPr>
          <w:sz w:val="28"/>
          <w:szCs w:val="28"/>
        </w:rPr>
        <w:t xml:space="preserve"> Petitioner’s </w:t>
      </w:r>
      <w:r w:rsidR="00726124">
        <w:rPr>
          <w:sz w:val="28"/>
          <w:szCs w:val="28"/>
        </w:rPr>
        <w:t>proposal</w:t>
      </w:r>
      <w:r>
        <w:rPr>
          <w:sz w:val="28"/>
          <w:szCs w:val="28"/>
        </w:rPr>
        <w:t xml:space="preserve"> and urges the Court to approve the Rule 32 amendments. </w:t>
      </w:r>
    </w:p>
    <w:p w14:paraId="2F38CB75" w14:textId="26B467A4" w:rsidR="00710707" w:rsidRDefault="00000000">
      <w:pPr>
        <w:pStyle w:val="Body"/>
        <w:widowControl w:val="0"/>
        <w:tabs>
          <w:tab w:val="left" w:pos="720"/>
        </w:tabs>
        <w:ind w:firstLine="0"/>
        <w:rPr>
          <w:sz w:val="28"/>
          <w:szCs w:val="28"/>
        </w:rPr>
      </w:pPr>
      <w:r>
        <w:rPr>
          <w:szCs w:val="26"/>
        </w:rPr>
        <w:t xml:space="preserve">       </w:t>
      </w:r>
      <w:r>
        <w:rPr>
          <w:sz w:val="28"/>
          <w:szCs w:val="28"/>
        </w:rPr>
        <w:t xml:space="preserve">RESPECTFULLY SUBMITTED this </w:t>
      </w:r>
      <w:r w:rsidR="00B20CB3">
        <w:rPr>
          <w:sz w:val="28"/>
          <w:szCs w:val="28"/>
        </w:rPr>
        <w:t>24</w:t>
      </w:r>
      <w:r>
        <w:rPr>
          <w:sz w:val="28"/>
          <w:szCs w:val="28"/>
          <w:vertAlign w:val="superscript"/>
        </w:rPr>
        <w:t>th</w:t>
      </w:r>
      <w:r>
        <w:rPr>
          <w:sz w:val="28"/>
          <w:szCs w:val="28"/>
        </w:rPr>
        <w:t xml:space="preserve"> day of </w:t>
      </w:r>
      <w:r w:rsidR="00A968B5">
        <w:rPr>
          <w:sz w:val="28"/>
          <w:szCs w:val="28"/>
        </w:rPr>
        <w:t>April</w:t>
      </w:r>
      <w:r>
        <w:rPr>
          <w:sz w:val="28"/>
          <w:szCs w:val="28"/>
        </w:rPr>
        <w:t>, 2024.</w:t>
      </w:r>
    </w:p>
    <w:p w14:paraId="30E2223E" w14:textId="77777777" w:rsidR="00710707" w:rsidRDefault="00710707">
      <w:pPr>
        <w:pStyle w:val="Body"/>
        <w:widowControl w:val="0"/>
        <w:tabs>
          <w:tab w:val="left" w:pos="720"/>
        </w:tabs>
        <w:ind w:firstLine="0"/>
        <w:rPr>
          <w:szCs w:val="26"/>
        </w:rPr>
      </w:pPr>
    </w:p>
    <w:p w14:paraId="6E487D16" w14:textId="77777777" w:rsidR="00710707" w:rsidRDefault="00000000">
      <w:pPr>
        <w:pStyle w:val="Body"/>
        <w:widowControl w:val="0"/>
        <w:tabs>
          <w:tab w:val="left" w:pos="720"/>
        </w:tabs>
        <w:ind w:firstLine="0"/>
        <w:rPr>
          <w:sz w:val="28"/>
          <w:szCs w:val="28"/>
        </w:rPr>
      </w:pPr>
      <w:r>
        <w:rPr>
          <w:szCs w:val="26"/>
        </w:rPr>
        <w:tab/>
      </w:r>
      <w:r>
        <w:rPr>
          <w:szCs w:val="26"/>
        </w:rPr>
        <w:tab/>
      </w:r>
      <w:r>
        <w:rPr>
          <w:szCs w:val="26"/>
        </w:rPr>
        <w:tab/>
      </w:r>
      <w:r>
        <w:rPr>
          <w:szCs w:val="26"/>
        </w:rPr>
        <w:tab/>
      </w:r>
      <w:r>
        <w:rPr>
          <w:szCs w:val="26"/>
        </w:rPr>
        <w:tab/>
      </w:r>
      <w:r>
        <w:rPr>
          <w:szCs w:val="26"/>
        </w:rPr>
        <w:tab/>
      </w:r>
      <w:r>
        <w:rPr>
          <w:szCs w:val="26"/>
        </w:rPr>
        <w:tab/>
      </w:r>
      <w:r>
        <w:rPr>
          <w:sz w:val="28"/>
          <w:szCs w:val="28"/>
        </w:rPr>
        <w:t>/s/ Mauricio R. Hernandez</w:t>
      </w:r>
    </w:p>
    <w:p w14:paraId="1BFE2B92" w14:textId="02EEF08F" w:rsidR="00710707" w:rsidRDefault="00000000" w:rsidP="00C64AA4">
      <w:pPr>
        <w:pStyle w:val="PleadingSignature"/>
        <w:keepNext w:val="0"/>
        <w:keepLines w:val="0"/>
        <w:pBdr>
          <w:top w:val="single" w:sz="4" w:space="1" w:color="000000"/>
        </w:pBdr>
        <w:spacing w:line="240" w:lineRule="auto"/>
        <w:ind w:left="5070"/>
        <w:rPr>
          <w:b/>
          <w:sz w:val="28"/>
          <w:szCs w:val="28"/>
        </w:rPr>
      </w:pPr>
      <w:r>
        <w:rPr>
          <w:sz w:val="28"/>
          <w:szCs w:val="28"/>
        </w:rPr>
        <w:t>Mauricio R. Hernandez</w:t>
      </w:r>
    </w:p>
    <w:sectPr w:rsidR="00710707">
      <w:headerReference w:type="even" r:id="rId35"/>
      <w:headerReference w:type="default" r:id="rId36"/>
      <w:footerReference w:type="even" r:id="rId37"/>
      <w:footerReference w:type="default" r:id="rId38"/>
      <w:headerReference w:type="first" r:id="rId39"/>
      <w:footerReference w:type="first" r:id="rId40"/>
      <w:pgSz w:w="12240" w:h="15840"/>
      <w:pgMar w:top="777" w:right="1440" w:bottom="1440" w:left="1440" w:header="720" w:footer="432"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04495" w14:textId="77777777" w:rsidR="007C7500" w:rsidRDefault="007C7500">
      <w:pPr>
        <w:spacing w:line="240" w:lineRule="auto"/>
      </w:pPr>
      <w:r>
        <w:separator/>
      </w:r>
    </w:p>
  </w:endnote>
  <w:endnote w:type="continuationSeparator" w:id="0">
    <w:p w14:paraId="265C595C" w14:textId="77777777" w:rsidR="007C7500" w:rsidRDefault="007C7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CF7E" w14:textId="77777777" w:rsidR="00710707" w:rsidRDefault="00000000">
    <w:pPr>
      <w:pStyle w:val="Footer"/>
      <w:ind w:right="360"/>
    </w:pPr>
    <w:r>
      <w:rPr>
        <w:noProof/>
      </w:rPr>
      <mc:AlternateContent>
        <mc:Choice Requires="wps">
          <w:drawing>
            <wp:anchor distT="0" distB="0" distL="0" distR="0" simplePos="0" relativeHeight="22" behindDoc="1" locked="0" layoutInCell="0" allowOverlap="1" wp14:anchorId="55A3474D" wp14:editId="73F348E2">
              <wp:simplePos x="0" y="0"/>
              <wp:positionH relativeFrom="margin">
                <wp:align>right</wp:align>
              </wp:positionH>
              <wp:positionV relativeFrom="paragraph">
                <wp:posOffset>635</wp:posOffset>
              </wp:positionV>
              <wp:extent cx="14605" cy="14605"/>
              <wp:effectExtent l="0" t="0" r="0" b="0"/>
              <wp:wrapSquare wrapText="bothSides"/>
              <wp:docPr id="5" name="Frame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E9D3950" w14:textId="77777777" w:rsidR="00710707" w:rsidRDefault="00000000">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55A3474D" id="Frame2" o:spid="_x0000_s1027" style="position:absolute;margin-left:-50.05pt;margin-top:.05pt;width:1.15pt;height:1.15pt;z-index:-50331645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0E9D3950" w14:textId="77777777" w:rsidR="00710707" w:rsidRDefault="00000000">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p w14:paraId="46070A7C" w14:textId="77777777" w:rsidR="00710707" w:rsidRDefault="007107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076720"/>
      <w:docPartObj>
        <w:docPartGallery w:val="Page Numbers (Bottom of Page)"/>
        <w:docPartUnique/>
      </w:docPartObj>
    </w:sdtPr>
    <w:sdtContent>
      <w:p w14:paraId="45E78E57" w14:textId="77777777" w:rsidR="00710707" w:rsidRDefault="00000000">
        <w:pPr>
          <w:pStyle w:val="Footer"/>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Pr>
            <w:sz w:val="26"/>
            <w:szCs w:val="26"/>
          </w:rPr>
          <w:t>4</w:t>
        </w:r>
        <w:r>
          <w:rPr>
            <w:sz w:val="26"/>
            <w:szCs w:val="26"/>
          </w:rPr>
          <w:fldChar w:fldCharType="end"/>
        </w:r>
      </w:p>
    </w:sdtContent>
  </w:sdt>
  <w:p w14:paraId="5F4C81FC" w14:textId="77777777" w:rsidR="00710707" w:rsidRDefault="007107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138704"/>
      <w:docPartObj>
        <w:docPartGallery w:val="Page Numbers (Bottom of Page)"/>
        <w:docPartUnique/>
      </w:docPartObj>
    </w:sdtPr>
    <w:sdtContent>
      <w:p w14:paraId="0FF238EC" w14:textId="77777777" w:rsidR="00710707" w:rsidRDefault="00000000">
        <w:pPr>
          <w:pStyle w:val="Footer"/>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Pr>
            <w:sz w:val="26"/>
            <w:szCs w:val="26"/>
          </w:rPr>
          <w:t>4</w:t>
        </w:r>
        <w:r>
          <w:rPr>
            <w:sz w:val="26"/>
            <w:szCs w:val="26"/>
          </w:rPr>
          <w:fldChar w:fldCharType="end"/>
        </w:r>
      </w:p>
    </w:sdtContent>
  </w:sdt>
  <w:p w14:paraId="5A7E61F1" w14:textId="77777777" w:rsidR="00710707" w:rsidRDefault="007107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AA321" w14:textId="77777777" w:rsidR="007C7500" w:rsidRDefault="007C7500">
      <w:pPr>
        <w:rPr>
          <w:sz w:val="12"/>
        </w:rPr>
      </w:pPr>
      <w:r>
        <w:separator/>
      </w:r>
    </w:p>
  </w:footnote>
  <w:footnote w:type="continuationSeparator" w:id="0">
    <w:p w14:paraId="1ACE16C1" w14:textId="77777777" w:rsidR="007C7500" w:rsidRDefault="007C7500">
      <w:pPr>
        <w:rPr>
          <w:sz w:val="12"/>
        </w:rPr>
      </w:pPr>
      <w:r>
        <w:continuationSeparator/>
      </w:r>
    </w:p>
  </w:footnote>
  <w:footnote w:id="1">
    <w:p w14:paraId="5740063A" w14:textId="77777777" w:rsidR="00710707" w:rsidRDefault="00000000">
      <w:pPr>
        <w:pStyle w:val="FootnoteText"/>
      </w:pPr>
      <w:r>
        <w:rPr>
          <w:rStyle w:val="FootnoteCharacters"/>
        </w:rPr>
        <w:footnoteRef/>
      </w:r>
      <w:r>
        <w:t xml:space="preserve"> See R-17-0022, “Petition to Amend Rules 32(c) and (d), Rules of the Supreme Court filed January 10, 2017 by Gregory W. Falls “individually and on behalf of the Goldwater Institute” proposing “to maintain the current mandatory membership requirement for all lawyers but (1) eliminate mandatory membership dues for non-regulatory functions and (2) allow voluntary contributions for all non-regulatory functions.” Also see R-19-0005, “Petition to Amend Rules 32(c) and (d), Rules of the Supreme Court filed January 9, 2019 by Timothy Sandefur reiterating the same as R-17-0022’s intended purpose but adding a third component that “provides for an audit so that members can verify the use of mandatory dues.”</w:t>
      </w:r>
    </w:p>
  </w:footnote>
  <w:footnote w:id="2">
    <w:p w14:paraId="661CC583" w14:textId="05831DC2" w:rsidR="009E3B28" w:rsidRDefault="009E3B28" w:rsidP="009E3B28">
      <w:pPr>
        <w:pStyle w:val="FootnoteText"/>
      </w:pPr>
      <w:r>
        <w:rPr>
          <w:rStyle w:val="FootnoteReference"/>
        </w:rPr>
        <w:footnoteRef/>
      </w:r>
      <w:r>
        <w:t xml:space="preserve"> See, for example, Alan Riquelmy, “Magistrate Judge Sides with Professor in First Amendment Suit over Bakersfield College Diversity Policies, Courthouse News Service, (November 14, 2023) at </w:t>
      </w:r>
      <w:hyperlink r:id="rId1" w:history="1">
        <w:r w:rsidRPr="00945BDC">
          <w:rPr>
            <w:rStyle w:val="Hyperlink"/>
          </w:rPr>
          <w:t>https://www.courthousenews.com/magistrate-judge-sides-with-professor-in-first-amendment-suit-over-bakersfield-college-diversity-policies/</w:t>
        </w:r>
      </w:hyperlink>
      <w:r>
        <w:t xml:space="preserve"> </w:t>
      </w:r>
      <w:r w:rsidR="0047113A">
        <w:t xml:space="preserve"> and</w:t>
      </w:r>
      <w:r w:rsidR="00D51C09">
        <w:t xml:space="preserve"> John, Hanna,</w:t>
      </w:r>
      <w:r w:rsidR="0047113A">
        <w:t xml:space="preserve"> “</w:t>
      </w:r>
      <w:r w:rsidR="0047113A" w:rsidRPr="0047113A">
        <w:t>Kansas has a new anti-DEI law</w:t>
      </w:r>
      <w:r w:rsidR="0047113A">
        <w:t xml:space="preserve"> . . . .” </w:t>
      </w:r>
      <w:r w:rsidR="0047113A" w:rsidRPr="0047113A">
        <w:t xml:space="preserve">Kansas’ </w:t>
      </w:r>
      <w:r w:rsidR="0047113A">
        <w:t>Democrat Governor Laura Kelly allowed</w:t>
      </w:r>
      <w:r w:rsidR="0047113A" w:rsidRPr="0047113A">
        <w:t xml:space="preserve"> restrictions on college diversity initiatives approved by the Republican-controlled Legislature to become law without her signature</w:t>
      </w:r>
      <w:r w:rsidR="00D51C09">
        <w:t xml:space="preserve"> (April 19, 2024) at</w:t>
      </w:r>
      <w:r w:rsidR="0047113A">
        <w:t xml:space="preserve"> </w:t>
      </w:r>
      <w:hyperlink r:id="rId2" w:history="1">
        <w:r w:rsidR="0047113A" w:rsidRPr="009E7717">
          <w:rPr>
            <w:rStyle w:val="Hyperlink"/>
          </w:rPr>
          <w:t>https://www.pbs.org/newshour/politics/kansas-has-a-new-anti-dei-law-but-gov-kelly-has-vetoed-bills-on-abortion-and-even-police-dogs</w:t>
        </w:r>
      </w:hyperlink>
      <w:r w:rsidR="0047113A">
        <w:t xml:space="preserve"> </w:t>
      </w:r>
      <w:r w:rsidR="00D51C09">
        <w:t xml:space="preserve"> </w:t>
      </w:r>
    </w:p>
  </w:footnote>
  <w:footnote w:id="3">
    <w:p w14:paraId="16E43706" w14:textId="437CDFF9" w:rsidR="003F0AB7" w:rsidRDefault="003F0AB7">
      <w:pPr>
        <w:pStyle w:val="FootnoteText"/>
      </w:pPr>
      <w:r>
        <w:rPr>
          <w:rStyle w:val="FootnoteReference"/>
        </w:rPr>
        <w:footnoteRef/>
      </w:r>
      <w:r>
        <w:t xml:space="preserve"> See </w:t>
      </w:r>
      <w:hyperlink r:id="rId3" w:history="1">
        <w:r w:rsidRPr="00945BDC">
          <w:rPr>
            <w:rStyle w:val="Hyperlink"/>
          </w:rPr>
          <w:t>https://www.goldwaterinstitute.org/goldwater-fights-for-free-speech-in-oregon-federal-court/</w:t>
        </w:r>
      </w:hyperlink>
      <w:r>
        <w:t xml:space="preserve"> discussing the status of </w:t>
      </w:r>
      <w:r w:rsidRPr="003F0AB7">
        <w:t>Daniel Crowe v. Oregon State Bar</w:t>
      </w:r>
      <w:r>
        <w:t>, including oral argument at the 9</w:t>
      </w:r>
      <w:r w:rsidRPr="003F0AB7">
        <w:rPr>
          <w:vertAlign w:val="superscript"/>
        </w:rPr>
        <w:t>th</w:t>
      </w:r>
      <w:r>
        <w:t xml:space="preserve"> Circuit this month</w:t>
      </w:r>
      <w:r w:rsidR="008A6D9F">
        <w:t>, to wit,</w:t>
      </w:r>
      <w:r>
        <w:t xml:space="preserve"> that “</w:t>
      </w:r>
      <w:r w:rsidRPr="003F0AB7">
        <w:t>mandatory bars are ostensibly about “regulating lawyers,”—i.e., licensing, establishing ethical rules, and disciplining—mission creep inevitably leads to mandatory bars engaging in conduct unrelated to the regulation of lawyers. This can include activities like lobbying legislatures on bills that seek to change state law, disseminating and amplifying news and viewpoints of which the bar approves, and entertaining the latest ideological fads like “anti-racism” and diversity training.</w:t>
      </w:r>
      <w:r>
        <w:t>”</w:t>
      </w:r>
    </w:p>
  </w:footnote>
  <w:footnote w:id="4">
    <w:p w14:paraId="4AEF7867" w14:textId="0C2365E4" w:rsidR="00C9178B" w:rsidRDefault="00C9178B">
      <w:pPr>
        <w:pStyle w:val="FootnoteText"/>
      </w:pPr>
      <w:r>
        <w:rPr>
          <w:rStyle w:val="FootnoteReference"/>
        </w:rPr>
        <w:footnoteRef/>
      </w:r>
      <w:r>
        <w:t xml:space="preserve"> </w:t>
      </w:r>
      <w:r w:rsidRPr="00C9178B">
        <w:rPr>
          <w:i/>
          <w:iCs/>
        </w:rPr>
        <w:t xml:space="preserve">See </w:t>
      </w:r>
      <w:hyperlink r:id="rId4" w:tgtFrame="_blank" w:history="1">
        <w:r w:rsidRPr="00C9178B">
          <w:rPr>
            <w:rStyle w:val="Hyperlink"/>
            <w:i/>
            <w:iCs/>
          </w:rPr>
          <w:t>McDonald v. Longley</w:t>
        </w:r>
      </w:hyperlink>
      <w:r w:rsidRPr="00C9178B">
        <w:t xml:space="preserve">, No. 20-50448 (5th Cir. Jul. 2, 2021) (holding that because the Texas Bar “is engaged in non-germane activities,” forcing lawyers “to join it violates their First Amendment rights”); </w:t>
      </w:r>
      <w:hyperlink r:id="rId5" w:tgtFrame="_blank" w:history="1">
        <w:r w:rsidRPr="00C9178B">
          <w:rPr>
            <w:rStyle w:val="Hyperlink"/>
            <w:i/>
            <w:iCs/>
          </w:rPr>
          <w:t>Boudreaux v. La. State Bar Assoc.</w:t>
        </w:r>
      </w:hyperlink>
      <w:r w:rsidRPr="00C9178B">
        <w:t>, No. 20-30086 (5th Cir. Jul. 2, 2021) (holding that Louisiana lawyer has viable claim that LSBA’s “political and legislative activity goes beyond what’s constitutionally permissible”).</w:t>
      </w:r>
      <w:r>
        <w:t xml:space="preserve"> Summary and citation per Dane S. Cipolino at Louisiana Legal Ethics, </w:t>
      </w:r>
      <w:hyperlink r:id="rId6" w:history="1">
        <w:r w:rsidRPr="00945BDC">
          <w:rPr>
            <w:rStyle w:val="Hyperlink"/>
          </w:rPr>
          <w:t>https://lalegalethics.org/fifth-circuit-rules-that-mandating-bar-association-membership-violates-lawyers-first-amendment-rights/</w:t>
        </w:r>
      </w:hyperlink>
      <w:r>
        <w:t xml:space="preserve">  last accessed April 16, 2024.</w:t>
      </w:r>
    </w:p>
  </w:footnote>
  <w:footnote w:id="5">
    <w:p w14:paraId="1FE23C04" w14:textId="24CC24AB" w:rsidR="00615A29" w:rsidRPr="00615A29" w:rsidRDefault="00615A29" w:rsidP="00615A29">
      <w:pPr>
        <w:pStyle w:val="FootnoteText"/>
      </w:pPr>
      <w:r>
        <w:rPr>
          <w:rStyle w:val="FootnoteReference"/>
        </w:rPr>
        <w:footnoteRef/>
      </w:r>
      <w:r>
        <w:t xml:space="preserve"> Caitlin Sievers</w:t>
      </w:r>
      <w:r w:rsidRPr="00615A29">
        <w:t>,</w:t>
      </w:r>
      <w:r>
        <w:t xml:space="preserve"> “A</w:t>
      </w:r>
      <w:r w:rsidRPr="00615A29">
        <w:t>Z Republicans continue to take aim at DEI training with bill to outlaw it in government</w:t>
      </w:r>
      <w:r>
        <w:t>,” Arizona Mirror (February 28, 2024) last accessed at</w:t>
      </w:r>
    </w:p>
    <w:p w14:paraId="2FA8AA35" w14:textId="48E467C4" w:rsidR="00615A29" w:rsidRDefault="00615A29">
      <w:pPr>
        <w:pStyle w:val="FootnoteText"/>
      </w:pPr>
      <w:r>
        <w:t xml:space="preserve"> </w:t>
      </w:r>
      <w:hyperlink r:id="rId7" w:history="1">
        <w:r w:rsidRPr="00945BDC">
          <w:rPr>
            <w:rStyle w:val="Hyperlink"/>
          </w:rPr>
          <w:t>https://azmirror.com/2024/02/28/az-republicans-continue-to-take-aim-at-dei-training-with-bill-to-outlaw-it-in-government/</w:t>
        </w:r>
      </w:hyperlink>
      <w:r>
        <w:t xml:space="preserve">  on April 16, 2024.</w:t>
      </w:r>
    </w:p>
  </w:footnote>
  <w:footnote w:id="6">
    <w:p w14:paraId="02E9C5CC" w14:textId="18D7DE45" w:rsidR="00E93741" w:rsidRDefault="00E93741">
      <w:pPr>
        <w:pStyle w:val="FootnoteText"/>
      </w:pPr>
      <w:r>
        <w:rPr>
          <w:rStyle w:val="FootnoteReference"/>
        </w:rPr>
        <w:footnoteRef/>
      </w:r>
      <w:r>
        <w:t xml:space="preserve"> </w:t>
      </w:r>
      <w:r w:rsidRPr="00475CAD">
        <w:rPr>
          <w:i/>
          <w:iCs/>
        </w:rPr>
        <w:t>Keller</w:t>
      </w:r>
      <w:r>
        <w:t xml:space="preserve"> 496 U.S. 1, 13-16 (1990).</w:t>
      </w:r>
    </w:p>
  </w:footnote>
  <w:footnote w:id="7">
    <w:p w14:paraId="0F949251" w14:textId="6E3B13DA" w:rsidR="002F7E7B" w:rsidRDefault="002F7E7B">
      <w:pPr>
        <w:pStyle w:val="FootnoteText"/>
      </w:pPr>
      <w:r>
        <w:rPr>
          <w:rStyle w:val="FootnoteReference"/>
        </w:rPr>
        <w:footnoteRef/>
      </w:r>
      <w:r>
        <w:t xml:space="preserve"> </w:t>
      </w:r>
      <w:r w:rsidR="008E2A61" w:rsidRPr="008E2A61">
        <w:rPr>
          <w:i/>
          <w:iCs/>
        </w:rPr>
        <w:t>Students for Fair Admissions, Inc. v. President and Fellows of Harvard College</w:t>
      </w:r>
      <w:r w:rsidR="008E2A61" w:rsidRPr="008E2A61">
        <w:t>, No. 20-1199, 600 U.S. ___, 2023 WL 4239254 (June 29, 2023)</w:t>
      </w:r>
      <w:r w:rsidR="008E2A61">
        <w:t>.</w:t>
      </w:r>
    </w:p>
  </w:footnote>
  <w:footnote w:id="8">
    <w:p w14:paraId="0C944EF5" w14:textId="7170899B" w:rsidR="00957510" w:rsidRDefault="00957510">
      <w:pPr>
        <w:pStyle w:val="FootnoteText"/>
      </w:pPr>
      <w:r>
        <w:rPr>
          <w:rStyle w:val="FootnoteReference"/>
        </w:rPr>
        <w:footnoteRef/>
      </w:r>
      <w:r>
        <w:t xml:space="preserve"> Alex Ebert, “Florida Bar Diversity Funding Cut by State Supreme Court,” Bloomberg Law (January 31, 2024).</w:t>
      </w:r>
    </w:p>
  </w:footnote>
  <w:footnote w:id="9">
    <w:p w14:paraId="3585A69B" w14:textId="7F6FD48E" w:rsidR="00F052CC" w:rsidRDefault="00F052CC">
      <w:pPr>
        <w:pStyle w:val="FootnoteText"/>
      </w:pPr>
      <w:r>
        <w:rPr>
          <w:rStyle w:val="FootnoteReference"/>
        </w:rPr>
        <w:footnoteRef/>
      </w:r>
      <w:r>
        <w:t xml:space="preserve"> See “Diversity and Inclusion” programs, 2021 State Bar of Arizona Annual Convention</w:t>
      </w:r>
    </w:p>
  </w:footnote>
  <w:footnote w:id="10">
    <w:p w14:paraId="4D34681E" w14:textId="314158D6" w:rsidR="00257188" w:rsidRPr="00257188" w:rsidRDefault="00257188" w:rsidP="00257188">
      <w:pPr>
        <w:pStyle w:val="FootnoteText"/>
      </w:pPr>
      <w:r>
        <w:rPr>
          <w:rStyle w:val="FootnoteReference"/>
        </w:rPr>
        <w:footnoteRef/>
      </w:r>
      <w:r>
        <w:t xml:space="preserve"> See, for example, </w:t>
      </w:r>
      <w:r w:rsidRPr="00257188">
        <w:t>Mich. Admin. Ord. Administrative Order No. 2021-8</w:t>
      </w:r>
      <w:r>
        <w:t>, a</w:t>
      </w:r>
      <w:r w:rsidRPr="00257188">
        <w:t>s amended through April 3, 2024</w:t>
      </w:r>
      <w:r>
        <w:t>,</w:t>
      </w:r>
    </w:p>
    <w:p w14:paraId="09094B20" w14:textId="21515BAF" w:rsidR="00257188" w:rsidRDefault="00257188">
      <w:pPr>
        <w:pStyle w:val="FootnoteText"/>
      </w:pPr>
      <w:r w:rsidRPr="00257188">
        <w:t>Commission on Diversity, Equity, and Inclusion in the Michigan Judiciary</w:t>
      </w:r>
      <w:r>
        <w:t xml:space="preserve">, </w:t>
      </w:r>
      <w:r w:rsidRPr="00257188">
        <w:t>V</w:t>
      </w:r>
      <w:r>
        <w:t>iviano,</w:t>
      </w:r>
      <w:r w:rsidRPr="00257188">
        <w:t xml:space="preserve"> J. (dissenting). </w:t>
      </w:r>
      <w:r>
        <w:t>“</w:t>
      </w:r>
      <w:r w:rsidRPr="00257188">
        <w:t>I dissent from today's order establishing the Commission on Diversity, Equity, and Inclusion, a catchphrase that is politically fraught-and for that reason alone should be approached with extreme caution by the judicial branch.</w:t>
      </w:r>
      <w:r>
        <w:t>”</w:t>
      </w:r>
      <w:r w:rsidRPr="00257188">
        <w:t> </w:t>
      </w:r>
    </w:p>
  </w:footnote>
  <w:footnote w:id="11">
    <w:p w14:paraId="2E2E8C18" w14:textId="0576767D" w:rsidR="00E635EF" w:rsidRDefault="00E635EF" w:rsidP="00901E8B">
      <w:pPr>
        <w:pStyle w:val="FootnoteText"/>
      </w:pPr>
      <w:r>
        <w:rPr>
          <w:rStyle w:val="FootnoteReference"/>
        </w:rPr>
        <w:footnoteRef/>
      </w:r>
      <w:r>
        <w:t xml:space="preserve"> See, for examples, David Randall, “The Implicit-Bias House of Cards,” City Journal (October 3, 2023); Christopher Ingraham, “Data Suggest Republicans have a race problem,” Washington Post (April 14, 2014); Samuel I. Robinson, “</w:t>
      </w:r>
      <w:r w:rsidRPr="00E635EF">
        <w:t>GOP bill that would ban lessons on implicit bias in Michigan schools passes House</w:t>
      </w:r>
      <w:r>
        <w:t>,” Michigan Live (November 2, 2021);</w:t>
      </w:r>
      <w:r w:rsidR="00901E8B">
        <w:t xml:space="preserve"> SB 1694, State of Arizona Senate, Fifty-sixth Legislature, First Regular Session, 2023 (prohibiting expenditure of public monies on among other prohibitions, the promotion of policy or procedure concerning implicit bias).</w:t>
      </w:r>
    </w:p>
  </w:footnote>
  <w:footnote w:id="12">
    <w:p w14:paraId="6212CCB8" w14:textId="7B5096C8" w:rsidR="0012742B" w:rsidRDefault="0012742B" w:rsidP="0012742B">
      <w:pPr>
        <w:pStyle w:val="FootnoteText"/>
      </w:pPr>
      <w:r>
        <w:rPr>
          <w:rStyle w:val="FootnoteReference"/>
        </w:rPr>
        <w:footnoteRef/>
      </w:r>
      <w:r>
        <w:t xml:space="preserve"> Telephone interview with Kevin Heade, Esq., (April 17, 2024) with Mauricio R. Hernandez.</w:t>
      </w:r>
    </w:p>
  </w:footnote>
  <w:footnote w:id="13">
    <w:p w14:paraId="7DEFDFF6" w14:textId="158398A9" w:rsidR="00256129" w:rsidRPr="00256129" w:rsidRDefault="00256129" w:rsidP="00256129">
      <w:pPr>
        <w:pStyle w:val="FootnoteText"/>
      </w:pPr>
      <w:r>
        <w:rPr>
          <w:rStyle w:val="FootnoteReference"/>
        </w:rPr>
        <w:footnoteRef/>
      </w:r>
      <w:r>
        <w:t xml:space="preserve"> Stephen Zunes, “</w:t>
      </w:r>
      <w:r w:rsidRPr="00256129">
        <w:t>Banned in Phoenix: How the Arizona State Bar Association Considers Analysis of International Law in the Middle East Too Controversial</w:t>
      </w:r>
      <w:r>
        <w:t xml:space="preserve">,” Truthout, (June 25, 2013) at </w:t>
      </w:r>
      <w:hyperlink r:id="rId8" w:history="1">
        <w:r w:rsidRPr="009A5F3B">
          <w:rPr>
            <w:rStyle w:val="Hyperlink"/>
          </w:rPr>
          <w:t>https://truthout.org/articles/banned-in-phoenix-how-the-arizona-state-bar-association-considers-analysis-of-international-law-in-the-middle-east-too-controversial/</w:t>
        </w:r>
      </w:hyperlink>
      <w:r>
        <w:t xml:space="preserve"> last accessed April 18, 2024.</w:t>
      </w:r>
    </w:p>
    <w:p w14:paraId="492323E1" w14:textId="766FD58D" w:rsidR="00256129" w:rsidRDefault="00256129">
      <w:pPr>
        <w:pStyle w:val="FootnoteText"/>
      </w:pPr>
    </w:p>
  </w:footnote>
  <w:footnote w:id="14">
    <w:p w14:paraId="5D7E006F" w14:textId="787B65B2" w:rsidR="00C00C03" w:rsidRDefault="00C00C03">
      <w:pPr>
        <w:pStyle w:val="FootnoteText"/>
      </w:pPr>
      <w:r>
        <w:rPr>
          <w:rStyle w:val="FootnoteReference"/>
        </w:rPr>
        <w:footnoteRef/>
      </w:r>
      <w:r>
        <w:t xml:space="preserve"> </w:t>
      </w:r>
      <w:r w:rsidRPr="00C00C03">
        <w:rPr>
          <w:i/>
          <w:iCs/>
        </w:rPr>
        <w:t>Keller</w:t>
      </w:r>
      <w:r>
        <w:t>, supra note 6.</w:t>
      </w:r>
    </w:p>
  </w:footnote>
  <w:footnote w:id="15">
    <w:p w14:paraId="4066459E" w14:textId="7F2B6210" w:rsidR="00EC04FB" w:rsidRDefault="00EC04FB">
      <w:pPr>
        <w:pStyle w:val="FootnoteText"/>
      </w:pPr>
      <w:r>
        <w:rPr>
          <w:rStyle w:val="FootnoteReference"/>
        </w:rPr>
        <w:footnoteRef/>
      </w:r>
      <w:r>
        <w:t xml:space="preserve"> The voluntary bar states are: Arkansas, Colorado, Connecticut, Delaware, Illinois, Indiana, Iowa, Kansas, Maine, Maryland, Massachusetts, Minnesota, Nebraska, New Jersey, New York, Ohio, Pennsylvania, Tennessee, and Vermont.</w:t>
      </w:r>
    </w:p>
  </w:footnote>
  <w:footnote w:id="16">
    <w:p w14:paraId="42E4CEB4" w14:textId="77777777" w:rsidR="00710707" w:rsidRDefault="00000000">
      <w:pPr>
        <w:pStyle w:val="FootnoteText"/>
      </w:pPr>
      <w:r>
        <w:rPr>
          <w:rStyle w:val="FootnoteCharacters"/>
        </w:rPr>
        <w:footnoteRef/>
      </w:r>
      <w:r>
        <w:t xml:space="preserve">The Iowa State Bar Association, for example, in 2024 will celebrate 150 years as the nation’s oldest voluntary bar association. </w:t>
      </w:r>
      <w:hyperlink r:id="rId9">
        <w:r>
          <w:rPr>
            <w:rStyle w:val="Hyperlink"/>
          </w:rPr>
          <w:t>https://www.iowabar.org/?pg=History</w:t>
        </w:r>
      </w:hyperlink>
      <w:r>
        <w:t xml:space="preserve"> The Minnesota State Bar Association, established in 1883, has been a voluntary bar for 141 years. </w:t>
      </w:r>
      <w:hyperlink r:id="rId10">
        <w:r>
          <w:rPr>
            <w:rStyle w:val="Hyperlink"/>
          </w:rPr>
          <w:t>https://mnbar.org/about-msba</w:t>
        </w:r>
      </w:hyperlink>
      <w:r>
        <w:t xml:space="preserve"> </w:t>
      </w:r>
    </w:p>
  </w:footnote>
  <w:footnote w:id="17">
    <w:p w14:paraId="049B5FBC" w14:textId="7A859593" w:rsidR="0067415F" w:rsidRDefault="0067415F">
      <w:pPr>
        <w:pStyle w:val="FootnoteText"/>
      </w:pPr>
      <w:r>
        <w:rPr>
          <w:rStyle w:val="FootnoteReference"/>
        </w:rPr>
        <w:footnoteRef/>
      </w:r>
      <w:r>
        <w:t xml:space="preserve"> Ohio, a voluntary bar jurisdiction, has been singled out by one legal ethics specialist, </w:t>
      </w:r>
      <w:hyperlink r:id="rId11" w:history="1">
        <w:r w:rsidRPr="0067415F">
          <w:rPr>
            <w:rStyle w:val="Hyperlink"/>
          </w:rPr>
          <w:t>Michael Frisch</w:t>
        </w:r>
      </w:hyperlink>
      <w:r>
        <w:t>, at The Legal Profession Blog, as “the top of the list of the most transparency discipline systems.” Adding, “The responsible administrators seem to have mastered the technology required to deliver a full picture of the arc of every bar discipline case.” See “Ode to Ohio: With a Coda,” Legal Profession Blog, (January 27, 2022).</w:t>
      </w:r>
    </w:p>
  </w:footnote>
  <w:footnote w:id="18">
    <w:p w14:paraId="2E8111C6" w14:textId="5E2B203D" w:rsidR="00246BCC" w:rsidRDefault="00246BCC" w:rsidP="000E653A">
      <w:pPr>
        <w:pStyle w:val="FootnoteText"/>
      </w:pPr>
      <w:r>
        <w:rPr>
          <w:rStyle w:val="FootnoteReference"/>
        </w:rPr>
        <w:footnoteRef/>
      </w:r>
      <w:r>
        <w:t xml:space="preserve"> Also see </w:t>
      </w:r>
      <w:r w:rsidR="000E653A">
        <w:t xml:space="preserve">Leslie C. Levin, The End of Mandatory State </w:t>
      </w:r>
      <w:r w:rsidR="00575A7D">
        <w:t>Bars?</w:t>
      </w:r>
      <w:r w:rsidR="000E653A">
        <w:t xml:space="preserve"> 109 GEO. L.J. ONLINE 1, (2020), https://www.law.georgetown.edu/georgetown-law-journal/wp-content/uploads/sites/26/2020/04/Levin_The-End-of-Mandatory-State-Bars.pdf [https://perma.cc/X2X4-C3S8]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D08A" w14:textId="25E49546" w:rsidR="00273A3C" w:rsidRDefault="00273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ECD4" w14:textId="4D3F6144" w:rsidR="00710707" w:rsidRDefault="00273A3C">
    <w:pPr>
      <w:pStyle w:val="Header"/>
    </w:pPr>
    <w:r>
      <w:rPr>
        <w:noProof/>
      </w:rPr>
      <mc:AlternateContent>
        <mc:Choice Requires="wps">
          <w:drawing>
            <wp:anchor distT="5080" distB="5080" distL="5080" distR="5080" simplePos="0" relativeHeight="5" behindDoc="1" locked="0" layoutInCell="0" allowOverlap="1" wp14:anchorId="5C6F15FC" wp14:editId="2CAB5311">
              <wp:simplePos x="0" y="0"/>
              <wp:positionH relativeFrom="margin">
                <wp:posOffset>-45720</wp:posOffset>
              </wp:positionH>
              <wp:positionV relativeFrom="page">
                <wp:posOffset>0</wp:posOffset>
              </wp:positionV>
              <wp:extent cx="635" cy="10058400"/>
              <wp:effectExtent l="5080" t="5080" r="5080" b="5080"/>
              <wp:wrapNone/>
              <wp:docPr id="1" name="LeftBorder1"/>
              <wp:cNvGraphicFramePr/>
              <a:graphic xmlns:a="http://schemas.openxmlformats.org/drawingml/2006/main">
                <a:graphicData uri="http://schemas.microsoft.com/office/word/2010/wordprocessingShape">
                  <wps:wsp>
                    <wps:cNvCnPr/>
                    <wps:spPr>
                      <a:xfrm>
                        <a:off x="0" y="0"/>
                        <a:ext cx="720" cy="1005840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DAF935F" id="LeftBorder1" o:spid="_x0000_s1026" style="position:absolute;z-index:-503316475;visibility:visible;mso-wrap-style:square;mso-wrap-distance-left:.4pt;mso-wrap-distance-top:.4pt;mso-wrap-distance-right:.4pt;mso-wrap-distance-bottom:.4pt;mso-position-horizontal:absolute;mso-position-horizontal-relative:margin;mso-position-vertical:absolute;mso-position-vertical-relative:page" from="-3.6pt,0" to="-3.5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" o:allowincell="f">
              <w10:wrap anchorx="margin" anchory="page"/>
            </v:line>
          </w:pict>
        </mc:Fallback>
      </mc:AlternateContent>
    </w:r>
    <w:r>
      <w:rPr>
        <w:noProof/>
      </w:rPr>
      <mc:AlternateContent>
        <mc:Choice Requires="wps">
          <w:drawing>
            <wp:anchor distT="5080" distB="5080" distL="5080" distR="5080" simplePos="0" relativeHeight="9" behindDoc="1" locked="0" layoutInCell="0" allowOverlap="1" wp14:anchorId="439E89F1" wp14:editId="341EC96E">
              <wp:simplePos x="0" y="0"/>
              <wp:positionH relativeFrom="margin">
                <wp:posOffset>-91440</wp:posOffset>
              </wp:positionH>
              <wp:positionV relativeFrom="page">
                <wp:posOffset>0</wp:posOffset>
              </wp:positionV>
              <wp:extent cx="635" cy="10058400"/>
              <wp:effectExtent l="5080" t="5080" r="5080" b="5080"/>
              <wp:wrapNone/>
              <wp:docPr id="2" name="LeftBorder2"/>
              <wp:cNvGraphicFramePr/>
              <a:graphic xmlns:a="http://schemas.openxmlformats.org/drawingml/2006/main">
                <a:graphicData uri="http://schemas.microsoft.com/office/word/2010/wordprocessingShape">
                  <wps:wsp>
                    <wps:cNvCnPr/>
                    <wps:spPr>
                      <a:xfrm>
                        <a:off x="0" y="0"/>
                        <a:ext cx="720" cy="1005840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0328AD4" id="LeftBorder2" o:spid="_x0000_s1026" style="position:absolute;z-index:-503316471;visibility:visible;mso-wrap-style:square;mso-wrap-distance-left:.4pt;mso-wrap-distance-top:.4pt;mso-wrap-distance-right:.4pt;mso-wrap-distance-bottom:.4pt;mso-position-horizontal:absolute;mso-position-horizontal-relative:margin;mso-position-vertical:absolute;mso-position-vertical-relative:page" from="-7.2pt,0" to="-7.1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" o:allowincell="f">
              <w10:wrap anchorx="margin" anchory="page"/>
            </v:line>
          </w:pict>
        </mc:Fallback>
      </mc:AlternateContent>
    </w:r>
    <w:r>
      <w:rPr>
        <w:noProof/>
      </w:rPr>
      <mc:AlternateContent>
        <mc:Choice Requires="wps">
          <w:drawing>
            <wp:anchor distT="5080" distB="5080" distL="5080" distR="5080" simplePos="0" relativeHeight="13" behindDoc="1" locked="0" layoutInCell="0" allowOverlap="1" wp14:anchorId="1C224380" wp14:editId="6984445D">
              <wp:simplePos x="0" y="0"/>
              <wp:positionH relativeFrom="margin">
                <wp:posOffset>6000750</wp:posOffset>
              </wp:positionH>
              <wp:positionV relativeFrom="page">
                <wp:posOffset>0</wp:posOffset>
              </wp:positionV>
              <wp:extent cx="635" cy="10058400"/>
              <wp:effectExtent l="5080" t="5080" r="5080" b="5080"/>
              <wp:wrapNone/>
              <wp:docPr id="3" name="RightBorder"/>
              <wp:cNvGraphicFramePr/>
              <a:graphic xmlns:a="http://schemas.openxmlformats.org/drawingml/2006/main">
                <a:graphicData uri="http://schemas.microsoft.com/office/word/2010/wordprocessingShape">
                  <wps:wsp>
                    <wps:cNvCnPr/>
                    <wps:spPr>
                      <a:xfrm>
                        <a:off x="0" y="0"/>
                        <a:ext cx="720" cy="1005840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9DE38C4" id="RightBorder" o:spid="_x0000_s1026" style="position:absolute;z-index:-503316467;visibility:visible;mso-wrap-style:square;mso-wrap-distance-left:.4pt;mso-wrap-distance-top:.4pt;mso-wrap-distance-right:.4pt;mso-wrap-distance-bottom:.4pt;mso-position-horizontal:absolute;mso-position-horizontal-relative:margin;mso-position-vertical:absolute;mso-position-vertical-relative:page" from="472.5pt,0" to="472.5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" o:allowincell="f">
              <w10:wrap anchorx="margin" anchory="page"/>
            </v:line>
          </w:pict>
        </mc:Fallback>
      </mc:AlternateContent>
    </w:r>
  </w:p>
  <w:p w14:paraId="134B5B15" w14:textId="77777777" w:rsidR="00710707" w:rsidRDefault="00000000">
    <w:r>
      <w:rPr>
        <w:noProof/>
      </w:rPr>
      <mc:AlternateContent>
        <mc:Choice Requires="wps">
          <w:drawing>
            <wp:anchor distT="0" distB="0" distL="0" distR="0" simplePos="0" relativeHeight="20" behindDoc="1" locked="0" layoutInCell="0" allowOverlap="1" wp14:anchorId="123F8CD6" wp14:editId="2B0ABA8C">
              <wp:simplePos x="0" y="0"/>
              <wp:positionH relativeFrom="margin">
                <wp:posOffset>-640080</wp:posOffset>
              </wp:positionH>
              <wp:positionV relativeFrom="margin">
                <wp:posOffset>-104775</wp:posOffset>
              </wp:positionV>
              <wp:extent cx="457200" cy="8248650"/>
              <wp:effectExtent l="0" t="0" r="0" b="0"/>
              <wp:wrapNone/>
              <wp:docPr id="4" name="LineNumbers"/>
              <wp:cNvGraphicFramePr/>
              <a:graphic xmlns:a="http://schemas.openxmlformats.org/drawingml/2006/main">
                <a:graphicData uri="http://schemas.microsoft.com/office/word/2010/wordprocessingShape">
                  <wps:wsp>
                    <wps:cNvSpPr/>
                    <wps:spPr>
                      <a:xfrm>
                        <a:off x="0" y="0"/>
                        <a:ext cx="457200" cy="82486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143C9731" w14:textId="77777777" w:rsidR="00710707" w:rsidRDefault="00000000">
                          <w:pPr>
                            <w:pStyle w:val="FrameContents"/>
                            <w:jc w:val="right"/>
                            <w:rPr>
                              <w:sz w:val="28"/>
                              <w:szCs w:val="28"/>
                            </w:rPr>
                          </w:pPr>
                          <w:r>
                            <w:rPr>
                              <w:color w:val="000000"/>
                              <w:sz w:val="28"/>
                              <w:szCs w:val="28"/>
                            </w:rPr>
                            <w:t>1</w:t>
                          </w:r>
                        </w:p>
                        <w:p w14:paraId="7380FF86" w14:textId="77777777" w:rsidR="00710707" w:rsidRDefault="00000000">
                          <w:pPr>
                            <w:pStyle w:val="FrameContents"/>
                            <w:jc w:val="right"/>
                            <w:rPr>
                              <w:sz w:val="28"/>
                              <w:szCs w:val="28"/>
                            </w:rPr>
                          </w:pPr>
                          <w:r>
                            <w:rPr>
                              <w:color w:val="000000"/>
                              <w:sz w:val="28"/>
                              <w:szCs w:val="28"/>
                            </w:rPr>
                            <w:t>2</w:t>
                          </w:r>
                        </w:p>
                        <w:p w14:paraId="36D7B7E2" w14:textId="77777777" w:rsidR="00710707" w:rsidRDefault="00000000">
                          <w:pPr>
                            <w:pStyle w:val="FrameContents"/>
                            <w:jc w:val="right"/>
                            <w:rPr>
                              <w:sz w:val="28"/>
                              <w:szCs w:val="28"/>
                            </w:rPr>
                          </w:pPr>
                          <w:r>
                            <w:rPr>
                              <w:color w:val="000000"/>
                              <w:sz w:val="28"/>
                              <w:szCs w:val="28"/>
                            </w:rPr>
                            <w:t>3</w:t>
                          </w:r>
                        </w:p>
                        <w:p w14:paraId="0CB62ADA" w14:textId="77777777" w:rsidR="00710707" w:rsidRDefault="00000000">
                          <w:pPr>
                            <w:pStyle w:val="FrameContents"/>
                            <w:jc w:val="right"/>
                            <w:rPr>
                              <w:sz w:val="28"/>
                              <w:szCs w:val="28"/>
                            </w:rPr>
                          </w:pPr>
                          <w:r>
                            <w:rPr>
                              <w:color w:val="000000"/>
                              <w:sz w:val="28"/>
                              <w:szCs w:val="28"/>
                            </w:rPr>
                            <w:t>4</w:t>
                          </w:r>
                        </w:p>
                        <w:p w14:paraId="4396A731" w14:textId="77777777" w:rsidR="00710707" w:rsidRDefault="00000000">
                          <w:pPr>
                            <w:pStyle w:val="FrameContents"/>
                            <w:jc w:val="right"/>
                            <w:rPr>
                              <w:sz w:val="28"/>
                              <w:szCs w:val="28"/>
                            </w:rPr>
                          </w:pPr>
                          <w:r>
                            <w:rPr>
                              <w:color w:val="000000"/>
                              <w:sz w:val="28"/>
                              <w:szCs w:val="28"/>
                            </w:rPr>
                            <w:t>5</w:t>
                          </w:r>
                        </w:p>
                        <w:p w14:paraId="0598CCE9" w14:textId="77777777" w:rsidR="00710707" w:rsidRDefault="00000000">
                          <w:pPr>
                            <w:pStyle w:val="FrameContents"/>
                            <w:jc w:val="right"/>
                            <w:rPr>
                              <w:sz w:val="28"/>
                              <w:szCs w:val="28"/>
                            </w:rPr>
                          </w:pPr>
                          <w:r>
                            <w:rPr>
                              <w:color w:val="000000"/>
                              <w:sz w:val="28"/>
                              <w:szCs w:val="28"/>
                            </w:rPr>
                            <w:t>6</w:t>
                          </w:r>
                        </w:p>
                        <w:p w14:paraId="51F9AC68" w14:textId="77777777" w:rsidR="00710707" w:rsidRDefault="00000000">
                          <w:pPr>
                            <w:pStyle w:val="FrameContents"/>
                            <w:jc w:val="right"/>
                            <w:rPr>
                              <w:sz w:val="28"/>
                              <w:szCs w:val="28"/>
                            </w:rPr>
                          </w:pPr>
                          <w:r>
                            <w:rPr>
                              <w:color w:val="000000"/>
                              <w:sz w:val="28"/>
                              <w:szCs w:val="28"/>
                            </w:rPr>
                            <w:t>7</w:t>
                          </w:r>
                        </w:p>
                        <w:p w14:paraId="72580099" w14:textId="77777777" w:rsidR="00710707" w:rsidRDefault="00000000">
                          <w:pPr>
                            <w:pStyle w:val="FrameContents"/>
                            <w:jc w:val="right"/>
                            <w:rPr>
                              <w:sz w:val="28"/>
                              <w:szCs w:val="28"/>
                            </w:rPr>
                          </w:pPr>
                          <w:r>
                            <w:rPr>
                              <w:color w:val="000000"/>
                              <w:sz w:val="28"/>
                              <w:szCs w:val="28"/>
                            </w:rPr>
                            <w:t>8</w:t>
                          </w:r>
                        </w:p>
                        <w:p w14:paraId="351BE039" w14:textId="77777777" w:rsidR="00710707" w:rsidRDefault="00000000">
                          <w:pPr>
                            <w:pStyle w:val="FrameContents"/>
                            <w:jc w:val="right"/>
                            <w:rPr>
                              <w:sz w:val="28"/>
                              <w:szCs w:val="28"/>
                            </w:rPr>
                          </w:pPr>
                          <w:r>
                            <w:rPr>
                              <w:color w:val="000000"/>
                              <w:sz w:val="28"/>
                              <w:szCs w:val="28"/>
                            </w:rPr>
                            <w:t>9</w:t>
                          </w:r>
                        </w:p>
                        <w:p w14:paraId="0975C141" w14:textId="77777777" w:rsidR="00710707" w:rsidRDefault="00000000">
                          <w:pPr>
                            <w:pStyle w:val="FrameContents"/>
                            <w:jc w:val="right"/>
                            <w:rPr>
                              <w:sz w:val="28"/>
                              <w:szCs w:val="28"/>
                            </w:rPr>
                          </w:pPr>
                          <w:r>
                            <w:rPr>
                              <w:color w:val="000000"/>
                              <w:sz w:val="28"/>
                              <w:szCs w:val="28"/>
                            </w:rPr>
                            <w:t>10</w:t>
                          </w:r>
                        </w:p>
                        <w:p w14:paraId="0583863A" w14:textId="77777777" w:rsidR="00710707" w:rsidRDefault="00000000">
                          <w:pPr>
                            <w:pStyle w:val="FrameContents"/>
                            <w:jc w:val="right"/>
                            <w:rPr>
                              <w:sz w:val="28"/>
                              <w:szCs w:val="28"/>
                            </w:rPr>
                          </w:pPr>
                          <w:r>
                            <w:rPr>
                              <w:color w:val="000000"/>
                              <w:sz w:val="28"/>
                              <w:szCs w:val="28"/>
                            </w:rPr>
                            <w:t>11</w:t>
                          </w:r>
                        </w:p>
                        <w:p w14:paraId="21C1079C" w14:textId="77777777" w:rsidR="00710707" w:rsidRDefault="00000000">
                          <w:pPr>
                            <w:pStyle w:val="FrameContents"/>
                            <w:jc w:val="right"/>
                            <w:rPr>
                              <w:sz w:val="28"/>
                              <w:szCs w:val="28"/>
                            </w:rPr>
                          </w:pPr>
                          <w:r>
                            <w:rPr>
                              <w:color w:val="000000"/>
                              <w:sz w:val="28"/>
                              <w:szCs w:val="28"/>
                            </w:rPr>
                            <w:t>12</w:t>
                          </w:r>
                        </w:p>
                        <w:p w14:paraId="054DA96B" w14:textId="77777777" w:rsidR="00710707" w:rsidRDefault="00000000">
                          <w:pPr>
                            <w:pStyle w:val="FrameContents"/>
                            <w:jc w:val="right"/>
                            <w:rPr>
                              <w:sz w:val="28"/>
                              <w:szCs w:val="28"/>
                            </w:rPr>
                          </w:pPr>
                          <w:r>
                            <w:rPr>
                              <w:color w:val="000000"/>
                              <w:sz w:val="28"/>
                              <w:szCs w:val="28"/>
                            </w:rPr>
                            <w:t>13</w:t>
                          </w:r>
                        </w:p>
                        <w:p w14:paraId="0F6914C3" w14:textId="77777777" w:rsidR="00710707" w:rsidRDefault="00000000">
                          <w:pPr>
                            <w:pStyle w:val="FrameContents"/>
                            <w:jc w:val="right"/>
                            <w:rPr>
                              <w:sz w:val="28"/>
                              <w:szCs w:val="28"/>
                            </w:rPr>
                          </w:pPr>
                          <w:r>
                            <w:rPr>
                              <w:color w:val="000000"/>
                              <w:sz w:val="28"/>
                              <w:szCs w:val="28"/>
                            </w:rPr>
                            <w:t>14</w:t>
                          </w:r>
                        </w:p>
                        <w:p w14:paraId="4D4E3ABB" w14:textId="77777777" w:rsidR="00710707" w:rsidRDefault="00000000">
                          <w:pPr>
                            <w:pStyle w:val="FrameContents"/>
                            <w:jc w:val="right"/>
                            <w:rPr>
                              <w:sz w:val="28"/>
                              <w:szCs w:val="28"/>
                            </w:rPr>
                          </w:pPr>
                          <w:r>
                            <w:rPr>
                              <w:color w:val="000000"/>
                              <w:sz w:val="28"/>
                              <w:szCs w:val="28"/>
                            </w:rPr>
                            <w:t>15</w:t>
                          </w:r>
                        </w:p>
                        <w:p w14:paraId="4D2FF31F" w14:textId="77777777" w:rsidR="00710707" w:rsidRDefault="00000000">
                          <w:pPr>
                            <w:pStyle w:val="FrameContents"/>
                            <w:jc w:val="right"/>
                            <w:rPr>
                              <w:sz w:val="28"/>
                              <w:szCs w:val="28"/>
                            </w:rPr>
                          </w:pPr>
                          <w:r>
                            <w:rPr>
                              <w:color w:val="000000"/>
                              <w:sz w:val="28"/>
                              <w:szCs w:val="28"/>
                            </w:rPr>
                            <w:t>16</w:t>
                          </w:r>
                        </w:p>
                        <w:p w14:paraId="438EC846" w14:textId="77777777" w:rsidR="00710707" w:rsidRDefault="00000000">
                          <w:pPr>
                            <w:pStyle w:val="FrameContents"/>
                            <w:jc w:val="right"/>
                            <w:rPr>
                              <w:sz w:val="28"/>
                              <w:szCs w:val="28"/>
                            </w:rPr>
                          </w:pPr>
                          <w:r>
                            <w:rPr>
                              <w:color w:val="000000"/>
                              <w:sz w:val="28"/>
                              <w:szCs w:val="28"/>
                            </w:rPr>
                            <w:t>17</w:t>
                          </w:r>
                        </w:p>
                        <w:p w14:paraId="57A6015E" w14:textId="77777777" w:rsidR="00710707" w:rsidRDefault="00000000">
                          <w:pPr>
                            <w:pStyle w:val="FrameContents"/>
                            <w:jc w:val="right"/>
                            <w:rPr>
                              <w:sz w:val="28"/>
                              <w:szCs w:val="28"/>
                            </w:rPr>
                          </w:pPr>
                          <w:r>
                            <w:rPr>
                              <w:color w:val="000000"/>
                              <w:sz w:val="28"/>
                              <w:szCs w:val="28"/>
                            </w:rPr>
                            <w:t>18</w:t>
                          </w:r>
                        </w:p>
                        <w:p w14:paraId="168F481F" w14:textId="77777777" w:rsidR="00710707" w:rsidRDefault="00000000">
                          <w:pPr>
                            <w:pStyle w:val="FrameContents"/>
                            <w:jc w:val="right"/>
                            <w:rPr>
                              <w:sz w:val="28"/>
                              <w:szCs w:val="28"/>
                            </w:rPr>
                          </w:pPr>
                          <w:r>
                            <w:rPr>
                              <w:color w:val="000000"/>
                              <w:sz w:val="28"/>
                              <w:szCs w:val="28"/>
                            </w:rPr>
                            <w:t>19</w:t>
                          </w:r>
                        </w:p>
                        <w:p w14:paraId="11CE7FFE" w14:textId="77777777" w:rsidR="00710707" w:rsidRDefault="00000000">
                          <w:pPr>
                            <w:pStyle w:val="FrameContents"/>
                            <w:jc w:val="right"/>
                            <w:rPr>
                              <w:sz w:val="28"/>
                              <w:szCs w:val="28"/>
                            </w:rPr>
                          </w:pPr>
                          <w:r>
                            <w:rPr>
                              <w:color w:val="000000"/>
                              <w:sz w:val="28"/>
                              <w:szCs w:val="28"/>
                            </w:rPr>
                            <w:t>20</w:t>
                          </w:r>
                        </w:p>
                        <w:p w14:paraId="3A10E5A0" w14:textId="77777777" w:rsidR="00710707" w:rsidRDefault="00000000">
                          <w:pPr>
                            <w:pStyle w:val="FrameContents"/>
                            <w:jc w:val="right"/>
                            <w:rPr>
                              <w:sz w:val="28"/>
                              <w:szCs w:val="28"/>
                            </w:rPr>
                          </w:pPr>
                          <w:r>
                            <w:rPr>
                              <w:color w:val="000000"/>
                              <w:sz w:val="28"/>
                              <w:szCs w:val="28"/>
                            </w:rPr>
                            <w:t>21</w:t>
                          </w:r>
                        </w:p>
                        <w:p w14:paraId="3546075D" w14:textId="77777777" w:rsidR="00710707" w:rsidRDefault="00000000">
                          <w:pPr>
                            <w:pStyle w:val="FrameContents"/>
                            <w:jc w:val="right"/>
                            <w:rPr>
                              <w:sz w:val="28"/>
                              <w:szCs w:val="28"/>
                            </w:rPr>
                          </w:pPr>
                          <w:r>
                            <w:rPr>
                              <w:color w:val="000000"/>
                              <w:sz w:val="28"/>
                              <w:szCs w:val="28"/>
                            </w:rPr>
                            <w:t>22</w:t>
                          </w:r>
                        </w:p>
                        <w:p w14:paraId="5A954543" w14:textId="77777777" w:rsidR="00710707" w:rsidRDefault="00000000">
                          <w:pPr>
                            <w:pStyle w:val="FrameContents"/>
                            <w:jc w:val="right"/>
                            <w:rPr>
                              <w:sz w:val="28"/>
                              <w:szCs w:val="28"/>
                            </w:rPr>
                          </w:pPr>
                          <w:r>
                            <w:rPr>
                              <w:color w:val="000000"/>
                              <w:sz w:val="28"/>
                              <w:szCs w:val="28"/>
                            </w:rPr>
                            <w:t>23</w:t>
                          </w:r>
                        </w:p>
                        <w:p w14:paraId="2B8F0A4F" w14:textId="77777777" w:rsidR="00710707" w:rsidRDefault="00000000">
                          <w:pPr>
                            <w:pStyle w:val="FrameContents"/>
                            <w:jc w:val="right"/>
                            <w:rPr>
                              <w:sz w:val="28"/>
                              <w:szCs w:val="28"/>
                            </w:rPr>
                          </w:pPr>
                          <w:r>
                            <w:rPr>
                              <w:color w:val="000000"/>
                              <w:sz w:val="28"/>
                              <w:szCs w:val="28"/>
                            </w:rPr>
                            <w:t>24</w:t>
                          </w:r>
                        </w:p>
                        <w:p w14:paraId="298B52EA" w14:textId="77777777" w:rsidR="00710707" w:rsidRDefault="00000000">
                          <w:pPr>
                            <w:pStyle w:val="FrameContents"/>
                            <w:jc w:val="right"/>
                            <w:rPr>
                              <w:sz w:val="28"/>
                              <w:szCs w:val="28"/>
                            </w:rPr>
                          </w:pPr>
                          <w:r>
                            <w:rPr>
                              <w:color w:val="000000"/>
                              <w:sz w:val="28"/>
                              <w:szCs w:val="28"/>
                            </w:rPr>
                            <w:t>25</w:t>
                          </w:r>
                        </w:p>
                        <w:p w14:paraId="60F8A928" w14:textId="77777777" w:rsidR="00710707" w:rsidRDefault="00710707">
                          <w:pPr>
                            <w:pStyle w:val="FrameContents"/>
                            <w:jc w:val="right"/>
                            <w:rPr>
                              <w:sz w:val="28"/>
                              <w:szCs w:val="28"/>
                            </w:rPr>
                          </w:pPr>
                        </w:p>
                      </w:txbxContent>
                    </wps:txbx>
                    <wps:bodyPr lIns="0" tIns="0" rIns="0" bIns="0" anchor="t">
                      <a:noAutofit/>
                    </wps:bodyPr>
                  </wps:wsp>
                </a:graphicData>
              </a:graphic>
            </wp:anchor>
          </w:drawing>
        </mc:Choice>
        <mc:Fallback>
          <w:pict>
            <v:rect w14:anchorId="123F8CD6" id="LineNumbers" o:spid="_x0000_s1026" style="position:absolute;margin-left:-50.4pt;margin-top:-8.25pt;width:36pt;height:649.5pt;z-index:-503316460;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" o:allowincell="f" stroked="f" strokeweight="0">
              <v:textbox inset="0,0,0,0">
                <w:txbxContent>
                  <w:p w14:paraId="143C9731" w14:textId="77777777" w:rsidR="00710707" w:rsidRDefault="00000000">
                    <w:pPr>
                      <w:pStyle w:val="FrameContents"/>
                      <w:jc w:val="right"/>
                      <w:rPr>
                        <w:sz w:val="28"/>
                        <w:szCs w:val="28"/>
                      </w:rPr>
                    </w:pPr>
                    <w:r>
                      <w:rPr>
                        <w:color w:val="000000"/>
                        <w:sz w:val="28"/>
                        <w:szCs w:val="28"/>
                      </w:rPr>
                      <w:t>1</w:t>
                    </w:r>
                  </w:p>
                  <w:p w14:paraId="7380FF86" w14:textId="77777777" w:rsidR="00710707" w:rsidRDefault="00000000">
                    <w:pPr>
                      <w:pStyle w:val="FrameContents"/>
                      <w:jc w:val="right"/>
                      <w:rPr>
                        <w:sz w:val="28"/>
                        <w:szCs w:val="28"/>
                      </w:rPr>
                    </w:pPr>
                    <w:r>
                      <w:rPr>
                        <w:color w:val="000000"/>
                        <w:sz w:val="28"/>
                        <w:szCs w:val="28"/>
                      </w:rPr>
                      <w:t>2</w:t>
                    </w:r>
                  </w:p>
                  <w:p w14:paraId="36D7B7E2" w14:textId="77777777" w:rsidR="00710707" w:rsidRDefault="00000000">
                    <w:pPr>
                      <w:pStyle w:val="FrameContents"/>
                      <w:jc w:val="right"/>
                      <w:rPr>
                        <w:sz w:val="28"/>
                        <w:szCs w:val="28"/>
                      </w:rPr>
                    </w:pPr>
                    <w:r>
                      <w:rPr>
                        <w:color w:val="000000"/>
                        <w:sz w:val="28"/>
                        <w:szCs w:val="28"/>
                      </w:rPr>
                      <w:t>3</w:t>
                    </w:r>
                  </w:p>
                  <w:p w14:paraId="0CB62ADA" w14:textId="77777777" w:rsidR="00710707" w:rsidRDefault="00000000">
                    <w:pPr>
                      <w:pStyle w:val="FrameContents"/>
                      <w:jc w:val="right"/>
                      <w:rPr>
                        <w:sz w:val="28"/>
                        <w:szCs w:val="28"/>
                      </w:rPr>
                    </w:pPr>
                    <w:r>
                      <w:rPr>
                        <w:color w:val="000000"/>
                        <w:sz w:val="28"/>
                        <w:szCs w:val="28"/>
                      </w:rPr>
                      <w:t>4</w:t>
                    </w:r>
                  </w:p>
                  <w:p w14:paraId="4396A731" w14:textId="77777777" w:rsidR="00710707" w:rsidRDefault="00000000">
                    <w:pPr>
                      <w:pStyle w:val="FrameContents"/>
                      <w:jc w:val="right"/>
                      <w:rPr>
                        <w:sz w:val="28"/>
                        <w:szCs w:val="28"/>
                      </w:rPr>
                    </w:pPr>
                    <w:r>
                      <w:rPr>
                        <w:color w:val="000000"/>
                        <w:sz w:val="28"/>
                        <w:szCs w:val="28"/>
                      </w:rPr>
                      <w:t>5</w:t>
                    </w:r>
                  </w:p>
                  <w:p w14:paraId="0598CCE9" w14:textId="77777777" w:rsidR="00710707" w:rsidRDefault="00000000">
                    <w:pPr>
                      <w:pStyle w:val="FrameContents"/>
                      <w:jc w:val="right"/>
                      <w:rPr>
                        <w:sz w:val="28"/>
                        <w:szCs w:val="28"/>
                      </w:rPr>
                    </w:pPr>
                    <w:r>
                      <w:rPr>
                        <w:color w:val="000000"/>
                        <w:sz w:val="28"/>
                        <w:szCs w:val="28"/>
                      </w:rPr>
                      <w:t>6</w:t>
                    </w:r>
                  </w:p>
                  <w:p w14:paraId="51F9AC68" w14:textId="77777777" w:rsidR="00710707" w:rsidRDefault="00000000">
                    <w:pPr>
                      <w:pStyle w:val="FrameContents"/>
                      <w:jc w:val="right"/>
                      <w:rPr>
                        <w:sz w:val="28"/>
                        <w:szCs w:val="28"/>
                      </w:rPr>
                    </w:pPr>
                    <w:r>
                      <w:rPr>
                        <w:color w:val="000000"/>
                        <w:sz w:val="28"/>
                        <w:szCs w:val="28"/>
                      </w:rPr>
                      <w:t>7</w:t>
                    </w:r>
                  </w:p>
                  <w:p w14:paraId="72580099" w14:textId="77777777" w:rsidR="00710707" w:rsidRDefault="00000000">
                    <w:pPr>
                      <w:pStyle w:val="FrameContents"/>
                      <w:jc w:val="right"/>
                      <w:rPr>
                        <w:sz w:val="28"/>
                        <w:szCs w:val="28"/>
                      </w:rPr>
                    </w:pPr>
                    <w:r>
                      <w:rPr>
                        <w:color w:val="000000"/>
                        <w:sz w:val="28"/>
                        <w:szCs w:val="28"/>
                      </w:rPr>
                      <w:t>8</w:t>
                    </w:r>
                  </w:p>
                  <w:p w14:paraId="351BE039" w14:textId="77777777" w:rsidR="00710707" w:rsidRDefault="00000000">
                    <w:pPr>
                      <w:pStyle w:val="FrameContents"/>
                      <w:jc w:val="right"/>
                      <w:rPr>
                        <w:sz w:val="28"/>
                        <w:szCs w:val="28"/>
                      </w:rPr>
                    </w:pPr>
                    <w:r>
                      <w:rPr>
                        <w:color w:val="000000"/>
                        <w:sz w:val="28"/>
                        <w:szCs w:val="28"/>
                      </w:rPr>
                      <w:t>9</w:t>
                    </w:r>
                  </w:p>
                  <w:p w14:paraId="0975C141" w14:textId="77777777" w:rsidR="00710707" w:rsidRDefault="00000000">
                    <w:pPr>
                      <w:pStyle w:val="FrameContents"/>
                      <w:jc w:val="right"/>
                      <w:rPr>
                        <w:sz w:val="28"/>
                        <w:szCs w:val="28"/>
                      </w:rPr>
                    </w:pPr>
                    <w:r>
                      <w:rPr>
                        <w:color w:val="000000"/>
                        <w:sz w:val="28"/>
                        <w:szCs w:val="28"/>
                      </w:rPr>
                      <w:t>10</w:t>
                    </w:r>
                  </w:p>
                  <w:p w14:paraId="0583863A" w14:textId="77777777" w:rsidR="00710707" w:rsidRDefault="00000000">
                    <w:pPr>
                      <w:pStyle w:val="FrameContents"/>
                      <w:jc w:val="right"/>
                      <w:rPr>
                        <w:sz w:val="28"/>
                        <w:szCs w:val="28"/>
                      </w:rPr>
                    </w:pPr>
                    <w:r>
                      <w:rPr>
                        <w:color w:val="000000"/>
                        <w:sz w:val="28"/>
                        <w:szCs w:val="28"/>
                      </w:rPr>
                      <w:t>11</w:t>
                    </w:r>
                  </w:p>
                  <w:p w14:paraId="21C1079C" w14:textId="77777777" w:rsidR="00710707" w:rsidRDefault="00000000">
                    <w:pPr>
                      <w:pStyle w:val="FrameContents"/>
                      <w:jc w:val="right"/>
                      <w:rPr>
                        <w:sz w:val="28"/>
                        <w:szCs w:val="28"/>
                      </w:rPr>
                    </w:pPr>
                    <w:r>
                      <w:rPr>
                        <w:color w:val="000000"/>
                        <w:sz w:val="28"/>
                        <w:szCs w:val="28"/>
                      </w:rPr>
                      <w:t>12</w:t>
                    </w:r>
                  </w:p>
                  <w:p w14:paraId="054DA96B" w14:textId="77777777" w:rsidR="00710707" w:rsidRDefault="00000000">
                    <w:pPr>
                      <w:pStyle w:val="FrameContents"/>
                      <w:jc w:val="right"/>
                      <w:rPr>
                        <w:sz w:val="28"/>
                        <w:szCs w:val="28"/>
                      </w:rPr>
                    </w:pPr>
                    <w:r>
                      <w:rPr>
                        <w:color w:val="000000"/>
                        <w:sz w:val="28"/>
                        <w:szCs w:val="28"/>
                      </w:rPr>
                      <w:t>13</w:t>
                    </w:r>
                  </w:p>
                  <w:p w14:paraId="0F6914C3" w14:textId="77777777" w:rsidR="00710707" w:rsidRDefault="00000000">
                    <w:pPr>
                      <w:pStyle w:val="FrameContents"/>
                      <w:jc w:val="right"/>
                      <w:rPr>
                        <w:sz w:val="28"/>
                        <w:szCs w:val="28"/>
                      </w:rPr>
                    </w:pPr>
                    <w:r>
                      <w:rPr>
                        <w:color w:val="000000"/>
                        <w:sz w:val="28"/>
                        <w:szCs w:val="28"/>
                      </w:rPr>
                      <w:t>14</w:t>
                    </w:r>
                  </w:p>
                  <w:p w14:paraId="4D4E3ABB" w14:textId="77777777" w:rsidR="00710707" w:rsidRDefault="00000000">
                    <w:pPr>
                      <w:pStyle w:val="FrameContents"/>
                      <w:jc w:val="right"/>
                      <w:rPr>
                        <w:sz w:val="28"/>
                        <w:szCs w:val="28"/>
                      </w:rPr>
                    </w:pPr>
                    <w:r>
                      <w:rPr>
                        <w:color w:val="000000"/>
                        <w:sz w:val="28"/>
                        <w:szCs w:val="28"/>
                      </w:rPr>
                      <w:t>15</w:t>
                    </w:r>
                  </w:p>
                  <w:p w14:paraId="4D2FF31F" w14:textId="77777777" w:rsidR="00710707" w:rsidRDefault="00000000">
                    <w:pPr>
                      <w:pStyle w:val="FrameContents"/>
                      <w:jc w:val="right"/>
                      <w:rPr>
                        <w:sz w:val="28"/>
                        <w:szCs w:val="28"/>
                      </w:rPr>
                    </w:pPr>
                    <w:r>
                      <w:rPr>
                        <w:color w:val="000000"/>
                        <w:sz w:val="28"/>
                        <w:szCs w:val="28"/>
                      </w:rPr>
                      <w:t>16</w:t>
                    </w:r>
                  </w:p>
                  <w:p w14:paraId="438EC846" w14:textId="77777777" w:rsidR="00710707" w:rsidRDefault="00000000">
                    <w:pPr>
                      <w:pStyle w:val="FrameContents"/>
                      <w:jc w:val="right"/>
                      <w:rPr>
                        <w:sz w:val="28"/>
                        <w:szCs w:val="28"/>
                      </w:rPr>
                    </w:pPr>
                    <w:r>
                      <w:rPr>
                        <w:color w:val="000000"/>
                        <w:sz w:val="28"/>
                        <w:szCs w:val="28"/>
                      </w:rPr>
                      <w:t>17</w:t>
                    </w:r>
                  </w:p>
                  <w:p w14:paraId="57A6015E" w14:textId="77777777" w:rsidR="00710707" w:rsidRDefault="00000000">
                    <w:pPr>
                      <w:pStyle w:val="FrameContents"/>
                      <w:jc w:val="right"/>
                      <w:rPr>
                        <w:sz w:val="28"/>
                        <w:szCs w:val="28"/>
                      </w:rPr>
                    </w:pPr>
                    <w:r>
                      <w:rPr>
                        <w:color w:val="000000"/>
                        <w:sz w:val="28"/>
                        <w:szCs w:val="28"/>
                      </w:rPr>
                      <w:t>18</w:t>
                    </w:r>
                  </w:p>
                  <w:p w14:paraId="168F481F" w14:textId="77777777" w:rsidR="00710707" w:rsidRDefault="00000000">
                    <w:pPr>
                      <w:pStyle w:val="FrameContents"/>
                      <w:jc w:val="right"/>
                      <w:rPr>
                        <w:sz w:val="28"/>
                        <w:szCs w:val="28"/>
                      </w:rPr>
                    </w:pPr>
                    <w:r>
                      <w:rPr>
                        <w:color w:val="000000"/>
                        <w:sz w:val="28"/>
                        <w:szCs w:val="28"/>
                      </w:rPr>
                      <w:t>19</w:t>
                    </w:r>
                  </w:p>
                  <w:p w14:paraId="11CE7FFE" w14:textId="77777777" w:rsidR="00710707" w:rsidRDefault="00000000">
                    <w:pPr>
                      <w:pStyle w:val="FrameContents"/>
                      <w:jc w:val="right"/>
                      <w:rPr>
                        <w:sz w:val="28"/>
                        <w:szCs w:val="28"/>
                      </w:rPr>
                    </w:pPr>
                    <w:r>
                      <w:rPr>
                        <w:color w:val="000000"/>
                        <w:sz w:val="28"/>
                        <w:szCs w:val="28"/>
                      </w:rPr>
                      <w:t>20</w:t>
                    </w:r>
                  </w:p>
                  <w:p w14:paraId="3A10E5A0" w14:textId="77777777" w:rsidR="00710707" w:rsidRDefault="00000000">
                    <w:pPr>
                      <w:pStyle w:val="FrameContents"/>
                      <w:jc w:val="right"/>
                      <w:rPr>
                        <w:sz w:val="28"/>
                        <w:szCs w:val="28"/>
                      </w:rPr>
                    </w:pPr>
                    <w:r>
                      <w:rPr>
                        <w:color w:val="000000"/>
                        <w:sz w:val="28"/>
                        <w:szCs w:val="28"/>
                      </w:rPr>
                      <w:t>21</w:t>
                    </w:r>
                  </w:p>
                  <w:p w14:paraId="3546075D" w14:textId="77777777" w:rsidR="00710707" w:rsidRDefault="00000000">
                    <w:pPr>
                      <w:pStyle w:val="FrameContents"/>
                      <w:jc w:val="right"/>
                      <w:rPr>
                        <w:sz w:val="28"/>
                        <w:szCs w:val="28"/>
                      </w:rPr>
                    </w:pPr>
                    <w:r>
                      <w:rPr>
                        <w:color w:val="000000"/>
                        <w:sz w:val="28"/>
                        <w:szCs w:val="28"/>
                      </w:rPr>
                      <w:t>22</w:t>
                    </w:r>
                  </w:p>
                  <w:p w14:paraId="5A954543" w14:textId="77777777" w:rsidR="00710707" w:rsidRDefault="00000000">
                    <w:pPr>
                      <w:pStyle w:val="FrameContents"/>
                      <w:jc w:val="right"/>
                      <w:rPr>
                        <w:sz w:val="28"/>
                        <w:szCs w:val="28"/>
                      </w:rPr>
                    </w:pPr>
                    <w:r>
                      <w:rPr>
                        <w:color w:val="000000"/>
                        <w:sz w:val="28"/>
                        <w:szCs w:val="28"/>
                      </w:rPr>
                      <w:t>23</w:t>
                    </w:r>
                  </w:p>
                  <w:p w14:paraId="2B8F0A4F" w14:textId="77777777" w:rsidR="00710707" w:rsidRDefault="00000000">
                    <w:pPr>
                      <w:pStyle w:val="FrameContents"/>
                      <w:jc w:val="right"/>
                      <w:rPr>
                        <w:sz w:val="28"/>
                        <w:szCs w:val="28"/>
                      </w:rPr>
                    </w:pPr>
                    <w:r>
                      <w:rPr>
                        <w:color w:val="000000"/>
                        <w:sz w:val="28"/>
                        <w:szCs w:val="28"/>
                      </w:rPr>
                      <w:t>24</w:t>
                    </w:r>
                  </w:p>
                  <w:p w14:paraId="298B52EA" w14:textId="77777777" w:rsidR="00710707" w:rsidRDefault="00000000">
                    <w:pPr>
                      <w:pStyle w:val="FrameContents"/>
                      <w:jc w:val="right"/>
                      <w:rPr>
                        <w:sz w:val="28"/>
                        <w:szCs w:val="28"/>
                      </w:rPr>
                    </w:pPr>
                    <w:r>
                      <w:rPr>
                        <w:color w:val="000000"/>
                        <w:sz w:val="28"/>
                        <w:szCs w:val="28"/>
                      </w:rPr>
                      <w:t>25</w:t>
                    </w:r>
                  </w:p>
                  <w:p w14:paraId="60F8A928" w14:textId="77777777" w:rsidR="00710707" w:rsidRDefault="00710707">
                    <w:pPr>
                      <w:pStyle w:val="FrameContents"/>
                      <w:jc w:val="right"/>
                      <w:rPr>
                        <w:sz w:val="28"/>
                        <w:szCs w:val="28"/>
                      </w:rPr>
                    </w:pP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5A06" w14:textId="2463DB66" w:rsidR="00273A3C" w:rsidRDefault="00273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C6FC7"/>
    <w:multiLevelType w:val="multilevel"/>
    <w:tmpl w:val="0BA04A0E"/>
    <w:lvl w:ilvl="0">
      <w:start w:val="1"/>
      <w:numFmt w:val="upperRoman"/>
      <w:lvlText w:val="%1."/>
      <w:lvlJc w:val="left"/>
      <w:pPr>
        <w:tabs>
          <w:tab w:val="num" w:pos="0"/>
        </w:tabs>
        <w:ind w:left="1440" w:hanging="72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29351A4D"/>
    <w:multiLevelType w:val="multilevel"/>
    <w:tmpl w:val="615097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178239">
    <w:abstractNumId w:val="1"/>
  </w:num>
  <w:num w:numId="2" w16cid:durableId="100532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5f_x000d__x005f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710707"/>
    <w:rsid w:val="00014105"/>
    <w:rsid w:val="00015238"/>
    <w:rsid w:val="00025191"/>
    <w:rsid w:val="000574FE"/>
    <w:rsid w:val="000757CB"/>
    <w:rsid w:val="00087C8D"/>
    <w:rsid w:val="000B38E3"/>
    <w:rsid w:val="000E207C"/>
    <w:rsid w:val="000E5839"/>
    <w:rsid w:val="000E653A"/>
    <w:rsid w:val="00111443"/>
    <w:rsid w:val="00112FBC"/>
    <w:rsid w:val="00122BA8"/>
    <w:rsid w:val="00122FEF"/>
    <w:rsid w:val="0012742B"/>
    <w:rsid w:val="001B67BA"/>
    <w:rsid w:val="001C3A11"/>
    <w:rsid w:val="001E6D5F"/>
    <w:rsid w:val="001E78F7"/>
    <w:rsid w:val="00201129"/>
    <w:rsid w:val="00227984"/>
    <w:rsid w:val="00231CD0"/>
    <w:rsid w:val="00246BCC"/>
    <w:rsid w:val="00256129"/>
    <w:rsid w:val="00257188"/>
    <w:rsid w:val="00273A3C"/>
    <w:rsid w:val="002A18D3"/>
    <w:rsid w:val="002B6BA0"/>
    <w:rsid w:val="002D3194"/>
    <w:rsid w:val="002F7E7B"/>
    <w:rsid w:val="003834DF"/>
    <w:rsid w:val="003A4A99"/>
    <w:rsid w:val="003C66A4"/>
    <w:rsid w:val="003E7E7B"/>
    <w:rsid w:val="003F0AB7"/>
    <w:rsid w:val="003F2DF9"/>
    <w:rsid w:val="0040038F"/>
    <w:rsid w:val="00420F68"/>
    <w:rsid w:val="004454D6"/>
    <w:rsid w:val="004650DF"/>
    <w:rsid w:val="0047113A"/>
    <w:rsid w:val="00475CAD"/>
    <w:rsid w:val="00494208"/>
    <w:rsid w:val="004B0D58"/>
    <w:rsid w:val="005451D4"/>
    <w:rsid w:val="00552A2F"/>
    <w:rsid w:val="00575A7D"/>
    <w:rsid w:val="005803B7"/>
    <w:rsid w:val="005A256E"/>
    <w:rsid w:val="005F342C"/>
    <w:rsid w:val="005F6551"/>
    <w:rsid w:val="00615A29"/>
    <w:rsid w:val="00651566"/>
    <w:rsid w:val="00655375"/>
    <w:rsid w:val="0067415F"/>
    <w:rsid w:val="00687F09"/>
    <w:rsid w:val="00694EFB"/>
    <w:rsid w:val="006A065D"/>
    <w:rsid w:val="006A1EE5"/>
    <w:rsid w:val="006B5506"/>
    <w:rsid w:val="00710707"/>
    <w:rsid w:val="00714756"/>
    <w:rsid w:val="00726124"/>
    <w:rsid w:val="00747551"/>
    <w:rsid w:val="00753314"/>
    <w:rsid w:val="00766935"/>
    <w:rsid w:val="007A0067"/>
    <w:rsid w:val="007A259B"/>
    <w:rsid w:val="007A67CB"/>
    <w:rsid w:val="007C7500"/>
    <w:rsid w:val="008144A2"/>
    <w:rsid w:val="008156A2"/>
    <w:rsid w:val="008426EC"/>
    <w:rsid w:val="008454AE"/>
    <w:rsid w:val="008A6D9F"/>
    <w:rsid w:val="008E2A61"/>
    <w:rsid w:val="00901E8B"/>
    <w:rsid w:val="00913E0A"/>
    <w:rsid w:val="00957510"/>
    <w:rsid w:val="0096753B"/>
    <w:rsid w:val="009727FE"/>
    <w:rsid w:val="00993A14"/>
    <w:rsid w:val="009B2E09"/>
    <w:rsid w:val="009E3B28"/>
    <w:rsid w:val="00A11838"/>
    <w:rsid w:val="00A510EB"/>
    <w:rsid w:val="00A54C8D"/>
    <w:rsid w:val="00A91A5E"/>
    <w:rsid w:val="00A932BA"/>
    <w:rsid w:val="00A968B5"/>
    <w:rsid w:val="00AE5E56"/>
    <w:rsid w:val="00AF05B9"/>
    <w:rsid w:val="00AF1D42"/>
    <w:rsid w:val="00AF5FEB"/>
    <w:rsid w:val="00B20CB3"/>
    <w:rsid w:val="00B34E10"/>
    <w:rsid w:val="00B45502"/>
    <w:rsid w:val="00B64FCB"/>
    <w:rsid w:val="00B66ED5"/>
    <w:rsid w:val="00B757DA"/>
    <w:rsid w:val="00B93B89"/>
    <w:rsid w:val="00C00C03"/>
    <w:rsid w:val="00C15A2A"/>
    <w:rsid w:val="00C31FF0"/>
    <w:rsid w:val="00C34AE8"/>
    <w:rsid w:val="00C36ADF"/>
    <w:rsid w:val="00C64AA4"/>
    <w:rsid w:val="00C9178B"/>
    <w:rsid w:val="00C93150"/>
    <w:rsid w:val="00C97554"/>
    <w:rsid w:val="00CA136F"/>
    <w:rsid w:val="00D148D1"/>
    <w:rsid w:val="00D46BE1"/>
    <w:rsid w:val="00D51C09"/>
    <w:rsid w:val="00D860E1"/>
    <w:rsid w:val="00DA2703"/>
    <w:rsid w:val="00DA6F9C"/>
    <w:rsid w:val="00DB6DF4"/>
    <w:rsid w:val="00DB7AB3"/>
    <w:rsid w:val="00DC178C"/>
    <w:rsid w:val="00DD4EE9"/>
    <w:rsid w:val="00DF721F"/>
    <w:rsid w:val="00E17801"/>
    <w:rsid w:val="00E3751A"/>
    <w:rsid w:val="00E635EF"/>
    <w:rsid w:val="00E84998"/>
    <w:rsid w:val="00E93741"/>
    <w:rsid w:val="00E94FA0"/>
    <w:rsid w:val="00EA7B07"/>
    <w:rsid w:val="00EC04FB"/>
    <w:rsid w:val="00ED4BC0"/>
    <w:rsid w:val="00F052CC"/>
    <w:rsid w:val="00F45921"/>
    <w:rsid w:val="00F47BB4"/>
    <w:rsid w:val="00F51979"/>
    <w:rsid w:val="00FE2156"/>
    <w:rsid w:val="00FF474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4E958"/>
  <w15:docId w15:val="{982A533A-1389-482B-AAB8-441130A5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unhideWhenUsed/>
    <w:qFormat/>
    <w:rsid w:val="003B040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PageNumber">
    <w:name w:val="page number"/>
    <w:basedOn w:val="DefaultParagraphFont"/>
    <w:qFormat/>
    <w:rsid w:val="00861563"/>
  </w:style>
  <w:style w:type="character" w:customStyle="1" w:styleId="TitleChar">
    <w:name w:val="Title Char"/>
    <w:link w:val="Title"/>
    <w:qFormat/>
    <w:rsid w:val="00E82D0F"/>
    <w:rPr>
      <w:b/>
      <w:bCs/>
      <w:sz w:val="24"/>
      <w:szCs w:val="24"/>
    </w:rPr>
  </w:style>
  <w:style w:type="character" w:customStyle="1" w:styleId="BodyTextChar">
    <w:name w:val="Body Text Char"/>
    <w:link w:val="BodyText"/>
    <w:qFormat/>
    <w:rsid w:val="00357F4D"/>
  </w:style>
  <w:style w:type="character" w:customStyle="1" w:styleId="FootnoteTextChar">
    <w:name w:val="Footnote Text Char"/>
    <w:basedOn w:val="DefaultParagraphFont"/>
    <w:link w:val="FootnoteText"/>
    <w:qFormat/>
    <w:rsid w:val="005A21B0"/>
  </w:style>
  <w:style w:type="character" w:customStyle="1" w:styleId="FootnoteCharacters">
    <w:name w:val="Footnote Characters"/>
    <w:qFormat/>
    <w:rsid w:val="005A21B0"/>
    <w:rPr>
      <w:vertAlign w:val="superscript"/>
    </w:rPr>
  </w:style>
  <w:style w:type="character" w:styleId="FootnoteReference">
    <w:name w:val="footnote reference"/>
    <w:rPr>
      <w:vertAlign w:val="superscript"/>
    </w:rPr>
  </w:style>
  <w:style w:type="character" w:customStyle="1" w:styleId="FooterChar">
    <w:name w:val="Footer Char"/>
    <w:basedOn w:val="DefaultParagraphFont"/>
    <w:link w:val="Footer"/>
    <w:uiPriority w:val="99"/>
    <w:qFormat/>
    <w:rsid w:val="00933EA1"/>
  </w:style>
  <w:style w:type="character" w:styleId="Hyperlink">
    <w:name w:val="Hyperlink"/>
    <w:basedOn w:val="DefaultParagraphFont"/>
    <w:rsid w:val="006F63FD"/>
    <w:rPr>
      <w:color w:val="0563C1" w:themeColor="hyperlink"/>
      <w:u w:val="single"/>
    </w:rPr>
  </w:style>
  <w:style w:type="character" w:customStyle="1" w:styleId="BalloonTextChar">
    <w:name w:val="Balloon Text Char"/>
    <w:basedOn w:val="DefaultParagraphFont"/>
    <w:link w:val="BalloonText"/>
    <w:qFormat/>
    <w:rsid w:val="006B4F9A"/>
    <w:rPr>
      <w:rFonts w:ascii="Segoe UI" w:hAnsi="Segoe UI" w:cs="Segoe UI"/>
      <w:sz w:val="18"/>
      <w:szCs w:val="18"/>
    </w:rPr>
  </w:style>
  <w:style w:type="character" w:styleId="FollowedHyperlink">
    <w:name w:val="FollowedHyperlink"/>
    <w:basedOn w:val="DefaultParagraphFont"/>
    <w:rsid w:val="00162450"/>
    <w:rPr>
      <w:color w:val="954F72" w:themeColor="followedHyperlink"/>
      <w:u w:val="single"/>
    </w:rPr>
  </w:style>
  <w:style w:type="character" w:customStyle="1" w:styleId="ilfuvd">
    <w:name w:val="ilfuvd"/>
    <w:basedOn w:val="DefaultParagraphFont"/>
    <w:qFormat/>
    <w:rsid w:val="00C358AC"/>
  </w:style>
  <w:style w:type="character" w:customStyle="1" w:styleId="Heading2Char">
    <w:name w:val="Heading 2 Char"/>
    <w:basedOn w:val="DefaultParagraphFont"/>
    <w:link w:val="Heading2"/>
    <w:qFormat/>
    <w:rsid w:val="003B0409"/>
    <w:rPr>
      <w:rFonts w:asciiTheme="majorHAnsi" w:eastAsiaTheme="majorEastAsia" w:hAnsiTheme="majorHAnsi" w:cstheme="majorBidi"/>
      <w:b/>
      <w:bCs/>
      <w:color w:val="5B9BD5" w:themeColor="accent1"/>
      <w:sz w:val="26"/>
      <w:szCs w:val="26"/>
    </w:rPr>
  </w:style>
  <w:style w:type="character" w:customStyle="1" w:styleId="headertext">
    <w:name w:val="headertext"/>
    <w:basedOn w:val="DefaultParagraphFont"/>
    <w:qFormat/>
    <w:rsid w:val="001365FF"/>
  </w:style>
  <w:style w:type="character" w:styleId="Emphasis">
    <w:name w:val="Emphasis"/>
    <w:basedOn w:val="DefaultParagraphFont"/>
    <w:uiPriority w:val="20"/>
    <w:qFormat/>
    <w:rsid w:val="001365FF"/>
    <w:rPr>
      <w:i/>
      <w:iCs/>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eastAsia="Microsoft YaHei" w:cs="Lucida Sans"/>
      <w:sz w:val="24"/>
      <w:szCs w:val="28"/>
    </w:rPr>
  </w:style>
  <w:style w:type="paragraph" w:styleId="BodyText">
    <w:name w:val="Body Text"/>
    <w:basedOn w:val="Normal"/>
    <w:link w:val="BodyTextChar"/>
    <w:rsid w:val="00FB5291"/>
    <w:pPr>
      <w:spacing w:after="120"/>
    </w:pPr>
  </w:style>
  <w:style w:type="paragraph" w:styleId="List">
    <w:name w:val="List"/>
    <w:basedOn w:val="BodyText"/>
    <w:rPr>
      <w:rFonts w:cs="Lucida Sans"/>
    </w:rPr>
  </w:style>
  <w:style w:type="paragraph" w:styleId="Caption">
    <w:name w:val="caption"/>
    <w:basedOn w:val="Normal"/>
    <w:next w:val="Normal"/>
    <w:qFormat/>
    <w:rsid w:val="00357F4D"/>
    <w:pPr>
      <w:widowControl w:val="0"/>
      <w:spacing w:line="240" w:lineRule="exact"/>
    </w:pPr>
    <w:rPr>
      <w:bCs/>
      <w:sz w:val="26"/>
    </w:rPr>
  </w:style>
  <w:style w:type="paragraph" w:customStyle="1" w:styleId="Index">
    <w:name w:val="Index"/>
    <w:basedOn w:val="Normal"/>
    <w:qFormat/>
    <w:pPr>
      <w:suppressLineNumbers/>
    </w:pPr>
    <w:rPr>
      <w:rFonts w:cs="Lucida Sans"/>
    </w:rPr>
  </w:style>
  <w:style w:type="paragraph" w:customStyle="1" w:styleId="SingleSpacing">
    <w:name w:val="Single Spacing"/>
    <w:basedOn w:val="Normal"/>
    <w:qFormat/>
    <w:pPr>
      <w:spacing w:line="254" w:lineRule="exact"/>
    </w:pPr>
  </w:style>
  <w:style w:type="paragraph" w:customStyle="1" w:styleId="15Spacing">
    <w:name w:val="1.5 Spacing"/>
    <w:basedOn w:val="Normal"/>
    <w:qFormat/>
    <w:pPr>
      <w:spacing w:line="381" w:lineRule="exact"/>
    </w:pPr>
  </w:style>
  <w:style w:type="paragraph" w:customStyle="1" w:styleId="DoubleSpacing">
    <w:name w:val="Double Spacing"/>
    <w:basedOn w:val="Normal"/>
    <w:qFormat/>
  </w:style>
  <w:style w:type="paragraph" w:customStyle="1" w:styleId="AttorneyName">
    <w:name w:val="Attorney Name"/>
    <w:basedOn w:val="SingleSpacing"/>
    <w:qFormat/>
  </w:style>
  <w:style w:type="paragraph" w:customStyle="1" w:styleId="FirmName">
    <w:name w:val="Firm Name"/>
    <w:basedOn w:val="SingleSpacing"/>
    <w:qFormat/>
    <w:pPr>
      <w:jc w:val="center"/>
    </w:pPr>
  </w:style>
  <w:style w:type="paragraph" w:customStyle="1" w:styleId="SignatureBlock">
    <w:name w:val="Signature Block"/>
    <w:basedOn w:val="SingleSpacing"/>
    <w:qFormat/>
    <w:pPr>
      <w:ind w:left="4680"/>
    </w:p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firstLine="720"/>
    </w:pPr>
    <w:rPr>
      <w:color w:val="000000"/>
      <w:sz w:val="24"/>
    </w:rPr>
  </w:style>
  <w:style w:type="paragraph" w:styleId="EnvelopeAddress">
    <w:name w:val="envelope address"/>
    <w:basedOn w:val="Normal"/>
    <w:qFormat/>
    <w:rsid w:val="00981E11"/>
    <w:pPr>
      <w:spacing w:line="240" w:lineRule="auto"/>
    </w:pPr>
    <w:rPr>
      <w:rFonts w:ascii="Arial" w:hAnsi="Arial" w:cs="Arial"/>
      <w:sz w:val="24"/>
      <w:szCs w:val="24"/>
    </w:rPr>
  </w:style>
  <w:style w:type="paragraph" w:customStyle="1" w:styleId="InsideAddress">
    <w:name w:val="InsideAddress"/>
    <w:basedOn w:val="Normal"/>
    <w:qFormat/>
    <w:rsid w:val="00FB5291"/>
    <w:pPr>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paragraph" w:customStyle="1" w:styleId="Court">
    <w:name w:val="Court"/>
    <w:basedOn w:val="Normal"/>
    <w:qFormat/>
    <w:rsid w:val="00357F4D"/>
    <w:pPr>
      <w:widowControl w:val="0"/>
      <w:spacing w:after="240" w:line="480" w:lineRule="exact"/>
      <w:jc w:val="center"/>
    </w:pPr>
    <w:rPr>
      <w:caps/>
      <w:sz w:val="26"/>
      <w:szCs w:val="26"/>
    </w:rPr>
  </w:style>
  <w:style w:type="paragraph" w:customStyle="1" w:styleId="DocumentTitle">
    <w:name w:val="Document Title"/>
    <w:basedOn w:val="Normal"/>
    <w:qFormat/>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qFormat/>
    <w:rsid w:val="00357F4D"/>
    <w:pPr>
      <w:widowControl w:val="0"/>
      <w:spacing w:line="240" w:lineRule="exact"/>
      <w:ind w:right="144"/>
    </w:pPr>
    <w:rPr>
      <w:sz w:val="26"/>
    </w:rPr>
  </w:style>
  <w:style w:type="paragraph" w:customStyle="1" w:styleId="PleadingSignature">
    <w:name w:val="Pleading Signature"/>
    <w:basedOn w:val="Normal"/>
    <w:qFormat/>
    <w:rsid w:val="00357F4D"/>
    <w:pPr>
      <w:keepNext/>
      <w:keepLines/>
      <w:widowControl w:val="0"/>
      <w:spacing w:line="240" w:lineRule="exact"/>
    </w:pPr>
    <w:rPr>
      <w:sz w:val="26"/>
    </w:rPr>
  </w:style>
  <w:style w:type="paragraph" w:customStyle="1" w:styleId="Body">
    <w:name w:val="Body"/>
    <w:basedOn w:val="Normal"/>
    <w:qFormat/>
    <w:rsid w:val="00357F4D"/>
    <w:pPr>
      <w:spacing w:line="480" w:lineRule="exact"/>
      <w:ind w:firstLine="1440"/>
    </w:pPr>
    <w:rPr>
      <w:sz w:val="26"/>
    </w:rPr>
  </w:style>
  <w:style w:type="paragraph" w:styleId="FootnoteText">
    <w:name w:val="footnote text"/>
    <w:basedOn w:val="Normal"/>
    <w:link w:val="FootnoteTextChar"/>
    <w:rsid w:val="005A21B0"/>
    <w:pPr>
      <w:spacing w:line="240" w:lineRule="auto"/>
    </w:pPr>
  </w:style>
  <w:style w:type="paragraph" w:styleId="BalloonText">
    <w:name w:val="Balloon Text"/>
    <w:basedOn w:val="Normal"/>
    <w:link w:val="BalloonTextChar"/>
    <w:qFormat/>
    <w:rsid w:val="006B4F9A"/>
    <w:pPr>
      <w:spacing w:line="240" w:lineRule="auto"/>
    </w:pPr>
    <w:rPr>
      <w:rFonts w:ascii="Segoe UI" w:hAnsi="Segoe UI" w:cs="Segoe UI"/>
      <w:sz w:val="18"/>
      <w:szCs w:val="18"/>
    </w:rPr>
  </w:style>
  <w:style w:type="paragraph" w:customStyle="1" w:styleId="Default">
    <w:name w:val="Default"/>
    <w:qFormat/>
    <w:rsid w:val="002A13FC"/>
    <w:rPr>
      <w:color w:val="000000"/>
      <w:sz w:val="24"/>
      <w:szCs w:val="24"/>
    </w:rPr>
  </w:style>
  <w:style w:type="paragraph" w:styleId="NormalWeb">
    <w:name w:val="Normal (Web)"/>
    <w:basedOn w:val="Normal"/>
    <w:uiPriority w:val="99"/>
    <w:unhideWhenUsed/>
    <w:qFormat/>
    <w:rsid w:val="001365FF"/>
    <w:pPr>
      <w:spacing w:beforeAutospacing="1" w:afterAutospacing="1" w:line="240" w:lineRule="auto"/>
    </w:pPr>
    <w:rPr>
      <w:sz w:val="24"/>
      <w:szCs w:val="24"/>
    </w:rPr>
  </w:style>
  <w:style w:type="paragraph" w:customStyle="1" w:styleId="FrameContents">
    <w:name w:val="Frame Contents"/>
    <w:basedOn w:val="Normal"/>
    <w:qFormat/>
  </w:style>
  <w:style w:type="character" w:styleId="UnresolvedMention">
    <w:name w:val="Unresolved Mention"/>
    <w:basedOn w:val="DefaultParagraphFont"/>
    <w:uiPriority w:val="99"/>
    <w:semiHidden/>
    <w:unhideWhenUsed/>
    <w:rsid w:val="00C91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4725">
      <w:bodyDiv w:val="1"/>
      <w:marLeft w:val="0"/>
      <w:marRight w:val="0"/>
      <w:marTop w:val="0"/>
      <w:marBottom w:val="0"/>
      <w:divBdr>
        <w:top w:val="none" w:sz="0" w:space="0" w:color="auto"/>
        <w:left w:val="none" w:sz="0" w:space="0" w:color="auto"/>
        <w:bottom w:val="none" w:sz="0" w:space="0" w:color="auto"/>
        <w:right w:val="none" w:sz="0" w:space="0" w:color="auto"/>
      </w:divBdr>
    </w:div>
    <w:div w:id="652414885">
      <w:bodyDiv w:val="1"/>
      <w:marLeft w:val="0"/>
      <w:marRight w:val="0"/>
      <w:marTop w:val="0"/>
      <w:marBottom w:val="0"/>
      <w:divBdr>
        <w:top w:val="none" w:sz="0" w:space="0" w:color="auto"/>
        <w:left w:val="none" w:sz="0" w:space="0" w:color="auto"/>
        <w:bottom w:val="none" w:sz="0" w:space="0" w:color="auto"/>
        <w:right w:val="none" w:sz="0" w:space="0" w:color="auto"/>
      </w:divBdr>
    </w:div>
    <w:div w:id="815147983">
      <w:bodyDiv w:val="1"/>
      <w:marLeft w:val="0"/>
      <w:marRight w:val="0"/>
      <w:marTop w:val="0"/>
      <w:marBottom w:val="0"/>
      <w:divBdr>
        <w:top w:val="none" w:sz="0" w:space="0" w:color="auto"/>
        <w:left w:val="none" w:sz="0" w:space="0" w:color="auto"/>
        <w:bottom w:val="none" w:sz="0" w:space="0" w:color="auto"/>
        <w:right w:val="none" w:sz="0" w:space="0" w:color="auto"/>
      </w:divBdr>
    </w:div>
    <w:div w:id="1523934204">
      <w:bodyDiv w:val="1"/>
      <w:marLeft w:val="0"/>
      <w:marRight w:val="0"/>
      <w:marTop w:val="0"/>
      <w:marBottom w:val="0"/>
      <w:divBdr>
        <w:top w:val="none" w:sz="0" w:space="0" w:color="auto"/>
        <w:left w:val="none" w:sz="0" w:space="0" w:color="auto"/>
        <w:bottom w:val="none" w:sz="0" w:space="0" w:color="auto"/>
        <w:right w:val="none" w:sz="0" w:space="0" w:color="auto"/>
      </w:divBdr>
      <w:divsChild>
        <w:div w:id="704064342">
          <w:marLeft w:val="0"/>
          <w:marRight w:val="0"/>
          <w:marTop w:val="0"/>
          <w:marBottom w:val="0"/>
          <w:divBdr>
            <w:top w:val="none" w:sz="0" w:space="0" w:color="auto"/>
            <w:left w:val="none" w:sz="0" w:space="0" w:color="auto"/>
            <w:bottom w:val="none" w:sz="0" w:space="0" w:color="auto"/>
            <w:right w:val="none" w:sz="0" w:space="0" w:color="auto"/>
          </w:divBdr>
        </w:div>
        <w:div w:id="690454416">
          <w:marLeft w:val="0"/>
          <w:marRight w:val="0"/>
          <w:marTop w:val="0"/>
          <w:marBottom w:val="0"/>
          <w:divBdr>
            <w:top w:val="none" w:sz="0" w:space="0" w:color="auto"/>
            <w:left w:val="none" w:sz="0" w:space="0" w:color="auto"/>
            <w:bottom w:val="none" w:sz="0" w:space="0" w:color="auto"/>
            <w:right w:val="none" w:sz="0" w:space="0" w:color="auto"/>
          </w:divBdr>
        </w:div>
        <w:div w:id="922302944">
          <w:marLeft w:val="0"/>
          <w:marRight w:val="0"/>
          <w:marTop w:val="0"/>
          <w:marBottom w:val="0"/>
          <w:divBdr>
            <w:top w:val="none" w:sz="0" w:space="0" w:color="auto"/>
            <w:left w:val="none" w:sz="0" w:space="0" w:color="auto"/>
            <w:bottom w:val="none" w:sz="0" w:space="0" w:color="auto"/>
            <w:right w:val="none" w:sz="0" w:space="0" w:color="auto"/>
          </w:divBdr>
          <w:divsChild>
            <w:div w:id="15239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76287">
      <w:bodyDiv w:val="1"/>
      <w:marLeft w:val="0"/>
      <w:marRight w:val="0"/>
      <w:marTop w:val="0"/>
      <w:marBottom w:val="0"/>
      <w:divBdr>
        <w:top w:val="none" w:sz="0" w:space="0" w:color="auto"/>
        <w:left w:val="none" w:sz="0" w:space="0" w:color="auto"/>
        <w:bottom w:val="none" w:sz="0" w:space="0" w:color="auto"/>
        <w:right w:val="none" w:sz="0" w:space="0" w:color="auto"/>
      </w:divBdr>
    </w:div>
    <w:div w:id="1997107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dsba.org/access-to-justice-program/" TargetMode="External"/><Relationship Id="rId18" Type="http://schemas.openxmlformats.org/officeDocument/2006/relationships/hyperlink" Target="http://www.massbar.org/publications" TargetMode="External"/><Relationship Id="rId26" Type="http://schemas.openxmlformats.org/officeDocument/2006/relationships/hyperlink" Target="http://www.lawhelpny.org/" TargetMode="External"/><Relationship Id="rId39" Type="http://schemas.openxmlformats.org/officeDocument/2006/relationships/header" Target="header3.xml"/><Relationship Id="rId21" Type="http://schemas.openxmlformats.org/officeDocument/2006/relationships/hyperlink" Target="https://www.massbar.org/membership/decisis" TargetMode="External"/><Relationship Id="rId34" Type="http://schemas.openxmlformats.org/officeDocument/2006/relationships/hyperlink" Target="https://njsbf.or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jsba.com/about/standing-committees/index.html" TargetMode="External"/><Relationship Id="rId20" Type="http://schemas.openxmlformats.org/officeDocument/2006/relationships/hyperlink" Target="https://www.arkbar.com/home" TargetMode="External"/><Relationship Id="rId29" Type="http://schemas.openxmlformats.org/officeDocument/2006/relationships/hyperlink" Target="https://www.ohiobar.org/membership/Practice-Resourc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ba.org/cle" TargetMode="External"/><Relationship Id="rId24" Type="http://schemas.openxmlformats.org/officeDocument/2006/relationships/hyperlink" Target="https://njsba.com/meetings-events/annual-meeting/" TargetMode="External"/><Relationship Id="rId32" Type="http://schemas.openxmlformats.org/officeDocument/2006/relationships/hyperlink" Target="https://www.coloradobarfoundation.org/"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sba.org/membergroups" TargetMode="External"/><Relationship Id="rId23" Type="http://schemas.openxmlformats.org/officeDocument/2006/relationships/hyperlink" Target="http://www.inbar.org/?lda_2016" TargetMode="External"/><Relationship Id="rId28" Type="http://schemas.openxmlformats.org/officeDocument/2006/relationships/hyperlink" Target="https://www.cobar.org/ethicsopinions" TargetMode="External"/><Relationship Id="rId36" Type="http://schemas.openxmlformats.org/officeDocument/2006/relationships/header" Target="header2.xml"/><Relationship Id="rId10" Type="http://schemas.openxmlformats.org/officeDocument/2006/relationships/hyperlink" Target="https://www.isba.org/ibj/2019/12/healthcareinsuranceforourmembers" TargetMode="External"/><Relationship Id="rId19" Type="http://schemas.openxmlformats.org/officeDocument/2006/relationships/hyperlink" Target="https://www.cobar.org/yld" TargetMode="External"/><Relationship Id="rId31" Type="http://schemas.openxmlformats.org/officeDocument/2006/relationships/hyperlink" Target="https://www.osbf.org/" TargetMode="External"/><Relationship Id="rId4" Type="http://schemas.openxmlformats.org/officeDocument/2006/relationships/settings" Target="settings.xml"/><Relationship Id="rId9" Type="http://schemas.openxmlformats.org/officeDocument/2006/relationships/hyperlink" Target="http://www.ksbar.org/?lomap" TargetMode="External"/><Relationship Id="rId14" Type="http://schemas.openxmlformats.org/officeDocument/2006/relationships/hyperlink" Target="https://careercenter.ohiobar.org/" TargetMode="External"/><Relationship Id="rId22" Type="http://schemas.openxmlformats.org/officeDocument/2006/relationships/hyperlink" Target="https://www.pabar.org/site/For-Lawyers/Committees-Commissions/Minority-Bar/Projects-and-Programs/Mentoring" TargetMode="External"/><Relationship Id="rId27" Type="http://schemas.openxmlformats.org/officeDocument/2006/relationships/hyperlink" Target="https://www.mnbar.org/about-msba/related-organizations/wills-for-heroes" TargetMode="External"/><Relationship Id="rId30" Type="http://schemas.openxmlformats.org/officeDocument/2006/relationships/hyperlink" Target="https://illinoisbarfoundation.org/" TargetMode="External"/><Relationship Id="rId35" Type="http://schemas.openxmlformats.org/officeDocument/2006/relationships/header" Target="header1.xml"/><Relationship Id="rId8" Type="http://schemas.openxmlformats.org/officeDocument/2006/relationships/hyperlink" Target="https://supreme.justia.com/cases/federal/us/367/820/" TargetMode="External"/><Relationship Id="rId3" Type="http://schemas.openxmlformats.org/officeDocument/2006/relationships/styles" Target="styles.xml"/><Relationship Id="rId12" Type="http://schemas.openxmlformats.org/officeDocument/2006/relationships/hyperlink" Target="https://www.inbar.org/search/" TargetMode="External"/><Relationship Id="rId17" Type="http://schemas.openxmlformats.org/officeDocument/2006/relationships/hyperlink" Target="http://www.massbar.org/for-the-public/need-a-lawyer" TargetMode="External"/><Relationship Id="rId25" Type="http://schemas.openxmlformats.org/officeDocument/2006/relationships/hyperlink" Target="http://ace.arkbar.com/armocktrial/home" TargetMode="External"/><Relationship Id="rId33" Type="http://schemas.openxmlformats.org/officeDocument/2006/relationships/hyperlink" Target="https://www.iowabar.org/?pg=ISBAFoundation"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truthout.org/articles/banned-in-phoenix-how-the-arizona-state-bar-association-considers-analysis-of-international-law-in-the-middle-east-too-controversial/" TargetMode="External"/><Relationship Id="rId3" Type="http://schemas.openxmlformats.org/officeDocument/2006/relationships/hyperlink" Target="https://www.goldwaterinstitute.org/goldwater-fights-for-free-speech-in-oregon-federal-court/" TargetMode="External"/><Relationship Id="rId7" Type="http://schemas.openxmlformats.org/officeDocument/2006/relationships/hyperlink" Target="https://azmirror.com/2024/02/28/az-republicans-continue-to-take-aim-at-dei-training-with-bill-to-outlaw-it-in-government/" TargetMode="External"/><Relationship Id="rId2" Type="http://schemas.openxmlformats.org/officeDocument/2006/relationships/hyperlink" Target="https://www.pbs.org/newshour/politics/kansas-has-a-new-anti-dei-law-but-gov-kelly-has-vetoed-bills-on-abortion-and-even-police-dogs" TargetMode="External"/><Relationship Id="rId1" Type="http://schemas.openxmlformats.org/officeDocument/2006/relationships/hyperlink" Target="https://www.courthousenews.com/magistrate-judge-sides-with-professor-in-first-amendment-suit-over-bakersfield-college-diversity-policies/" TargetMode="External"/><Relationship Id="rId6" Type="http://schemas.openxmlformats.org/officeDocument/2006/relationships/hyperlink" Target="https://lalegalethics.org/fifth-circuit-rules-that-mandating-bar-association-membership-violates-lawyers-first-amendment-rights/" TargetMode="External"/><Relationship Id="rId11" Type="http://schemas.openxmlformats.org/officeDocument/2006/relationships/hyperlink" Target="https://www.law.georgetown.edu/faculty/michael-s-frisch/" TargetMode="External"/><Relationship Id="rId5" Type="http://schemas.openxmlformats.org/officeDocument/2006/relationships/hyperlink" Target="https://lalegalethics.org/wp-content/uploads/2021-07-02-US5CIR-Opinion-in-LA-Boudreaux.pdf" TargetMode="External"/><Relationship Id="rId10" Type="http://schemas.openxmlformats.org/officeDocument/2006/relationships/hyperlink" Target="https://mnbar.org/about-msba" TargetMode="External"/><Relationship Id="rId4" Type="http://schemas.openxmlformats.org/officeDocument/2006/relationships/hyperlink" Target="https://lalegalethics.org/wp-content/uploads/2021-07-02-US5CIR-Opinion-in-TX-McDonald.pdf" TargetMode="External"/><Relationship Id="rId9" Type="http://schemas.openxmlformats.org/officeDocument/2006/relationships/hyperlink" Target="https://www.iowabar.org/?pg=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4374A50-04D4-4F59-B676-1B87DEAD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Comment in Support of GI Petition to Bifurcate SBA</vt:lpstr>
    </vt:vector>
  </TitlesOfParts>
  <Company>Hernandez Law Office</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in Support of GI Petition to Bifurcate SBA</dc:title>
  <dc:subject/>
  <dc:creator>Mauricio R. Hernandez</dc:creator>
  <dc:description/>
  <cp:lastModifiedBy>M. R. Hernandez</cp:lastModifiedBy>
  <cp:revision>6</cp:revision>
  <cp:lastPrinted>2024-04-24T01:23:00Z</cp:lastPrinted>
  <dcterms:created xsi:type="dcterms:W3CDTF">2024-04-24T18:48:00Z</dcterms:created>
  <dcterms:modified xsi:type="dcterms:W3CDTF">2024-04-24T19:05:00Z</dcterms:modified>
  <cp:contentStatus>Final</cp:contentStatus>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true</vt:bool>
  </property>
  <property fmtid="{D5CDD505-2E9C-101B-9397-08002B2CF9AE}" pid="4" name="Version">
    <vt:i4>99022200</vt:i4>
  </property>
  <property fmtid="{D5CDD505-2E9C-101B-9397-08002B2CF9AE}" pid="5" name="_NewReviewCycle">
    <vt:lpwstr/>
  </property>
</Properties>
</file>