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A077" w14:textId="77777777" w:rsidR="003C11A1" w:rsidRDefault="003C11A1" w:rsidP="003C11A1">
      <w:pPr>
        <w:pStyle w:val="Heading1"/>
        <w:jc w:val="both"/>
        <w:rPr>
          <w:rFonts w:ascii="Book Antiqua" w:hAnsi="Book Antiqua"/>
          <w:bCs/>
          <w:szCs w:val="28"/>
        </w:rPr>
      </w:pPr>
      <w:r>
        <w:rPr>
          <w:rFonts w:ascii="Book Antiqua" w:hAnsi="Book Antiqua"/>
          <w:bCs/>
          <w:szCs w:val="28"/>
        </w:rPr>
        <w:t>Elizabeth Burton Ortiz</w:t>
      </w:r>
    </w:p>
    <w:p w14:paraId="0382E7D7" w14:textId="77777777" w:rsidR="003C11A1" w:rsidRPr="00C951BA" w:rsidRDefault="003C11A1" w:rsidP="003C11A1">
      <w:pPr>
        <w:pStyle w:val="Heading4"/>
        <w:jc w:val="both"/>
        <w:rPr>
          <w:rFonts w:ascii="Book Antiqua" w:hAnsi="Book Antiqua"/>
          <w:b w:val="0"/>
          <w:sz w:val="28"/>
          <w:szCs w:val="28"/>
        </w:rPr>
      </w:pPr>
      <w:r>
        <w:rPr>
          <w:rFonts w:ascii="Book Antiqua" w:hAnsi="Book Antiqua"/>
          <w:b w:val="0"/>
          <w:sz w:val="28"/>
          <w:szCs w:val="28"/>
        </w:rPr>
        <w:t>ARIZONA PROSECUTING ATTORNEYS’</w:t>
      </w:r>
    </w:p>
    <w:p w14:paraId="5004E544" w14:textId="77777777" w:rsidR="003C11A1" w:rsidRPr="00C951BA" w:rsidRDefault="003C11A1" w:rsidP="003C11A1">
      <w:pPr>
        <w:spacing w:after="0"/>
        <w:jc w:val="both"/>
        <w:rPr>
          <w:rFonts w:ascii="Book Antiqua" w:hAnsi="Book Antiqua" w:cs="Times New Roman"/>
          <w:sz w:val="28"/>
          <w:szCs w:val="28"/>
        </w:rPr>
      </w:pPr>
      <w:r>
        <w:rPr>
          <w:rFonts w:ascii="Book Antiqua" w:hAnsi="Book Antiqua" w:cs="Times New Roman"/>
          <w:sz w:val="28"/>
          <w:szCs w:val="28"/>
        </w:rPr>
        <w:t>ADVISORY COUNCIL</w:t>
      </w:r>
    </w:p>
    <w:p w14:paraId="66DC4A73" w14:textId="77777777" w:rsidR="003C11A1" w:rsidRPr="00C951BA" w:rsidRDefault="003C11A1" w:rsidP="003C11A1">
      <w:pPr>
        <w:spacing w:after="0"/>
        <w:jc w:val="both"/>
        <w:rPr>
          <w:rFonts w:ascii="Book Antiqua" w:hAnsi="Book Antiqua" w:cs="Times New Roman"/>
          <w:sz w:val="28"/>
          <w:szCs w:val="28"/>
        </w:rPr>
      </w:pPr>
      <w:r>
        <w:rPr>
          <w:rFonts w:ascii="Book Antiqua" w:hAnsi="Book Antiqua" w:cs="Times New Roman"/>
          <w:sz w:val="28"/>
          <w:szCs w:val="28"/>
        </w:rPr>
        <w:t>3838 N. Central Avenue, Suite 850</w:t>
      </w:r>
    </w:p>
    <w:p w14:paraId="2C211B6F" w14:textId="77777777" w:rsidR="003C11A1" w:rsidRPr="00C951BA" w:rsidRDefault="003C11A1" w:rsidP="003C11A1">
      <w:pPr>
        <w:spacing w:after="0"/>
        <w:jc w:val="both"/>
        <w:rPr>
          <w:rFonts w:ascii="Book Antiqua" w:hAnsi="Book Antiqua" w:cs="Times New Roman"/>
          <w:sz w:val="28"/>
          <w:szCs w:val="28"/>
        </w:rPr>
      </w:pPr>
      <w:r w:rsidRPr="00C951BA">
        <w:rPr>
          <w:rFonts w:ascii="Book Antiqua" w:hAnsi="Book Antiqua" w:cs="Times New Roman"/>
          <w:sz w:val="28"/>
          <w:szCs w:val="28"/>
        </w:rPr>
        <w:t>P</w:t>
      </w:r>
      <w:r>
        <w:rPr>
          <w:rFonts w:ascii="Book Antiqua" w:hAnsi="Book Antiqua" w:cs="Times New Roman"/>
          <w:sz w:val="28"/>
          <w:szCs w:val="28"/>
        </w:rPr>
        <w:t>hoenix, Arizona 85012</w:t>
      </w:r>
    </w:p>
    <w:p w14:paraId="0D263C42" w14:textId="77777777" w:rsidR="003C11A1" w:rsidRDefault="003C11A1" w:rsidP="003C11A1">
      <w:pPr>
        <w:autoSpaceDE w:val="0"/>
        <w:autoSpaceDN w:val="0"/>
        <w:adjustRightInd w:val="0"/>
        <w:spacing w:after="0"/>
        <w:jc w:val="both"/>
        <w:rPr>
          <w:rFonts w:ascii="Book Antiqua" w:hAnsi="Book Antiqua" w:cs="Times New Roman"/>
          <w:sz w:val="28"/>
          <w:szCs w:val="28"/>
        </w:rPr>
      </w:pPr>
      <w:r>
        <w:rPr>
          <w:rFonts w:ascii="Book Antiqua" w:hAnsi="Book Antiqua" w:cs="Times New Roman"/>
          <w:sz w:val="28"/>
          <w:szCs w:val="28"/>
        </w:rPr>
        <w:t>Tel. (602) 542-7222</w:t>
      </w:r>
    </w:p>
    <w:p w14:paraId="0EE255AB" w14:textId="3CC5E14F" w:rsidR="003C11A1" w:rsidRDefault="481DA025" w:rsidP="003C11A1">
      <w:pPr>
        <w:autoSpaceDE w:val="0"/>
        <w:autoSpaceDN w:val="0"/>
        <w:adjustRightInd w:val="0"/>
        <w:spacing w:after="0"/>
        <w:jc w:val="both"/>
        <w:rPr>
          <w:rFonts w:ascii="Book Antiqua" w:hAnsi="Book Antiqua" w:cs="Times New Roman"/>
          <w:sz w:val="28"/>
          <w:szCs w:val="28"/>
        </w:rPr>
      </w:pPr>
      <w:r w:rsidRPr="481DA025">
        <w:rPr>
          <w:rFonts w:ascii="Book Antiqua" w:hAnsi="Book Antiqua" w:cs="Times New Roman"/>
          <w:sz w:val="28"/>
          <w:szCs w:val="28"/>
        </w:rPr>
        <w:t>Fax (602) 274-4215</w:t>
      </w:r>
    </w:p>
    <w:p w14:paraId="77316392" w14:textId="495B2853" w:rsidR="00B7291B" w:rsidRPr="00C951BA" w:rsidRDefault="00B7291B" w:rsidP="00B7291B">
      <w:pPr>
        <w:spacing w:after="0"/>
        <w:jc w:val="both"/>
        <w:rPr>
          <w:rFonts w:ascii="Book Antiqua" w:hAnsi="Book Antiqua" w:cs="Times New Roman"/>
          <w:sz w:val="28"/>
          <w:szCs w:val="28"/>
        </w:rPr>
      </w:pPr>
      <w:r>
        <w:rPr>
          <w:rFonts w:ascii="Book Antiqua" w:hAnsi="Book Antiqua" w:cs="Times New Roman"/>
          <w:sz w:val="28"/>
          <w:szCs w:val="28"/>
        </w:rPr>
        <w:t>(</w:t>
      </w:r>
      <w:r>
        <w:rPr>
          <w:rFonts w:ascii="Book Antiqua" w:hAnsi="Book Antiqua" w:cs="Times New Roman"/>
          <w:sz w:val="28"/>
          <w:szCs w:val="28"/>
        </w:rPr>
        <w:t>State Bar No. 012838</w:t>
      </w:r>
      <w:r>
        <w:rPr>
          <w:rFonts w:ascii="Book Antiqua" w:hAnsi="Book Antiqua" w:cs="Times New Roman"/>
          <w:sz w:val="28"/>
          <w:szCs w:val="28"/>
        </w:rPr>
        <w:t>)</w:t>
      </w:r>
    </w:p>
    <w:p w14:paraId="70865DE9" w14:textId="7D6C7B15" w:rsidR="481DA025" w:rsidRDefault="481DA025" w:rsidP="481DA025">
      <w:pPr>
        <w:pStyle w:val="Heading1"/>
        <w:jc w:val="both"/>
        <w:rPr>
          <w:rFonts w:ascii="Book Antiqua" w:hAnsi="Book Antiqua"/>
        </w:rPr>
      </w:pPr>
    </w:p>
    <w:p w14:paraId="13DDBFED" w14:textId="77777777" w:rsidR="00AB4F58" w:rsidRDefault="00AB4F58" w:rsidP="00E21B93">
      <w:pPr>
        <w:pStyle w:val="Heading1"/>
        <w:jc w:val="both"/>
        <w:rPr>
          <w:rFonts w:ascii="Book Antiqua" w:hAnsi="Book Antiqua"/>
          <w:bCs/>
          <w:szCs w:val="28"/>
        </w:rPr>
      </w:pPr>
      <w:r>
        <w:rPr>
          <w:rFonts w:ascii="Book Antiqua" w:hAnsi="Book Antiqua"/>
          <w:bCs/>
          <w:szCs w:val="28"/>
        </w:rPr>
        <w:t>Rachel H. Mitchell</w:t>
      </w:r>
    </w:p>
    <w:p w14:paraId="29DE5004" w14:textId="64FF0943" w:rsidR="00AB4F58" w:rsidRDefault="00AB4F58" w:rsidP="00E21B93">
      <w:pPr>
        <w:pStyle w:val="Heading1"/>
        <w:jc w:val="both"/>
        <w:rPr>
          <w:rFonts w:ascii="Book Antiqua" w:hAnsi="Book Antiqua"/>
          <w:bCs/>
          <w:szCs w:val="28"/>
        </w:rPr>
      </w:pPr>
      <w:r>
        <w:rPr>
          <w:rFonts w:ascii="Book Antiqua" w:hAnsi="Book Antiqua"/>
          <w:bCs/>
          <w:szCs w:val="28"/>
        </w:rPr>
        <w:t>M</w:t>
      </w:r>
      <w:r w:rsidR="003C11A1">
        <w:rPr>
          <w:rFonts w:ascii="Book Antiqua" w:hAnsi="Book Antiqua"/>
          <w:bCs/>
          <w:szCs w:val="28"/>
        </w:rPr>
        <w:t>ARICOPA COUNTY ATTORNEY</w:t>
      </w:r>
    </w:p>
    <w:p w14:paraId="64A94DAD" w14:textId="77777777" w:rsidR="007C58B4" w:rsidRDefault="481DA025" w:rsidP="00E21B93">
      <w:pPr>
        <w:pStyle w:val="Heading1"/>
        <w:jc w:val="both"/>
        <w:rPr>
          <w:rFonts w:ascii="Book Antiqua" w:hAnsi="Book Antiqua"/>
          <w:bCs/>
          <w:szCs w:val="28"/>
        </w:rPr>
      </w:pPr>
      <w:r w:rsidRPr="481DA025">
        <w:rPr>
          <w:rFonts w:ascii="Book Antiqua" w:hAnsi="Book Antiqua"/>
        </w:rPr>
        <w:t>(Firm State Bar No. 0032000)</w:t>
      </w:r>
    </w:p>
    <w:p w14:paraId="70A096F6" w14:textId="77777777" w:rsidR="00B7291B" w:rsidRDefault="00B7291B" w:rsidP="481DA025">
      <w:pPr>
        <w:spacing w:after="0"/>
        <w:rPr>
          <w:rFonts w:ascii="Book Antiqua" w:eastAsia="Book Antiqua" w:hAnsi="Book Antiqua" w:cs="Book Antiqua"/>
          <w:sz w:val="28"/>
          <w:szCs w:val="28"/>
        </w:rPr>
      </w:pPr>
    </w:p>
    <w:p w14:paraId="6E656E93" w14:textId="4926CD58" w:rsidR="007C58B4" w:rsidRDefault="00B7291B" w:rsidP="481DA025">
      <w:pPr>
        <w:spacing w:after="0"/>
        <w:rPr>
          <w:rFonts w:ascii="Book Antiqua" w:eastAsia="Book Antiqua" w:hAnsi="Book Antiqua" w:cs="Book Antiqua"/>
          <w:sz w:val="28"/>
          <w:szCs w:val="28"/>
        </w:rPr>
      </w:pPr>
      <w:r>
        <w:rPr>
          <w:rFonts w:ascii="Book Antiqua" w:eastAsia="Book Antiqua" w:hAnsi="Book Antiqua" w:cs="Book Antiqua"/>
          <w:sz w:val="28"/>
          <w:szCs w:val="28"/>
        </w:rPr>
        <w:t>BLAINE GADOW</w:t>
      </w:r>
    </w:p>
    <w:p w14:paraId="7429D1D0" w14:textId="44F8C4A0" w:rsidR="00B7291B" w:rsidRDefault="00B7291B" w:rsidP="481DA025">
      <w:pPr>
        <w:spacing w:after="0"/>
        <w:rPr>
          <w:rFonts w:ascii="Book Antiqua" w:eastAsia="Book Antiqua" w:hAnsi="Book Antiqua" w:cs="Book Antiqua"/>
          <w:sz w:val="28"/>
          <w:szCs w:val="28"/>
        </w:rPr>
      </w:pPr>
      <w:r>
        <w:rPr>
          <w:rFonts w:ascii="Book Antiqua" w:eastAsia="Book Antiqua" w:hAnsi="Book Antiqua" w:cs="Book Antiqua"/>
          <w:sz w:val="28"/>
          <w:szCs w:val="28"/>
        </w:rPr>
        <w:t>CHIEF DEPUTY</w:t>
      </w:r>
    </w:p>
    <w:p w14:paraId="37C047DD" w14:textId="315DE211" w:rsidR="00C23385" w:rsidRDefault="481DA025" w:rsidP="481DA025">
      <w:pPr>
        <w:spacing w:after="0"/>
        <w:rPr>
          <w:rFonts w:ascii="Book Antiqua" w:eastAsia="Book Antiqua" w:hAnsi="Book Antiqua" w:cs="Book Antiqua"/>
          <w:sz w:val="28"/>
          <w:szCs w:val="28"/>
        </w:rPr>
      </w:pPr>
      <w:r w:rsidRPr="481DA025">
        <w:rPr>
          <w:rFonts w:ascii="Book Antiqua" w:eastAsia="Book Antiqua" w:hAnsi="Book Antiqua" w:cs="Book Antiqua"/>
          <w:sz w:val="28"/>
          <w:szCs w:val="28"/>
        </w:rPr>
        <w:t>225 West Madison Street</w:t>
      </w:r>
    </w:p>
    <w:p w14:paraId="6A0C231B" w14:textId="4767ACB8" w:rsidR="009D06D3" w:rsidRDefault="481DA025" w:rsidP="481DA025">
      <w:pPr>
        <w:spacing w:after="0"/>
        <w:rPr>
          <w:rFonts w:ascii="Book Antiqua" w:eastAsia="Book Antiqua" w:hAnsi="Book Antiqua" w:cs="Book Antiqua"/>
          <w:sz w:val="28"/>
          <w:szCs w:val="28"/>
        </w:rPr>
      </w:pPr>
      <w:r w:rsidRPr="481DA025">
        <w:rPr>
          <w:rFonts w:ascii="Book Antiqua" w:eastAsia="Book Antiqua" w:hAnsi="Book Antiqua" w:cs="Book Antiqua"/>
          <w:sz w:val="28"/>
          <w:szCs w:val="28"/>
        </w:rPr>
        <w:t>Phoenix, Arizona 85003</w:t>
      </w:r>
    </w:p>
    <w:p w14:paraId="6A34513B" w14:textId="1B29084C" w:rsidR="009D06D3" w:rsidRDefault="481DA025" w:rsidP="481DA025">
      <w:pPr>
        <w:spacing w:after="0"/>
        <w:rPr>
          <w:rFonts w:ascii="Book Antiqua" w:eastAsia="Book Antiqua" w:hAnsi="Book Antiqua" w:cs="Book Antiqua"/>
          <w:sz w:val="28"/>
          <w:szCs w:val="28"/>
        </w:rPr>
      </w:pPr>
      <w:r w:rsidRPr="481DA025">
        <w:rPr>
          <w:rFonts w:ascii="Book Antiqua" w:eastAsia="Book Antiqua" w:hAnsi="Book Antiqua" w:cs="Book Antiqua"/>
          <w:sz w:val="28"/>
          <w:szCs w:val="28"/>
        </w:rPr>
        <w:t>Tel. (602) 506-3800</w:t>
      </w:r>
    </w:p>
    <w:p w14:paraId="7B887949" w14:textId="1BA4EDCF" w:rsidR="00B7291B" w:rsidRPr="00B7291B" w:rsidRDefault="00B7291B" w:rsidP="481DA025">
      <w:pPr>
        <w:spacing w:after="0"/>
        <w:rPr>
          <w:rFonts w:ascii="Book Antiqua" w:eastAsia="Book Antiqua" w:hAnsi="Book Antiqua" w:cs="Book Antiqua"/>
          <w:sz w:val="24"/>
          <w:szCs w:val="24"/>
        </w:rPr>
      </w:pPr>
      <w:r w:rsidRPr="00B7291B">
        <w:rPr>
          <w:rFonts w:ascii="Book Antiqua" w:eastAsia="Book Antiqua" w:hAnsi="Book Antiqua" w:cs="Book Antiqua"/>
          <w:sz w:val="24"/>
          <w:szCs w:val="24"/>
        </w:rPr>
        <w:t>(STATE BAR NUMBER 015741)</w:t>
      </w:r>
    </w:p>
    <w:p w14:paraId="1CD00087" w14:textId="77777777" w:rsidR="00E21B93" w:rsidRPr="00C951BA" w:rsidRDefault="00E21B93" w:rsidP="00E21B93">
      <w:pPr>
        <w:autoSpaceDE w:val="0"/>
        <w:autoSpaceDN w:val="0"/>
        <w:adjustRightInd w:val="0"/>
        <w:spacing w:after="0"/>
        <w:jc w:val="both"/>
        <w:rPr>
          <w:rFonts w:ascii="Book Antiqua" w:hAnsi="Book Antiqua" w:cs="Times New Roman"/>
          <w:b/>
          <w:sz w:val="28"/>
          <w:szCs w:val="28"/>
        </w:rPr>
      </w:pPr>
    </w:p>
    <w:p w14:paraId="72B10751" w14:textId="77777777" w:rsidR="00E21B93" w:rsidRPr="00C951BA" w:rsidRDefault="00E21B93" w:rsidP="00E21B93">
      <w:pPr>
        <w:autoSpaceDE w:val="0"/>
        <w:autoSpaceDN w:val="0"/>
        <w:adjustRightInd w:val="0"/>
        <w:spacing w:after="0" w:line="360" w:lineRule="auto"/>
        <w:jc w:val="center"/>
        <w:rPr>
          <w:rFonts w:ascii="Book Antiqua" w:hAnsi="Book Antiqua" w:cs="Times New Roman"/>
          <w:b/>
          <w:sz w:val="28"/>
          <w:szCs w:val="28"/>
        </w:rPr>
      </w:pPr>
      <w:r w:rsidRPr="00C951BA">
        <w:rPr>
          <w:rFonts w:ascii="Book Antiqua" w:hAnsi="Book Antiqua" w:cs="Times New Roman"/>
          <w:b/>
          <w:sz w:val="28"/>
          <w:szCs w:val="28"/>
        </w:rPr>
        <w:t>IN THE SUPREME COURT OF THE STATE OF ARIZONA</w:t>
      </w:r>
    </w:p>
    <w:p w14:paraId="261DEE30" w14:textId="77777777" w:rsidR="00E21B93" w:rsidRPr="00C951BA" w:rsidRDefault="00E21B93" w:rsidP="00E21B93">
      <w:pPr>
        <w:tabs>
          <w:tab w:val="left" w:pos="5144"/>
        </w:tabs>
        <w:autoSpaceDE w:val="0"/>
        <w:autoSpaceDN w:val="0"/>
        <w:adjustRightInd w:val="0"/>
        <w:spacing w:after="0"/>
        <w:ind w:left="3600" w:firstLine="720"/>
        <w:jc w:val="both"/>
        <w:rPr>
          <w:rFonts w:ascii="Book Antiqua" w:hAnsi="Book Antiqua"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E21B93" w:rsidRPr="00C951BA" w14:paraId="19B8DC33" w14:textId="77777777" w:rsidTr="00503CBA">
        <w:tc>
          <w:tcPr>
            <w:tcW w:w="4788" w:type="dxa"/>
            <w:tcBorders>
              <w:top w:val="nil"/>
              <w:left w:val="nil"/>
            </w:tcBorders>
          </w:tcPr>
          <w:p w14:paraId="2D97F0AE" w14:textId="77777777" w:rsidR="00E21B93" w:rsidRDefault="00E21B93" w:rsidP="00503CBA">
            <w:pPr>
              <w:spacing w:after="0"/>
              <w:rPr>
                <w:rFonts w:ascii="Book Antiqua" w:hAnsi="Book Antiqua" w:cs="Times New Roman"/>
                <w:b/>
                <w:color w:val="000000"/>
                <w:sz w:val="28"/>
                <w:szCs w:val="28"/>
              </w:rPr>
            </w:pPr>
            <w:r>
              <w:rPr>
                <w:rFonts w:ascii="Book Antiqua" w:hAnsi="Book Antiqua" w:cs="Times New Roman"/>
                <w:b/>
                <w:color w:val="000000"/>
                <w:sz w:val="28"/>
                <w:szCs w:val="28"/>
              </w:rPr>
              <w:t>In the Matter of:</w:t>
            </w:r>
          </w:p>
          <w:p w14:paraId="43923ECC" w14:textId="77777777" w:rsidR="00E21B93" w:rsidRDefault="00E21B93" w:rsidP="00503CBA">
            <w:pPr>
              <w:spacing w:after="0"/>
              <w:rPr>
                <w:rFonts w:ascii="Book Antiqua" w:hAnsi="Book Antiqua" w:cs="Times New Roman"/>
                <w:b/>
                <w:color w:val="000000"/>
                <w:sz w:val="28"/>
                <w:szCs w:val="28"/>
              </w:rPr>
            </w:pPr>
          </w:p>
          <w:p w14:paraId="14657E60" w14:textId="77777777" w:rsidR="005615A5" w:rsidRDefault="00E21B93" w:rsidP="00503CBA">
            <w:pPr>
              <w:spacing w:after="0"/>
              <w:rPr>
                <w:rFonts w:ascii="Book Antiqua" w:hAnsi="Book Antiqua" w:cs="Times New Roman"/>
                <w:b/>
                <w:color w:val="000000"/>
                <w:sz w:val="28"/>
                <w:szCs w:val="28"/>
              </w:rPr>
            </w:pPr>
            <w:r w:rsidRPr="00C951BA">
              <w:rPr>
                <w:rFonts w:ascii="Book Antiqua" w:hAnsi="Book Antiqua" w:cs="Times New Roman"/>
                <w:b/>
                <w:color w:val="000000"/>
                <w:sz w:val="28"/>
                <w:szCs w:val="28"/>
              </w:rPr>
              <w:t xml:space="preserve">PETITION TO AMEND </w:t>
            </w:r>
            <w:r>
              <w:rPr>
                <w:rFonts w:ascii="Book Antiqua" w:hAnsi="Book Antiqua" w:cs="Times New Roman"/>
                <w:b/>
                <w:color w:val="000000"/>
                <w:sz w:val="28"/>
                <w:szCs w:val="28"/>
              </w:rPr>
              <w:t xml:space="preserve">         </w:t>
            </w:r>
          </w:p>
          <w:p w14:paraId="381C58F7" w14:textId="176B8F4F" w:rsidR="00E21B93" w:rsidRDefault="00E21B93" w:rsidP="00503CBA">
            <w:pPr>
              <w:spacing w:after="0"/>
              <w:rPr>
                <w:rFonts w:ascii="Book Antiqua" w:hAnsi="Book Antiqua" w:cs="Times New Roman"/>
                <w:b/>
                <w:color w:val="000000"/>
                <w:sz w:val="28"/>
                <w:szCs w:val="28"/>
              </w:rPr>
            </w:pPr>
            <w:r>
              <w:rPr>
                <w:rFonts w:ascii="Book Antiqua" w:hAnsi="Book Antiqua" w:cs="Times New Roman"/>
                <w:b/>
                <w:color w:val="000000"/>
                <w:sz w:val="28"/>
                <w:szCs w:val="28"/>
              </w:rPr>
              <w:t xml:space="preserve">RULE 17.4 AND RULE 38 </w:t>
            </w:r>
          </w:p>
          <w:p w14:paraId="079D2453" w14:textId="77777777" w:rsidR="00E21B93" w:rsidRDefault="00E21B93" w:rsidP="00503CBA">
            <w:pPr>
              <w:spacing w:after="0"/>
              <w:rPr>
                <w:rFonts w:ascii="Book Antiqua" w:hAnsi="Book Antiqua" w:cs="Times New Roman"/>
                <w:b/>
                <w:color w:val="000000"/>
                <w:sz w:val="28"/>
                <w:szCs w:val="28"/>
              </w:rPr>
            </w:pPr>
            <w:r>
              <w:rPr>
                <w:rFonts w:ascii="Book Antiqua" w:hAnsi="Book Antiqua" w:cs="Times New Roman"/>
                <w:b/>
                <w:color w:val="000000"/>
                <w:sz w:val="28"/>
                <w:szCs w:val="28"/>
              </w:rPr>
              <w:t xml:space="preserve">OF THE </w:t>
            </w:r>
            <w:r w:rsidRPr="00C951BA">
              <w:rPr>
                <w:rFonts w:ascii="Book Antiqua" w:hAnsi="Book Antiqua" w:cs="Times New Roman"/>
                <w:b/>
                <w:color w:val="000000"/>
                <w:sz w:val="28"/>
                <w:szCs w:val="28"/>
              </w:rPr>
              <w:t xml:space="preserve">ARIZONA RULES </w:t>
            </w:r>
          </w:p>
          <w:p w14:paraId="65475F2F" w14:textId="328DDE7D" w:rsidR="00E21B93" w:rsidRPr="00C951BA" w:rsidRDefault="00E21B93" w:rsidP="00503CBA">
            <w:pPr>
              <w:spacing w:after="0"/>
              <w:rPr>
                <w:rFonts w:ascii="Book Antiqua" w:hAnsi="Book Antiqua" w:cs="Times New Roman"/>
                <w:b/>
                <w:color w:val="000000"/>
                <w:sz w:val="28"/>
                <w:szCs w:val="28"/>
              </w:rPr>
            </w:pPr>
            <w:r>
              <w:rPr>
                <w:rFonts w:ascii="Book Antiqua" w:hAnsi="Book Antiqua" w:cs="Times New Roman"/>
                <w:b/>
                <w:color w:val="000000"/>
                <w:sz w:val="28"/>
                <w:szCs w:val="28"/>
              </w:rPr>
              <w:t>OF CRIMINAL PROCEDURE</w:t>
            </w:r>
          </w:p>
        </w:tc>
        <w:tc>
          <w:tcPr>
            <w:tcW w:w="4788" w:type="dxa"/>
            <w:tcBorders>
              <w:top w:val="nil"/>
              <w:bottom w:val="nil"/>
              <w:right w:val="nil"/>
            </w:tcBorders>
          </w:tcPr>
          <w:p w14:paraId="7E1B6D4E" w14:textId="1DC071E7" w:rsidR="00E21B93" w:rsidRPr="00C951BA" w:rsidRDefault="00E21B93" w:rsidP="00503CBA">
            <w:pPr>
              <w:autoSpaceDE w:val="0"/>
              <w:autoSpaceDN w:val="0"/>
              <w:adjustRightInd w:val="0"/>
              <w:spacing w:after="0"/>
              <w:jc w:val="both"/>
              <w:rPr>
                <w:rFonts w:ascii="Book Antiqua" w:hAnsi="Book Antiqua" w:cs="Times New Roman"/>
                <w:b/>
                <w:sz w:val="28"/>
                <w:szCs w:val="28"/>
              </w:rPr>
            </w:pPr>
            <w:r w:rsidRPr="00C951BA">
              <w:rPr>
                <w:rFonts w:ascii="Book Antiqua" w:hAnsi="Book Antiqua" w:cs="Times New Roman"/>
                <w:b/>
                <w:color w:val="000000"/>
                <w:sz w:val="28"/>
                <w:szCs w:val="28"/>
              </w:rPr>
              <w:t>In Re: R-2</w:t>
            </w:r>
            <w:r>
              <w:rPr>
                <w:rFonts w:ascii="Book Antiqua" w:hAnsi="Book Antiqua" w:cs="Times New Roman"/>
                <w:b/>
                <w:color w:val="000000"/>
                <w:sz w:val="28"/>
                <w:szCs w:val="28"/>
              </w:rPr>
              <w:t>4-00</w:t>
            </w:r>
            <w:r w:rsidR="00103EA7">
              <w:rPr>
                <w:rFonts w:ascii="Book Antiqua" w:hAnsi="Book Antiqua" w:cs="Times New Roman"/>
                <w:b/>
                <w:color w:val="000000"/>
                <w:sz w:val="28"/>
                <w:szCs w:val="28"/>
              </w:rPr>
              <w:t>25</w:t>
            </w:r>
          </w:p>
          <w:p w14:paraId="7D3D445D" w14:textId="77777777" w:rsidR="00E21B93" w:rsidRPr="00C951BA" w:rsidRDefault="00E21B93" w:rsidP="00503CBA">
            <w:pPr>
              <w:autoSpaceDE w:val="0"/>
              <w:autoSpaceDN w:val="0"/>
              <w:adjustRightInd w:val="0"/>
              <w:spacing w:after="0"/>
              <w:jc w:val="both"/>
              <w:rPr>
                <w:rFonts w:ascii="Book Antiqua" w:hAnsi="Book Antiqua" w:cs="Times New Roman"/>
                <w:b/>
                <w:color w:val="000000"/>
                <w:sz w:val="28"/>
                <w:szCs w:val="28"/>
              </w:rPr>
            </w:pPr>
          </w:p>
          <w:p w14:paraId="3274ADE1" w14:textId="36E982D0" w:rsidR="00E21B93" w:rsidRPr="00C951BA" w:rsidRDefault="00E21B93" w:rsidP="00503CBA">
            <w:pPr>
              <w:autoSpaceDE w:val="0"/>
              <w:autoSpaceDN w:val="0"/>
              <w:adjustRightInd w:val="0"/>
              <w:spacing w:after="0"/>
              <w:rPr>
                <w:rFonts w:ascii="Book Antiqua" w:hAnsi="Book Antiqua" w:cs="Times New Roman"/>
                <w:b/>
                <w:sz w:val="28"/>
                <w:szCs w:val="28"/>
              </w:rPr>
            </w:pPr>
            <w:r w:rsidRPr="00C951BA">
              <w:rPr>
                <w:rFonts w:ascii="Book Antiqua" w:hAnsi="Book Antiqua" w:cs="Times New Roman"/>
                <w:b/>
                <w:sz w:val="28"/>
                <w:szCs w:val="28"/>
              </w:rPr>
              <w:t>ARIZONA PROSECUTING ATTORNEY</w:t>
            </w:r>
            <w:r>
              <w:rPr>
                <w:rFonts w:ascii="Book Antiqua" w:hAnsi="Book Antiqua" w:cs="Times New Roman"/>
                <w:b/>
                <w:sz w:val="28"/>
                <w:szCs w:val="28"/>
              </w:rPr>
              <w:t>S’</w:t>
            </w:r>
            <w:r w:rsidRPr="00C951BA">
              <w:rPr>
                <w:rFonts w:ascii="Book Antiqua" w:hAnsi="Book Antiqua" w:cs="Times New Roman"/>
                <w:b/>
                <w:sz w:val="28"/>
                <w:szCs w:val="28"/>
              </w:rPr>
              <w:t xml:space="preserve"> ADVISORY COUNCIL</w:t>
            </w:r>
            <w:r w:rsidR="00FF36C4">
              <w:rPr>
                <w:rFonts w:ascii="Book Antiqua" w:hAnsi="Book Antiqua" w:cs="Times New Roman"/>
                <w:b/>
                <w:sz w:val="28"/>
                <w:szCs w:val="28"/>
              </w:rPr>
              <w:t>’S</w:t>
            </w:r>
            <w:r w:rsidRPr="00C951BA">
              <w:rPr>
                <w:rFonts w:ascii="Book Antiqua" w:hAnsi="Book Antiqua" w:cs="Times New Roman"/>
                <w:b/>
                <w:sz w:val="28"/>
                <w:szCs w:val="28"/>
              </w:rPr>
              <w:t xml:space="preserve"> </w:t>
            </w:r>
            <w:r w:rsidR="003C11A1">
              <w:rPr>
                <w:rFonts w:ascii="Book Antiqua" w:hAnsi="Book Antiqua" w:cs="Times New Roman"/>
                <w:b/>
                <w:sz w:val="28"/>
                <w:szCs w:val="28"/>
              </w:rPr>
              <w:t>&amp; MARICOPA COUNTY ATTORNE</w:t>
            </w:r>
            <w:r w:rsidR="00872E81">
              <w:rPr>
                <w:rFonts w:ascii="Book Antiqua" w:hAnsi="Book Antiqua" w:cs="Times New Roman"/>
                <w:b/>
                <w:sz w:val="28"/>
                <w:szCs w:val="28"/>
              </w:rPr>
              <w:t xml:space="preserve">Y’S OFFICE </w:t>
            </w:r>
            <w:r w:rsidRPr="00C951BA">
              <w:rPr>
                <w:rFonts w:ascii="Book Antiqua" w:hAnsi="Book Antiqua" w:cs="Times New Roman"/>
                <w:b/>
                <w:sz w:val="28"/>
                <w:szCs w:val="28"/>
              </w:rPr>
              <w:t>COMMENT IN OPPOSITION</w:t>
            </w:r>
          </w:p>
          <w:p w14:paraId="413F6196" w14:textId="77777777" w:rsidR="00E21B93" w:rsidRPr="00C951BA" w:rsidRDefault="00E21B93" w:rsidP="00503CBA">
            <w:pPr>
              <w:autoSpaceDE w:val="0"/>
              <w:autoSpaceDN w:val="0"/>
              <w:adjustRightInd w:val="0"/>
              <w:spacing w:after="0"/>
              <w:rPr>
                <w:rFonts w:ascii="Book Antiqua" w:hAnsi="Book Antiqua" w:cs="Times New Roman"/>
                <w:b/>
                <w:sz w:val="28"/>
                <w:szCs w:val="28"/>
              </w:rPr>
            </w:pPr>
          </w:p>
          <w:p w14:paraId="378F90F5" w14:textId="77777777" w:rsidR="00E21B93" w:rsidRPr="00C951BA" w:rsidRDefault="00E21B93" w:rsidP="00503CBA">
            <w:pPr>
              <w:autoSpaceDE w:val="0"/>
              <w:autoSpaceDN w:val="0"/>
              <w:adjustRightInd w:val="0"/>
              <w:spacing w:after="0"/>
              <w:rPr>
                <w:rFonts w:ascii="Book Antiqua" w:hAnsi="Book Antiqua" w:cs="Times New Roman"/>
                <w:b/>
                <w:color w:val="000000"/>
                <w:sz w:val="28"/>
                <w:szCs w:val="28"/>
              </w:rPr>
            </w:pPr>
          </w:p>
        </w:tc>
      </w:tr>
    </w:tbl>
    <w:p w14:paraId="63E45828" w14:textId="77777777" w:rsidR="00E21B93" w:rsidRPr="00C951BA" w:rsidRDefault="00E21B93" w:rsidP="00E21B93">
      <w:pPr>
        <w:spacing w:after="0"/>
        <w:jc w:val="both"/>
        <w:rPr>
          <w:rFonts w:ascii="Book Antiqua" w:hAnsi="Book Antiqua" w:cs="Times New Roman"/>
          <w:sz w:val="28"/>
          <w:szCs w:val="28"/>
        </w:rPr>
      </w:pPr>
    </w:p>
    <w:p w14:paraId="15574D77" w14:textId="5A201174" w:rsidR="00E21B93" w:rsidRDefault="481DA025" w:rsidP="00E21B93">
      <w:pPr>
        <w:pStyle w:val="NoSpacing"/>
        <w:spacing w:line="480" w:lineRule="auto"/>
        <w:ind w:firstLine="720"/>
        <w:jc w:val="both"/>
        <w:rPr>
          <w:rFonts w:ascii="Book Antiqua" w:hAnsi="Book Antiqua" w:cs="Times New Roman"/>
          <w:sz w:val="28"/>
          <w:szCs w:val="28"/>
        </w:rPr>
      </w:pPr>
      <w:r w:rsidRPr="481DA025">
        <w:rPr>
          <w:rFonts w:ascii="Book Antiqua" w:hAnsi="Book Antiqua" w:cs="Times New Roman"/>
          <w:sz w:val="28"/>
          <w:szCs w:val="28"/>
        </w:rPr>
        <w:t xml:space="preserve">The Arizona Prosecuting Attorneys’ Advisory Council (“APAAC”) and the Maricopa County Attorney’s Office (“MCAO”) herein respectfully submit the </w:t>
      </w:r>
      <w:r w:rsidRPr="481DA025">
        <w:rPr>
          <w:rFonts w:ascii="Book Antiqua" w:hAnsi="Book Antiqua" w:cs="Times New Roman"/>
          <w:sz w:val="28"/>
          <w:szCs w:val="28"/>
        </w:rPr>
        <w:lastRenderedPageBreak/>
        <w:t>following comment opposing Petition R-24-0025, which seeks to amend Rule 14.4 and 17.2 of the Arizona Rules of Criminal Procedure to require courts to provide additional collateral-consequence advisements to defendants at arra</w:t>
      </w:r>
      <w:r w:rsidR="005606CD">
        <w:rPr>
          <w:rFonts w:ascii="Book Antiqua" w:hAnsi="Book Antiqua" w:cs="Times New Roman"/>
          <w:sz w:val="28"/>
          <w:szCs w:val="28"/>
        </w:rPr>
        <w:t>ig</w:t>
      </w:r>
      <w:r w:rsidRPr="481DA025">
        <w:rPr>
          <w:rFonts w:ascii="Book Antiqua" w:hAnsi="Book Antiqua" w:cs="Times New Roman"/>
          <w:sz w:val="28"/>
          <w:szCs w:val="28"/>
        </w:rPr>
        <w:t xml:space="preserve">nments and change-of-plea hearings. </w:t>
      </w:r>
    </w:p>
    <w:p w14:paraId="64EEE3FC" w14:textId="432D0F18" w:rsidR="00295D44" w:rsidRDefault="0011450D" w:rsidP="481DA025">
      <w:pPr>
        <w:spacing w:line="480" w:lineRule="auto"/>
        <w:ind w:firstLine="720"/>
        <w:jc w:val="both"/>
        <w:rPr>
          <w:rFonts w:ascii="Book Antiqua" w:eastAsia="Book Antiqua" w:hAnsi="Book Antiqua" w:cs="Book Antiqua"/>
          <w:sz w:val="28"/>
          <w:szCs w:val="28"/>
        </w:rPr>
      </w:pPr>
      <w:r>
        <w:rPr>
          <w:rFonts w:ascii="Book Antiqua" w:eastAsia="Book Antiqua" w:hAnsi="Book Antiqua" w:cs="Book Antiqua"/>
          <w:sz w:val="28"/>
          <w:szCs w:val="28"/>
        </w:rPr>
        <w:t xml:space="preserve">The </w:t>
      </w:r>
      <w:r w:rsidR="481DA025" w:rsidRPr="481DA025">
        <w:rPr>
          <w:rFonts w:ascii="Book Antiqua" w:eastAsia="Book Antiqua" w:hAnsi="Book Antiqua" w:cs="Book Antiqua"/>
          <w:sz w:val="28"/>
          <w:szCs w:val="28"/>
        </w:rPr>
        <w:t>proposed amendment to Arizona Rule of Criminal Procedure (“Rule”) 14.4 would direct arraignment courts to advise defendants that “[c]</w:t>
      </w:r>
      <w:proofErr w:type="spellStart"/>
      <w:r w:rsidR="481DA025" w:rsidRPr="481DA025">
        <w:rPr>
          <w:rFonts w:ascii="Book Antiqua" w:eastAsia="Book Antiqua" w:hAnsi="Book Antiqua" w:cs="Book Antiqua"/>
          <w:sz w:val="28"/>
          <w:szCs w:val="28"/>
        </w:rPr>
        <w:t>onviction</w:t>
      </w:r>
      <w:proofErr w:type="spellEnd"/>
      <w:r w:rsidR="481DA025" w:rsidRPr="481DA025">
        <w:rPr>
          <w:rFonts w:ascii="Book Antiqua" w:eastAsia="Book Antiqua" w:hAnsi="Book Antiqua" w:cs="Book Antiqua"/>
          <w:sz w:val="28"/>
          <w:szCs w:val="28"/>
        </w:rPr>
        <w:t xml:space="preserve"> of a crime may have collateral consequences, including but not limited to immigration consequences” and that “[c]</w:t>
      </w:r>
      <w:proofErr w:type="spellStart"/>
      <w:r w:rsidR="481DA025" w:rsidRPr="481DA025">
        <w:rPr>
          <w:rFonts w:ascii="Book Antiqua" w:eastAsia="Book Antiqua" w:hAnsi="Book Antiqua" w:cs="Book Antiqua"/>
          <w:sz w:val="28"/>
          <w:szCs w:val="28"/>
        </w:rPr>
        <w:t>onviction</w:t>
      </w:r>
      <w:proofErr w:type="spellEnd"/>
      <w:r w:rsidR="481DA025" w:rsidRPr="481DA025">
        <w:rPr>
          <w:rFonts w:ascii="Book Antiqua" w:eastAsia="Book Antiqua" w:hAnsi="Book Antiqua" w:cs="Book Antiqua"/>
          <w:sz w:val="28"/>
          <w:szCs w:val="28"/>
        </w:rPr>
        <w:t xml:space="preserve"> of a felony offense will result in certain civil rights being suspended.” </w:t>
      </w:r>
      <w:r>
        <w:rPr>
          <w:rFonts w:ascii="Book Antiqua" w:eastAsia="Book Antiqua" w:hAnsi="Book Antiqua" w:cs="Book Antiqua"/>
          <w:sz w:val="28"/>
          <w:szCs w:val="28"/>
        </w:rPr>
        <w:t>Additionally, t</w:t>
      </w:r>
      <w:r w:rsidR="481DA025" w:rsidRPr="481DA025">
        <w:rPr>
          <w:rFonts w:ascii="Book Antiqua" w:eastAsia="Book Antiqua" w:hAnsi="Book Antiqua" w:cs="Book Antiqua"/>
          <w:sz w:val="28"/>
          <w:szCs w:val="28"/>
        </w:rPr>
        <w:t xml:space="preserve">he proposed amendment to Rule 17.2 would broaden the potential-collateral-consequence advisement given at a change-of-plea hearing by requiring courts to (1) inform defendants that a guilty plea to a felony offense will generally affect their civil rights and (2) specifically state, “If you are convicted of a </w:t>
      </w:r>
      <w:bookmarkStart w:id="0" w:name="_Int_kuKqngZA"/>
      <w:r w:rsidR="481DA025" w:rsidRPr="481DA025">
        <w:rPr>
          <w:rFonts w:ascii="Book Antiqua" w:eastAsia="Book Antiqua" w:hAnsi="Book Antiqua" w:cs="Book Antiqua"/>
          <w:sz w:val="28"/>
          <w:szCs w:val="28"/>
        </w:rPr>
        <w:t>felony offense, certain civil rights</w:t>
      </w:r>
      <w:bookmarkEnd w:id="0"/>
      <w:r w:rsidR="481DA025" w:rsidRPr="481DA025">
        <w:rPr>
          <w:rFonts w:ascii="Book Antiqua" w:eastAsia="Book Antiqua" w:hAnsi="Book Antiqua" w:cs="Book Antiqua"/>
          <w:sz w:val="28"/>
          <w:szCs w:val="28"/>
        </w:rPr>
        <w:t xml:space="preserve"> will be suspended. These rights include the right to . . . [v]</w:t>
      </w:r>
      <w:proofErr w:type="spellStart"/>
      <w:r w:rsidR="481DA025" w:rsidRPr="481DA025">
        <w:rPr>
          <w:rFonts w:ascii="Book Antiqua" w:eastAsia="Book Antiqua" w:hAnsi="Book Antiqua" w:cs="Book Antiqua"/>
          <w:sz w:val="28"/>
          <w:szCs w:val="28"/>
        </w:rPr>
        <w:t>ote</w:t>
      </w:r>
      <w:proofErr w:type="spellEnd"/>
      <w:r w:rsidR="481DA025" w:rsidRPr="481DA025">
        <w:rPr>
          <w:rFonts w:ascii="Book Antiqua" w:eastAsia="Book Antiqua" w:hAnsi="Book Antiqua" w:cs="Book Antiqua"/>
          <w:sz w:val="28"/>
          <w:szCs w:val="28"/>
        </w:rPr>
        <w:t xml:space="preserve"> . . . [s]</w:t>
      </w:r>
      <w:proofErr w:type="spellStart"/>
      <w:r w:rsidR="481DA025" w:rsidRPr="481DA025">
        <w:rPr>
          <w:rFonts w:ascii="Book Antiqua" w:eastAsia="Book Antiqua" w:hAnsi="Book Antiqua" w:cs="Book Antiqua"/>
          <w:sz w:val="28"/>
          <w:szCs w:val="28"/>
        </w:rPr>
        <w:t>erve</w:t>
      </w:r>
      <w:proofErr w:type="spellEnd"/>
      <w:r w:rsidR="481DA025" w:rsidRPr="481DA025">
        <w:rPr>
          <w:rFonts w:ascii="Book Antiqua" w:eastAsia="Book Antiqua" w:hAnsi="Book Antiqua" w:cs="Book Antiqua"/>
          <w:sz w:val="28"/>
          <w:szCs w:val="28"/>
        </w:rPr>
        <w:t xml:space="preserve"> as a juror . . . [h]old public office . . . [and </w:t>
      </w:r>
      <w:proofErr w:type="gramStart"/>
      <w:r w:rsidR="481DA025" w:rsidRPr="481DA025">
        <w:rPr>
          <w:rFonts w:ascii="Book Antiqua" w:eastAsia="Book Antiqua" w:hAnsi="Book Antiqua" w:cs="Book Antiqua"/>
          <w:sz w:val="28"/>
          <w:szCs w:val="28"/>
        </w:rPr>
        <w:t>p]</w:t>
      </w:r>
      <w:proofErr w:type="spellStart"/>
      <w:r w:rsidR="481DA025" w:rsidRPr="481DA025">
        <w:rPr>
          <w:rFonts w:ascii="Book Antiqua" w:eastAsia="Book Antiqua" w:hAnsi="Book Antiqua" w:cs="Book Antiqua"/>
          <w:sz w:val="28"/>
          <w:szCs w:val="28"/>
        </w:rPr>
        <w:t>ossess</w:t>
      </w:r>
      <w:proofErr w:type="spellEnd"/>
      <w:proofErr w:type="gramEnd"/>
      <w:r w:rsidR="481DA025" w:rsidRPr="481DA025">
        <w:rPr>
          <w:rFonts w:ascii="Book Antiqua" w:eastAsia="Book Antiqua" w:hAnsi="Book Antiqua" w:cs="Book Antiqua"/>
          <w:sz w:val="28"/>
          <w:szCs w:val="28"/>
        </w:rPr>
        <w:t xml:space="preserve"> a firearm.” Furthermore, the proposed amendment to Rule 17.2 would order courts to “advise that a plea may have other collateral consequences, depending on the nature of the case.” The reasons offered to support the proposed amendments include enhancing criminal defendants’ awareness of collateral consequences both at the beginning of the </w:t>
      </w:r>
      <w:r w:rsidR="481DA025" w:rsidRPr="481DA025">
        <w:rPr>
          <w:rFonts w:ascii="Book Antiqua" w:eastAsia="Book Antiqua" w:hAnsi="Book Antiqua" w:cs="Book Antiqua"/>
          <w:sz w:val="28"/>
          <w:szCs w:val="28"/>
        </w:rPr>
        <w:lastRenderedPageBreak/>
        <w:t>case and before a change of plea, expressly notifying defendants that a conviction will deprive them of fundamental civil rights and encouraging discussion between defendants and their attorneys regarding collateral consequences unique to an individual defendant.</w:t>
      </w:r>
    </w:p>
    <w:p w14:paraId="3BAD25FF" w14:textId="77777777" w:rsidR="00295D44" w:rsidRDefault="00295D44" w:rsidP="481DA025">
      <w:pPr>
        <w:pStyle w:val="xmsonormal"/>
        <w:spacing w:line="480" w:lineRule="auto"/>
        <w:jc w:val="both"/>
        <w:rPr>
          <w:rFonts w:ascii="Book Antiqua" w:eastAsia="Book Antiqua" w:hAnsi="Book Antiqua" w:cs="Book Antiqua"/>
          <w:color w:val="000000"/>
          <w:sz w:val="28"/>
          <w:szCs w:val="28"/>
          <w14:ligatures w14:val="none"/>
        </w:rPr>
      </w:pPr>
      <w:r>
        <w:rPr>
          <w:rFonts w:ascii="Garamond" w:hAnsi="Garamond" w:cs="Times New Roman"/>
          <w:sz w:val="28"/>
          <w:szCs w:val="28"/>
        </w:rPr>
        <w:tab/>
      </w:r>
      <w:r w:rsidRPr="481DA025">
        <w:rPr>
          <w:rFonts w:ascii="Book Antiqua" w:eastAsia="Book Antiqua" w:hAnsi="Book Antiqua" w:cs="Book Antiqua"/>
          <w:sz w:val="28"/>
          <w:szCs w:val="28"/>
        </w:rPr>
        <w:t xml:space="preserve">Although the proposed amendments may be well-intended, they raise more questions than they answer. On the one hand, a general warning that a conviction may result in </w:t>
      </w:r>
      <w:proofErr w:type="gramStart"/>
      <w:r w:rsidRPr="481DA025">
        <w:rPr>
          <w:rFonts w:ascii="Book Antiqua" w:eastAsia="Book Antiqua" w:hAnsi="Book Antiqua" w:cs="Book Antiqua"/>
          <w:sz w:val="28"/>
          <w:szCs w:val="28"/>
        </w:rPr>
        <w:t>possible</w:t>
      </w:r>
      <w:proofErr w:type="gramEnd"/>
      <w:r w:rsidRPr="481DA025">
        <w:rPr>
          <w:rFonts w:ascii="Book Antiqua" w:eastAsia="Book Antiqua" w:hAnsi="Book Antiqua" w:cs="Book Antiqua"/>
          <w:sz w:val="28"/>
          <w:szCs w:val="28"/>
        </w:rPr>
        <w:t xml:space="preserve"> yet unidentified collateral consequences is too vague to be useful. On the other hand, the enumeration of certain rights in the proposed amendment to Rule 17.2—specifically, voting, serving on a jury, holding public office, and possessing a firearm—implicates the interpretative canon of </w:t>
      </w:r>
      <w:proofErr w:type="spellStart"/>
      <w:r w:rsidRPr="481DA025">
        <w:rPr>
          <w:rFonts w:ascii="Book Antiqua" w:eastAsia="Book Antiqua" w:hAnsi="Book Antiqua" w:cs="Book Antiqua"/>
          <w:i/>
          <w:iCs/>
          <w:color w:val="000000"/>
          <w:sz w:val="28"/>
          <w:szCs w:val="28"/>
          <w:bdr w:val="none" w:sz="0" w:space="0" w:color="auto" w:frame="1"/>
          <w:shd w:val="clear" w:color="auto" w:fill="FFFFFF"/>
          <w14:ligatures w14:val="none"/>
        </w:rPr>
        <w:t>expressio</w:t>
      </w:r>
      <w:proofErr w:type="spellEnd"/>
      <w:r w:rsidRPr="481DA025">
        <w:rPr>
          <w:rFonts w:ascii="Book Antiqua" w:eastAsia="Book Antiqua" w:hAnsi="Book Antiqua" w:cs="Book Antiqua"/>
          <w:i/>
          <w:iCs/>
          <w:color w:val="3D3D3D"/>
          <w:sz w:val="28"/>
          <w:szCs w:val="28"/>
          <w:bdr w:val="none" w:sz="0" w:space="0" w:color="auto" w:frame="1"/>
          <w14:ligatures w14:val="none"/>
        </w:rPr>
        <w:t xml:space="preserve"> </w:t>
      </w:r>
      <w:proofErr w:type="spellStart"/>
      <w:r w:rsidRPr="481DA025">
        <w:rPr>
          <w:rFonts w:ascii="Book Antiqua" w:eastAsia="Book Antiqua" w:hAnsi="Book Antiqua" w:cs="Book Antiqua"/>
          <w:i/>
          <w:iCs/>
          <w:color w:val="000000"/>
          <w:sz w:val="28"/>
          <w:szCs w:val="28"/>
          <w:bdr w:val="none" w:sz="0" w:space="0" w:color="auto" w:frame="1"/>
          <w:shd w:val="clear" w:color="auto" w:fill="FFFFFF"/>
          <w14:ligatures w14:val="none"/>
        </w:rPr>
        <w:t>unius</w:t>
      </w:r>
      <w:proofErr w:type="spellEnd"/>
      <w:r w:rsidRPr="481DA025">
        <w:rPr>
          <w:rFonts w:ascii="Book Antiqua" w:eastAsia="Book Antiqua" w:hAnsi="Book Antiqua" w:cs="Book Antiqua"/>
          <w:i/>
          <w:iCs/>
          <w:color w:val="3D3D3D"/>
          <w:sz w:val="28"/>
          <w:szCs w:val="28"/>
          <w:bdr w:val="none" w:sz="0" w:space="0" w:color="auto" w:frame="1"/>
          <w14:ligatures w14:val="none"/>
        </w:rPr>
        <w:t xml:space="preserve"> </w:t>
      </w:r>
      <w:proofErr w:type="spellStart"/>
      <w:r w:rsidRPr="481DA025">
        <w:rPr>
          <w:rFonts w:ascii="Book Antiqua" w:eastAsia="Book Antiqua" w:hAnsi="Book Antiqua" w:cs="Book Antiqua"/>
          <w:i/>
          <w:iCs/>
          <w:color w:val="000000"/>
          <w:sz w:val="28"/>
          <w:szCs w:val="28"/>
          <w:bdr w:val="none" w:sz="0" w:space="0" w:color="auto" w:frame="1"/>
          <w:shd w:val="clear" w:color="auto" w:fill="FFFFFF"/>
          <w14:ligatures w14:val="none"/>
        </w:rPr>
        <w:t>est</w:t>
      </w:r>
      <w:proofErr w:type="spellEnd"/>
      <w:r w:rsidRPr="481DA025">
        <w:rPr>
          <w:rFonts w:ascii="Book Antiqua" w:eastAsia="Book Antiqua" w:hAnsi="Book Antiqua" w:cs="Book Antiqua"/>
          <w:i/>
          <w:iCs/>
          <w:color w:val="3D3D3D"/>
          <w:sz w:val="28"/>
          <w:szCs w:val="28"/>
          <w:bdr w:val="none" w:sz="0" w:space="0" w:color="auto" w:frame="1"/>
          <w14:ligatures w14:val="none"/>
        </w:rPr>
        <w:t xml:space="preserve"> </w:t>
      </w:r>
      <w:proofErr w:type="spellStart"/>
      <w:r w:rsidRPr="481DA025">
        <w:rPr>
          <w:rFonts w:ascii="Book Antiqua" w:eastAsia="Book Antiqua" w:hAnsi="Book Antiqua" w:cs="Book Antiqua"/>
          <w:i/>
          <w:iCs/>
          <w:color w:val="000000"/>
          <w:sz w:val="28"/>
          <w:szCs w:val="28"/>
          <w:bdr w:val="none" w:sz="0" w:space="0" w:color="auto" w:frame="1"/>
          <w:shd w:val="clear" w:color="auto" w:fill="FFFFFF"/>
          <w14:ligatures w14:val="none"/>
        </w:rPr>
        <w:t>exclusio</w:t>
      </w:r>
      <w:proofErr w:type="spellEnd"/>
      <w:r w:rsidRPr="481DA025">
        <w:rPr>
          <w:rFonts w:ascii="Book Antiqua" w:eastAsia="Book Antiqua" w:hAnsi="Book Antiqua" w:cs="Book Antiqua"/>
          <w:i/>
          <w:iCs/>
          <w:color w:val="3D3D3D"/>
          <w:sz w:val="28"/>
          <w:szCs w:val="28"/>
          <w:bdr w:val="none" w:sz="0" w:space="0" w:color="auto" w:frame="1"/>
          <w14:ligatures w14:val="none"/>
        </w:rPr>
        <w:t xml:space="preserve"> </w:t>
      </w:r>
      <w:proofErr w:type="spellStart"/>
      <w:r w:rsidRPr="481DA025">
        <w:rPr>
          <w:rFonts w:ascii="Book Antiqua" w:eastAsia="Book Antiqua" w:hAnsi="Book Antiqua" w:cs="Book Antiqua"/>
          <w:i/>
          <w:iCs/>
          <w:color w:val="000000"/>
          <w:sz w:val="28"/>
          <w:szCs w:val="28"/>
          <w:bdr w:val="none" w:sz="0" w:space="0" w:color="auto" w:frame="1"/>
          <w:shd w:val="clear" w:color="auto" w:fill="FFFFFF"/>
          <w14:ligatures w14:val="none"/>
        </w:rPr>
        <w:t>alterius</w:t>
      </w:r>
      <w:proofErr w:type="spellEnd"/>
      <w:r w:rsidRPr="481DA025">
        <w:rPr>
          <w:rFonts w:ascii="Book Antiqua" w:eastAsia="Book Antiqua" w:hAnsi="Book Antiqua" w:cs="Book Antiqua"/>
          <w:color w:val="000000"/>
          <w:sz w:val="28"/>
          <w:szCs w:val="28"/>
          <w14:ligatures w14:val="none"/>
        </w:rPr>
        <w:t xml:space="preserve">; thus, the explicit inclusion of those limited rights may implicitly entitle defendants to contest a guilty plea’s validity if an unenumerated right has been affected. </w:t>
      </w:r>
      <w:r w:rsidRPr="481DA025">
        <w:rPr>
          <w:rFonts w:ascii="Book Antiqua" w:eastAsia="Book Antiqua" w:hAnsi="Book Antiqua" w:cs="Book Antiqua"/>
          <w:i/>
          <w:iCs/>
          <w:color w:val="000000"/>
          <w:sz w:val="28"/>
          <w:szCs w:val="28"/>
          <w:bdr w:val="none" w:sz="0" w:space="0" w:color="auto" w:frame="1"/>
          <w:shd w:val="clear" w:color="auto" w:fill="FFFFFF"/>
          <w14:ligatures w14:val="none"/>
        </w:rPr>
        <w:t>See City</w:t>
      </w:r>
      <w:r w:rsidRPr="481DA025">
        <w:rPr>
          <w:rFonts w:ascii="Book Antiqua" w:eastAsia="Book Antiqua" w:hAnsi="Book Antiqua" w:cs="Book Antiqua"/>
          <w:i/>
          <w:iCs/>
          <w:color w:val="3D3D3D"/>
          <w:sz w:val="28"/>
          <w:szCs w:val="28"/>
          <w:bdr w:val="none" w:sz="0" w:space="0" w:color="auto" w:frame="1"/>
          <w:shd w:val="clear" w:color="auto" w:fill="FFFFFF"/>
          <w14:ligatures w14:val="none"/>
        </w:rPr>
        <w:t xml:space="preserve"> </w:t>
      </w:r>
      <w:r w:rsidRPr="481DA025">
        <w:rPr>
          <w:rFonts w:ascii="Book Antiqua" w:eastAsia="Book Antiqua" w:hAnsi="Book Antiqua" w:cs="Book Antiqua"/>
          <w:i/>
          <w:iCs/>
          <w:color w:val="000000"/>
          <w:sz w:val="28"/>
          <w:szCs w:val="28"/>
          <w:bdr w:val="none" w:sz="0" w:space="0" w:color="auto" w:frame="1"/>
          <w:shd w:val="clear" w:color="auto" w:fill="FFFFFF"/>
          <w14:ligatures w14:val="none"/>
        </w:rPr>
        <w:t>of</w:t>
      </w:r>
      <w:r w:rsidRPr="481DA025">
        <w:rPr>
          <w:rFonts w:ascii="Book Antiqua" w:eastAsia="Book Antiqua" w:hAnsi="Book Antiqua" w:cs="Book Antiqua"/>
          <w:i/>
          <w:iCs/>
          <w:color w:val="3D3D3D"/>
          <w:sz w:val="28"/>
          <w:szCs w:val="28"/>
          <w:bdr w:val="none" w:sz="0" w:space="0" w:color="auto" w:frame="1"/>
          <w:shd w:val="clear" w:color="auto" w:fill="FFFFFF"/>
          <w14:ligatures w14:val="none"/>
        </w:rPr>
        <w:t xml:space="preserve"> </w:t>
      </w:r>
      <w:r w:rsidRPr="481DA025">
        <w:rPr>
          <w:rFonts w:ascii="Book Antiqua" w:eastAsia="Book Antiqua" w:hAnsi="Book Antiqua" w:cs="Book Antiqua"/>
          <w:i/>
          <w:iCs/>
          <w:color w:val="000000"/>
          <w:sz w:val="28"/>
          <w:szCs w:val="28"/>
          <w:bdr w:val="none" w:sz="0" w:space="0" w:color="auto" w:frame="1"/>
          <w:shd w:val="clear" w:color="auto" w:fill="FFFFFF"/>
          <w14:ligatures w14:val="none"/>
        </w:rPr>
        <w:t>Surprise</w:t>
      </w:r>
      <w:r w:rsidRPr="481DA025">
        <w:rPr>
          <w:rFonts w:ascii="Book Antiqua" w:eastAsia="Book Antiqua" w:hAnsi="Book Antiqua" w:cs="Book Antiqua"/>
          <w:i/>
          <w:iCs/>
          <w:color w:val="3D3D3D"/>
          <w:sz w:val="28"/>
          <w:szCs w:val="28"/>
          <w:bdr w:val="none" w:sz="0" w:space="0" w:color="auto" w:frame="1"/>
          <w:shd w:val="clear" w:color="auto" w:fill="FFFFFF"/>
          <w14:ligatures w14:val="none"/>
        </w:rPr>
        <w:t xml:space="preserve"> </w:t>
      </w:r>
      <w:r w:rsidRPr="481DA025">
        <w:rPr>
          <w:rFonts w:ascii="Book Antiqua" w:eastAsia="Book Antiqua" w:hAnsi="Book Antiqua" w:cs="Book Antiqua"/>
          <w:i/>
          <w:iCs/>
          <w:color w:val="000000"/>
          <w:sz w:val="28"/>
          <w:szCs w:val="28"/>
          <w:bdr w:val="none" w:sz="0" w:space="0" w:color="auto" w:frame="1"/>
          <w:shd w:val="clear" w:color="auto" w:fill="FFFFFF"/>
          <w14:ligatures w14:val="none"/>
        </w:rPr>
        <w:t>v</w:t>
      </w:r>
      <w:r w:rsidRPr="481DA025">
        <w:rPr>
          <w:rFonts w:ascii="Book Antiqua" w:eastAsia="Book Antiqua" w:hAnsi="Book Antiqua" w:cs="Book Antiqua"/>
          <w:i/>
          <w:iCs/>
          <w:color w:val="3D3D3D"/>
          <w:sz w:val="28"/>
          <w:szCs w:val="28"/>
          <w:bdr w:val="none" w:sz="0" w:space="0" w:color="auto" w:frame="1"/>
          <w:shd w:val="clear" w:color="auto" w:fill="FFFFFF"/>
          <w14:ligatures w14:val="none"/>
        </w:rPr>
        <w:t xml:space="preserve">. </w:t>
      </w:r>
      <w:r w:rsidRPr="481DA025">
        <w:rPr>
          <w:rFonts w:ascii="Book Antiqua" w:eastAsia="Book Antiqua" w:hAnsi="Book Antiqua" w:cs="Book Antiqua"/>
          <w:i/>
          <w:iCs/>
          <w:color w:val="000000"/>
          <w:sz w:val="28"/>
          <w:szCs w:val="28"/>
          <w:bdr w:val="none" w:sz="0" w:space="0" w:color="auto" w:frame="1"/>
          <w:shd w:val="clear" w:color="auto" w:fill="FFFFFF"/>
          <w14:ligatures w14:val="none"/>
        </w:rPr>
        <w:t>Ariz</w:t>
      </w:r>
      <w:r w:rsidRPr="481DA025">
        <w:rPr>
          <w:rFonts w:ascii="Book Antiqua" w:eastAsia="Book Antiqua" w:hAnsi="Book Antiqua" w:cs="Book Antiqua"/>
          <w:i/>
          <w:iCs/>
          <w:color w:val="3D3D3D"/>
          <w:sz w:val="28"/>
          <w:szCs w:val="28"/>
          <w:bdr w:val="none" w:sz="0" w:space="0" w:color="auto" w:frame="1"/>
          <w:shd w:val="clear" w:color="auto" w:fill="FFFFFF"/>
          <w14:ligatures w14:val="none"/>
        </w:rPr>
        <w:t xml:space="preserve">. </w:t>
      </w:r>
      <w:r w:rsidRPr="481DA025">
        <w:rPr>
          <w:rFonts w:ascii="Book Antiqua" w:eastAsia="Book Antiqua" w:hAnsi="Book Antiqua" w:cs="Book Antiqua"/>
          <w:i/>
          <w:iCs/>
          <w:color w:val="000000"/>
          <w:sz w:val="28"/>
          <w:szCs w:val="28"/>
          <w:bdr w:val="none" w:sz="0" w:space="0" w:color="auto" w:frame="1"/>
          <w:shd w:val="clear" w:color="auto" w:fill="FFFFFF"/>
          <w14:ligatures w14:val="none"/>
        </w:rPr>
        <w:t>Corp</w:t>
      </w:r>
      <w:r w:rsidRPr="481DA025">
        <w:rPr>
          <w:rFonts w:ascii="Book Antiqua" w:eastAsia="Book Antiqua" w:hAnsi="Book Antiqua" w:cs="Book Antiqua"/>
          <w:i/>
          <w:iCs/>
          <w:color w:val="3D3D3D"/>
          <w:sz w:val="28"/>
          <w:szCs w:val="28"/>
          <w:bdr w:val="none" w:sz="0" w:space="0" w:color="auto" w:frame="1"/>
          <w:shd w:val="clear" w:color="auto" w:fill="FFFFFF"/>
          <w14:ligatures w14:val="none"/>
        </w:rPr>
        <w:t xml:space="preserve">. </w:t>
      </w:r>
      <w:r w:rsidRPr="481DA025">
        <w:rPr>
          <w:rFonts w:ascii="Book Antiqua" w:eastAsia="Book Antiqua" w:hAnsi="Book Antiqua" w:cs="Book Antiqua"/>
          <w:i/>
          <w:iCs/>
          <w:color w:val="000000"/>
          <w:sz w:val="28"/>
          <w:szCs w:val="28"/>
          <w:bdr w:val="none" w:sz="0" w:space="0" w:color="auto" w:frame="1"/>
          <w:shd w:val="clear" w:color="auto" w:fill="FFFFFF"/>
          <w14:ligatures w14:val="none"/>
        </w:rPr>
        <w:t>Comm’n</w:t>
      </w:r>
      <w:r w:rsidRPr="481DA025">
        <w:rPr>
          <w:rFonts w:ascii="Book Antiqua" w:eastAsia="Book Antiqua" w:hAnsi="Book Antiqua" w:cs="Book Antiqua"/>
          <w:color w:val="000000"/>
          <w:sz w:val="28"/>
          <w:szCs w:val="28"/>
          <w:bdr w:val="none" w:sz="0" w:space="0" w:color="auto" w:frame="1"/>
          <w:shd w:val="clear" w:color="auto" w:fill="FFFFFF"/>
          <w14:ligatures w14:val="none"/>
        </w:rPr>
        <w:t>, 246 Ariz. 206, 211, ¶ 13 (2019)</w:t>
      </w:r>
      <w:r w:rsidRPr="481DA025">
        <w:rPr>
          <w:rFonts w:ascii="Book Antiqua" w:eastAsia="Book Antiqua" w:hAnsi="Book Antiqua" w:cs="Book Antiqua"/>
          <w:color w:val="000000"/>
          <w:sz w:val="28"/>
          <w:szCs w:val="28"/>
          <w14:ligatures w14:val="none"/>
        </w:rPr>
        <w:t xml:space="preserve"> (noting the </w:t>
      </w:r>
      <w:proofErr w:type="spellStart"/>
      <w:r w:rsidRPr="481DA025">
        <w:rPr>
          <w:rFonts w:ascii="Book Antiqua" w:eastAsia="Book Antiqua" w:hAnsi="Book Antiqua" w:cs="Book Antiqua"/>
          <w:i/>
          <w:iCs/>
          <w:color w:val="000000"/>
          <w:sz w:val="28"/>
          <w:szCs w:val="28"/>
          <w:bdr w:val="none" w:sz="0" w:space="0" w:color="auto" w:frame="1"/>
          <w:shd w:val="clear" w:color="auto" w:fill="FFFFFF"/>
          <w14:ligatures w14:val="none"/>
        </w:rPr>
        <w:t>expressio</w:t>
      </w:r>
      <w:proofErr w:type="spellEnd"/>
      <w:r w:rsidRPr="481DA025">
        <w:rPr>
          <w:rFonts w:ascii="Book Antiqua" w:eastAsia="Book Antiqua" w:hAnsi="Book Antiqua" w:cs="Book Antiqua"/>
          <w:i/>
          <w:iCs/>
          <w:color w:val="3D3D3D"/>
          <w:sz w:val="28"/>
          <w:szCs w:val="28"/>
          <w:bdr w:val="none" w:sz="0" w:space="0" w:color="auto" w:frame="1"/>
          <w14:ligatures w14:val="none"/>
        </w:rPr>
        <w:t xml:space="preserve"> </w:t>
      </w:r>
      <w:proofErr w:type="spellStart"/>
      <w:r w:rsidRPr="481DA025">
        <w:rPr>
          <w:rFonts w:ascii="Book Antiqua" w:eastAsia="Book Antiqua" w:hAnsi="Book Antiqua" w:cs="Book Antiqua"/>
          <w:i/>
          <w:iCs/>
          <w:color w:val="000000"/>
          <w:sz w:val="28"/>
          <w:szCs w:val="28"/>
          <w:bdr w:val="none" w:sz="0" w:space="0" w:color="auto" w:frame="1"/>
          <w:shd w:val="clear" w:color="auto" w:fill="FFFFFF"/>
          <w14:ligatures w14:val="none"/>
        </w:rPr>
        <w:t>unius</w:t>
      </w:r>
      <w:proofErr w:type="spellEnd"/>
      <w:r w:rsidRPr="481DA025">
        <w:rPr>
          <w:rFonts w:ascii="Book Antiqua" w:eastAsia="Book Antiqua" w:hAnsi="Book Antiqua" w:cs="Book Antiqua"/>
          <w:i/>
          <w:iCs/>
          <w:color w:val="3D3D3D"/>
          <w:sz w:val="28"/>
          <w:szCs w:val="28"/>
          <w:bdr w:val="none" w:sz="0" w:space="0" w:color="auto" w:frame="1"/>
          <w14:ligatures w14:val="none"/>
        </w:rPr>
        <w:t xml:space="preserve"> </w:t>
      </w:r>
      <w:proofErr w:type="spellStart"/>
      <w:r w:rsidRPr="481DA025">
        <w:rPr>
          <w:rFonts w:ascii="Book Antiqua" w:eastAsia="Book Antiqua" w:hAnsi="Book Antiqua" w:cs="Book Antiqua"/>
          <w:i/>
          <w:iCs/>
          <w:color w:val="000000"/>
          <w:sz w:val="28"/>
          <w:szCs w:val="28"/>
          <w:bdr w:val="none" w:sz="0" w:space="0" w:color="auto" w:frame="1"/>
          <w:shd w:val="clear" w:color="auto" w:fill="FFFFFF"/>
          <w14:ligatures w14:val="none"/>
        </w:rPr>
        <w:t>est</w:t>
      </w:r>
      <w:proofErr w:type="spellEnd"/>
      <w:r w:rsidRPr="481DA025">
        <w:rPr>
          <w:rFonts w:ascii="Book Antiqua" w:eastAsia="Book Antiqua" w:hAnsi="Book Antiqua" w:cs="Book Antiqua"/>
          <w:i/>
          <w:iCs/>
          <w:color w:val="3D3D3D"/>
          <w:sz w:val="28"/>
          <w:szCs w:val="28"/>
          <w:bdr w:val="none" w:sz="0" w:space="0" w:color="auto" w:frame="1"/>
          <w14:ligatures w14:val="none"/>
        </w:rPr>
        <w:t xml:space="preserve"> </w:t>
      </w:r>
      <w:proofErr w:type="spellStart"/>
      <w:r w:rsidRPr="481DA025">
        <w:rPr>
          <w:rFonts w:ascii="Book Antiqua" w:eastAsia="Book Antiqua" w:hAnsi="Book Antiqua" w:cs="Book Antiqua"/>
          <w:i/>
          <w:iCs/>
          <w:color w:val="000000"/>
          <w:sz w:val="28"/>
          <w:szCs w:val="28"/>
          <w:bdr w:val="none" w:sz="0" w:space="0" w:color="auto" w:frame="1"/>
          <w:shd w:val="clear" w:color="auto" w:fill="FFFFFF"/>
          <w14:ligatures w14:val="none"/>
        </w:rPr>
        <w:t>exclusio</w:t>
      </w:r>
      <w:proofErr w:type="spellEnd"/>
      <w:r w:rsidRPr="481DA025">
        <w:rPr>
          <w:rFonts w:ascii="Book Antiqua" w:eastAsia="Book Antiqua" w:hAnsi="Book Antiqua" w:cs="Book Antiqua"/>
          <w:i/>
          <w:iCs/>
          <w:color w:val="3D3D3D"/>
          <w:sz w:val="28"/>
          <w:szCs w:val="28"/>
          <w:bdr w:val="none" w:sz="0" w:space="0" w:color="auto" w:frame="1"/>
          <w14:ligatures w14:val="none"/>
        </w:rPr>
        <w:t xml:space="preserve"> </w:t>
      </w:r>
      <w:proofErr w:type="spellStart"/>
      <w:r w:rsidRPr="481DA025">
        <w:rPr>
          <w:rFonts w:ascii="Book Antiqua" w:eastAsia="Book Antiqua" w:hAnsi="Book Antiqua" w:cs="Book Antiqua"/>
          <w:i/>
          <w:iCs/>
          <w:color w:val="000000"/>
          <w:sz w:val="28"/>
          <w:szCs w:val="28"/>
          <w:bdr w:val="none" w:sz="0" w:space="0" w:color="auto" w:frame="1"/>
          <w:shd w:val="clear" w:color="auto" w:fill="FFFFFF"/>
          <w14:ligatures w14:val="none"/>
        </w:rPr>
        <w:t>alterius</w:t>
      </w:r>
      <w:proofErr w:type="spellEnd"/>
      <w:r w:rsidRPr="481DA025">
        <w:rPr>
          <w:rFonts w:ascii="Book Antiqua" w:eastAsia="Book Antiqua" w:hAnsi="Book Antiqua" w:cs="Book Antiqua"/>
          <w:color w:val="000000"/>
          <w:sz w:val="28"/>
          <w:szCs w:val="28"/>
          <w14:ligatures w14:val="none"/>
        </w:rPr>
        <w:t xml:space="preserve"> canon means “the expression of one item implies the exclusion of others”).</w:t>
      </w:r>
    </w:p>
    <w:p w14:paraId="7C97843F" w14:textId="647BC6B9" w:rsidR="00295D44" w:rsidRDefault="00295D44" w:rsidP="481DA025">
      <w:pPr>
        <w:pStyle w:val="xmsonormal"/>
        <w:spacing w:line="480" w:lineRule="auto"/>
        <w:ind w:firstLine="720"/>
        <w:jc w:val="both"/>
        <w:rPr>
          <w:rFonts w:ascii="Book Antiqua" w:eastAsia="Book Antiqua" w:hAnsi="Book Antiqua" w:cs="Book Antiqua"/>
          <w:sz w:val="28"/>
          <w:szCs w:val="28"/>
        </w:rPr>
      </w:pPr>
      <w:r w:rsidRPr="481DA025">
        <w:rPr>
          <w:rFonts w:ascii="Book Antiqua" w:eastAsia="Book Antiqua" w:hAnsi="Book Antiqua" w:cs="Book Antiqua"/>
          <w:sz w:val="28"/>
          <w:szCs w:val="28"/>
        </w:rPr>
        <w:t xml:space="preserve">Additionally, the proposed amendment to Rule 17.2 would impose upon defense attorneys a new burden to inform defendants of a guilty plea’s potential but unknown collateral consequences, which not only involves conjecture but may be outside a criminal defense attorney’s area of expertise. Indeed, except </w:t>
      </w:r>
      <w:r w:rsidRPr="481DA025">
        <w:rPr>
          <w:rFonts w:ascii="Book Antiqua" w:eastAsia="Book Antiqua" w:hAnsi="Book Antiqua" w:cs="Book Antiqua"/>
          <w:sz w:val="28"/>
          <w:szCs w:val="28"/>
        </w:rPr>
        <w:lastRenderedPageBreak/>
        <w:t xml:space="preserve">with certain rights like immigration, criminal defense attorneys need not inform defendants of specific collateral consequences. </w:t>
      </w:r>
      <w:r w:rsidRPr="481DA025">
        <w:rPr>
          <w:rFonts w:ascii="Book Antiqua" w:eastAsia="Book Antiqua" w:hAnsi="Book Antiqua" w:cs="Book Antiqua"/>
          <w:i/>
          <w:iCs/>
          <w:sz w:val="28"/>
          <w:szCs w:val="28"/>
        </w:rPr>
        <w:t>See, e.g., State v. Poblete</w:t>
      </w:r>
      <w:r w:rsidRPr="481DA025">
        <w:rPr>
          <w:rFonts w:ascii="Book Antiqua" w:eastAsia="Book Antiqua" w:hAnsi="Book Antiqua" w:cs="Book Antiqua"/>
          <w:sz w:val="28"/>
          <w:szCs w:val="28"/>
        </w:rPr>
        <w:t>, 227 Ariz. 537, 540, ¶ 10 (App. 2011) (“</w:t>
      </w:r>
      <w:r w:rsidRPr="481DA025">
        <w:rPr>
          <w:rFonts w:ascii="Book Antiqua" w:eastAsia="Book Antiqua" w:hAnsi="Book Antiqua" w:cs="Book Antiqua"/>
          <w:color w:val="000000"/>
          <w:sz w:val="28"/>
          <w:szCs w:val="28"/>
          <w14:ligatures w14:val="none"/>
        </w:rPr>
        <w:t xml:space="preserve">Before </w:t>
      </w:r>
      <w:r w:rsidRPr="481DA025">
        <w:rPr>
          <w:rFonts w:ascii="Book Antiqua" w:eastAsia="Book Antiqua" w:hAnsi="Book Antiqua" w:cs="Book Antiqua"/>
          <w:i/>
          <w:iCs/>
          <w:sz w:val="28"/>
          <w:szCs w:val="28"/>
          <w:bdr w:val="none" w:sz="0" w:space="0" w:color="auto" w:frame="1"/>
          <w14:ligatures w14:val="none"/>
        </w:rPr>
        <w:t>Padilla,</w:t>
      </w:r>
      <w:r w:rsidRPr="481DA025">
        <w:rPr>
          <w:rFonts w:ascii="Book Antiqua" w:eastAsia="Book Antiqua" w:hAnsi="Book Antiqua" w:cs="Book Antiqua"/>
          <w:color w:val="000000"/>
          <w:sz w:val="28"/>
          <w:szCs w:val="28"/>
          <w14:ligatures w14:val="none"/>
        </w:rPr>
        <w:t xml:space="preserve"> the law in Arizona provided that an attorney’s failure to advise a defendant of the immigration consequences of his or her plea was not ineffective assistance of counsel because such advice related to a ‘collateral’ matter.”)</w:t>
      </w:r>
      <w:r w:rsidRPr="481DA025">
        <w:rPr>
          <w:rFonts w:ascii="Book Antiqua" w:eastAsia="Book Antiqua" w:hAnsi="Book Antiqua" w:cs="Book Antiqua"/>
          <w:sz w:val="28"/>
          <w:szCs w:val="28"/>
        </w:rPr>
        <w:t>. Encouraging criminal defense attorneys to discuss theoretical collateral consequences with defendants would invite error to the extent that it leads to the provision of incorrect legal advice</w:t>
      </w:r>
      <w:r w:rsidR="007255B3">
        <w:rPr>
          <w:rFonts w:ascii="Book Antiqua" w:eastAsia="Book Antiqua" w:hAnsi="Book Antiqua" w:cs="Book Antiqua"/>
          <w:sz w:val="28"/>
          <w:szCs w:val="28"/>
        </w:rPr>
        <w:t xml:space="preserve">.  This </w:t>
      </w:r>
      <w:r w:rsidRPr="481DA025">
        <w:rPr>
          <w:rFonts w:ascii="Book Antiqua" w:eastAsia="Book Antiqua" w:hAnsi="Book Antiqua" w:cs="Book Antiqua"/>
          <w:sz w:val="28"/>
          <w:szCs w:val="28"/>
        </w:rPr>
        <w:t xml:space="preserve">could, in turn, be used to establish novel ineffective-assistance of counsel claims in Rule 33 post-conviction-relief proceedings.  </w:t>
      </w:r>
    </w:p>
    <w:p w14:paraId="183D4404" w14:textId="43BC973C" w:rsidR="00FF36C4" w:rsidRPr="00CB4F10" w:rsidRDefault="00B211DA" w:rsidP="00FF36C4">
      <w:pPr>
        <w:spacing w:after="0" w:line="480" w:lineRule="auto"/>
        <w:ind w:firstLine="720"/>
        <w:jc w:val="both"/>
        <w:rPr>
          <w:rFonts w:ascii="Book Antiqua" w:hAnsi="Book Antiqua" w:cs="Times New Roman"/>
          <w:color w:val="000000" w:themeColor="text1"/>
          <w:sz w:val="28"/>
          <w:szCs w:val="28"/>
        </w:rPr>
      </w:pPr>
      <w:r>
        <w:rPr>
          <w:rFonts w:ascii="Book Antiqua" w:hAnsi="Book Antiqua" w:cs="Arial"/>
          <w:bCs/>
          <w:iCs/>
          <w:color w:val="000000" w:themeColor="text1"/>
          <w:sz w:val="28"/>
          <w:szCs w:val="28"/>
          <w:bdr w:val="none" w:sz="0" w:space="0" w:color="auto" w:frame="1"/>
          <w:shd w:val="clear" w:color="auto" w:fill="FFFFFF"/>
        </w:rPr>
        <w:t>Accor</w:t>
      </w:r>
      <w:r w:rsidR="00FF36C4" w:rsidRPr="00CB4F10">
        <w:rPr>
          <w:rFonts w:ascii="Book Antiqua" w:hAnsi="Book Antiqua" w:cs="Arial"/>
          <w:bCs/>
          <w:iCs/>
          <w:color w:val="000000" w:themeColor="text1"/>
          <w:sz w:val="28"/>
          <w:szCs w:val="28"/>
          <w:bdr w:val="none" w:sz="0" w:space="0" w:color="auto" w:frame="1"/>
          <w:shd w:val="clear" w:color="auto" w:fill="FFFFFF"/>
        </w:rPr>
        <w:t xml:space="preserve">dingly, for the reasons stated above, APAAC </w:t>
      </w:r>
      <w:r w:rsidR="00FC0C1B">
        <w:rPr>
          <w:rFonts w:ascii="Book Antiqua" w:hAnsi="Book Antiqua" w:cs="Arial"/>
          <w:bCs/>
          <w:iCs/>
          <w:color w:val="000000" w:themeColor="text1"/>
          <w:sz w:val="28"/>
          <w:szCs w:val="28"/>
          <w:bdr w:val="none" w:sz="0" w:space="0" w:color="auto" w:frame="1"/>
          <w:shd w:val="clear" w:color="auto" w:fill="FFFFFF"/>
        </w:rPr>
        <w:t xml:space="preserve">and MCAO </w:t>
      </w:r>
      <w:r w:rsidR="00FF36C4" w:rsidRPr="00CB4F10">
        <w:rPr>
          <w:rFonts w:ascii="Book Antiqua" w:hAnsi="Book Antiqua" w:cs="Arial"/>
          <w:bCs/>
          <w:iCs/>
          <w:color w:val="000000" w:themeColor="text1"/>
          <w:sz w:val="28"/>
          <w:szCs w:val="28"/>
          <w:bdr w:val="none" w:sz="0" w:space="0" w:color="auto" w:frame="1"/>
          <w:shd w:val="clear" w:color="auto" w:fill="FFFFFF"/>
        </w:rPr>
        <w:t xml:space="preserve">respectfully request that the </w:t>
      </w:r>
      <w:r w:rsidR="00CD535F">
        <w:rPr>
          <w:rFonts w:ascii="Book Antiqua" w:hAnsi="Book Antiqua" w:cs="Arial"/>
          <w:bCs/>
          <w:iCs/>
          <w:color w:val="000000" w:themeColor="text1"/>
          <w:sz w:val="28"/>
          <w:szCs w:val="28"/>
          <w:bdr w:val="none" w:sz="0" w:space="0" w:color="auto" w:frame="1"/>
          <w:shd w:val="clear" w:color="auto" w:fill="FFFFFF"/>
        </w:rPr>
        <w:t>P</w:t>
      </w:r>
      <w:r w:rsidR="00FF36C4" w:rsidRPr="00CB4F10">
        <w:rPr>
          <w:rFonts w:ascii="Book Antiqua" w:hAnsi="Book Antiqua" w:cs="Arial"/>
          <w:bCs/>
          <w:iCs/>
          <w:color w:val="000000" w:themeColor="text1"/>
          <w:sz w:val="28"/>
          <w:szCs w:val="28"/>
          <w:bdr w:val="none" w:sz="0" w:space="0" w:color="auto" w:frame="1"/>
          <w:shd w:val="clear" w:color="auto" w:fill="FFFFFF"/>
        </w:rPr>
        <w:t>etition be denied in its entirety.</w:t>
      </w:r>
    </w:p>
    <w:p w14:paraId="48762489" w14:textId="13F340D4" w:rsidR="00FF36C4" w:rsidRPr="00C951BA" w:rsidRDefault="00FF36C4" w:rsidP="00FF36C4">
      <w:pPr>
        <w:spacing w:after="0" w:line="480" w:lineRule="auto"/>
        <w:ind w:firstLine="720"/>
        <w:jc w:val="both"/>
        <w:rPr>
          <w:rFonts w:ascii="Book Antiqua" w:hAnsi="Book Antiqua" w:cs="Times New Roman"/>
          <w:color w:val="000000"/>
          <w:sz w:val="28"/>
          <w:szCs w:val="28"/>
        </w:rPr>
      </w:pPr>
      <w:r w:rsidRPr="00C951BA">
        <w:rPr>
          <w:rFonts w:ascii="Book Antiqua" w:hAnsi="Book Antiqua" w:cs="Times New Roman"/>
          <w:color w:val="000000"/>
          <w:sz w:val="28"/>
          <w:szCs w:val="28"/>
        </w:rPr>
        <w:t xml:space="preserve">Respectfully submitted this </w:t>
      </w:r>
      <w:r>
        <w:rPr>
          <w:rFonts w:ascii="Book Antiqua" w:hAnsi="Book Antiqua" w:cs="Times New Roman"/>
          <w:color w:val="000000"/>
          <w:sz w:val="28"/>
          <w:szCs w:val="28"/>
        </w:rPr>
        <w:t xml:space="preserve">_______ </w:t>
      </w:r>
      <w:r w:rsidRPr="00C951BA">
        <w:rPr>
          <w:rFonts w:ascii="Book Antiqua" w:hAnsi="Book Antiqua" w:cs="Times New Roman"/>
          <w:color w:val="000000"/>
          <w:sz w:val="28"/>
          <w:szCs w:val="28"/>
        </w:rPr>
        <w:t xml:space="preserve">day of </w:t>
      </w:r>
      <w:proofErr w:type="gramStart"/>
      <w:r w:rsidR="00B7291B">
        <w:rPr>
          <w:rFonts w:ascii="Book Antiqua" w:hAnsi="Book Antiqua" w:cs="Times New Roman"/>
          <w:color w:val="000000"/>
          <w:sz w:val="28"/>
          <w:szCs w:val="28"/>
        </w:rPr>
        <w:t>April</w:t>
      </w:r>
      <w:r w:rsidRPr="00C951BA">
        <w:rPr>
          <w:rFonts w:ascii="Book Antiqua" w:hAnsi="Book Antiqua" w:cs="Times New Roman"/>
          <w:color w:val="000000"/>
          <w:sz w:val="28"/>
          <w:szCs w:val="28"/>
        </w:rPr>
        <w:t>,</w:t>
      </w:r>
      <w:proofErr w:type="gramEnd"/>
      <w:r w:rsidRPr="00C951BA">
        <w:rPr>
          <w:rFonts w:ascii="Book Antiqua" w:hAnsi="Book Antiqua" w:cs="Times New Roman"/>
          <w:color w:val="000000"/>
          <w:sz w:val="28"/>
          <w:szCs w:val="28"/>
        </w:rPr>
        <w:t xml:space="preserve"> 202</w:t>
      </w:r>
      <w:r>
        <w:rPr>
          <w:rFonts w:ascii="Book Antiqua" w:hAnsi="Book Antiqua" w:cs="Times New Roman"/>
          <w:color w:val="000000"/>
          <w:sz w:val="28"/>
          <w:szCs w:val="28"/>
        </w:rPr>
        <w:t>4,</w:t>
      </w:r>
    </w:p>
    <w:p w14:paraId="64E3C920" w14:textId="57D47C09" w:rsidR="00FF36C4" w:rsidRDefault="00FF36C4" w:rsidP="007255B3">
      <w:pPr>
        <w:autoSpaceDE w:val="0"/>
        <w:autoSpaceDN w:val="0"/>
        <w:adjustRightInd w:val="0"/>
        <w:spacing w:after="0"/>
        <w:jc w:val="both"/>
        <w:rPr>
          <w:rFonts w:ascii="Book Antiqua" w:hAnsi="Book Antiqua" w:cs="Times New Roman"/>
          <w:color w:val="000000"/>
          <w:sz w:val="28"/>
          <w:szCs w:val="28"/>
        </w:rPr>
      </w:pP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00B7291B">
        <w:rPr>
          <w:rFonts w:ascii="Book Antiqua" w:hAnsi="Book Antiqua" w:cs="Times New Roman"/>
          <w:color w:val="000000"/>
          <w:sz w:val="28"/>
          <w:szCs w:val="28"/>
        </w:rPr>
        <w:tab/>
      </w:r>
      <w:r w:rsidR="00B7291B">
        <w:rPr>
          <w:rFonts w:ascii="Book Antiqua" w:hAnsi="Book Antiqua" w:cs="Times New Roman"/>
          <w:color w:val="000000"/>
          <w:sz w:val="28"/>
          <w:szCs w:val="28"/>
        </w:rPr>
        <w:tab/>
      </w:r>
      <w:r w:rsidR="005615A5">
        <w:rPr>
          <w:rFonts w:ascii="Book Antiqua" w:hAnsi="Book Antiqua" w:cs="Times New Roman"/>
          <w:color w:val="000000"/>
          <w:sz w:val="28"/>
          <w:szCs w:val="28"/>
        </w:rPr>
        <w:tab/>
      </w:r>
      <w:r w:rsidR="00B7291B">
        <w:rPr>
          <w:rFonts w:ascii="Book Antiqua" w:hAnsi="Book Antiqua" w:cs="Times New Roman"/>
          <w:color w:val="000000"/>
          <w:sz w:val="28"/>
          <w:szCs w:val="28"/>
        </w:rPr>
        <w:t>RACHEL H. MITCHELL</w:t>
      </w:r>
    </w:p>
    <w:p w14:paraId="575E2239" w14:textId="543E15CB" w:rsidR="00B7291B" w:rsidRDefault="00B7291B" w:rsidP="005615A5">
      <w:pPr>
        <w:autoSpaceDE w:val="0"/>
        <w:autoSpaceDN w:val="0"/>
        <w:adjustRightInd w:val="0"/>
        <w:spacing w:after="0"/>
        <w:ind w:left="4320" w:firstLine="720"/>
        <w:jc w:val="both"/>
        <w:rPr>
          <w:rFonts w:ascii="Book Antiqua" w:hAnsi="Book Antiqua" w:cs="Times New Roman"/>
          <w:color w:val="000000"/>
          <w:sz w:val="28"/>
          <w:szCs w:val="28"/>
        </w:rPr>
      </w:pPr>
      <w:r>
        <w:rPr>
          <w:rFonts w:ascii="Book Antiqua" w:hAnsi="Book Antiqua" w:cs="Times New Roman"/>
          <w:color w:val="000000"/>
          <w:sz w:val="28"/>
          <w:szCs w:val="28"/>
        </w:rPr>
        <w:t>MARICOPA COUNTY ATTORNEY</w:t>
      </w:r>
    </w:p>
    <w:p w14:paraId="0BE5B3D5" w14:textId="77777777" w:rsidR="00B7291B" w:rsidRDefault="00B7291B" w:rsidP="007255B3">
      <w:pPr>
        <w:autoSpaceDE w:val="0"/>
        <w:autoSpaceDN w:val="0"/>
        <w:adjustRightInd w:val="0"/>
        <w:spacing w:after="0"/>
        <w:jc w:val="both"/>
        <w:rPr>
          <w:rFonts w:ascii="Book Antiqua" w:hAnsi="Book Antiqua" w:cs="Times New Roman"/>
          <w:color w:val="000000"/>
          <w:sz w:val="28"/>
          <w:szCs w:val="28"/>
        </w:rPr>
      </w:pPr>
    </w:p>
    <w:p w14:paraId="11C52657" w14:textId="70CCD66A" w:rsidR="00B7291B" w:rsidRDefault="00B7291B" w:rsidP="005615A5">
      <w:pPr>
        <w:autoSpaceDE w:val="0"/>
        <w:autoSpaceDN w:val="0"/>
        <w:adjustRightInd w:val="0"/>
        <w:spacing w:after="0"/>
        <w:ind w:left="4320" w:firstLine="720"/>
        <w:jc w:val="both"/>
        <w:rPr>
          <w:rFonts w:ascii="Book Antiqua" w:hAnsi="Book Antiqua" w:cs="Times New Roman"/>
          <w:color w:val="000000"/>
          <w:sz w:val="28"/>
          <w:szCs w:val="28"/>
        </w:rPr>
      </w:pPr>
      <w:r>
        <w:rPr>
          <w:rFonts w:ascii="Book Antiqua" w:hAnsi="Book Antiqua" w:cs="Times New Roman"/>
          <w:color w:val="000000"/>
          <w:sz w:val="28"/>
          <w:szCs w:val="28"/>
        </w:rPr>
        <w:t>BY ____________________________</w:t>
      </w:r>
    </w:p>
    <w:p w14:paraId="31550B44" w14:textId="351DEB31" w:rsidR="00B7291B" w:rsidRDefault="00B7291B" w:rsidP="007255B3">
      <w:pPr>
        <w:autoSpaceDE w:val="0"/>
        <w:autoSpaceDN w:val="0"/>
        <w:adjustRightInd w:val="0"/>
        <w:spacing w:after="0"/>
        <w:jc w:val="both"/>
        <w:rPr>
          <w:rFonts w:ascii="Book Antiqua" w:hAnsi="Book Antiqua" w:cs="Times New Roman"/>
          <w:color w:val="000000"/>
          <w:sz w:val="28"/>
          <w:szCs w:val="28"/>
        </w:rPr>
      </w:pPr>
      <w:r>
        <w:rPr>
          <w:rFonts w:ascii="Book Antiqua" w:hAnsi="Book Antiqua" w:cs="Times New Roman"/>
          <w:color w:val="000000"/>
          <w:sz w:val="28"/>
          <w:szCs w:val="28"/>
        </w:rPr>
        <w:tab/>
      </w:r>
      <w:r w:rsidR="005615A5">
        <w:rPr>
          <w:rFonts w:ascii="Book Antiqua" w:hAnsi="Book Antiqua" w:cs="Times New Roman"/>
          <w:color w:val="000000"/>
          <w:sz w:val="28"/>
          <w:szCs w:val="28"/>
        </w:rPr>
        <w:tab/>
      </w:r>
      <w:r w:rsidR="005615A5">
        <w:rPr>
          <w:rFonts w:ascii="Book Antiqua" w:hAnsi="Book Antiqua" w:cs="Times New Roman"/>
          <w:color w:val="000000"/>
          <w:sz w:val="28"/>
          <w:szCs w:val="28"/>
        </w:rPr>
        <w:tab/>
      </w:r>
      <w:r w:rsidR="005615A5">
        <w:rPr>
          <w:rFonts w:ascii="Book Antiqua" w:hAnsi="Book Antiqua" w:cs="Times New Roman"/>
          <w:color w:val="000000"/>
          <w:sz w:val="28"/>
          <w:szCs w:val="28"/>
        </w:rPr>
        <w:tab/>
      </w:r>
      <w:r w:rsidR="005615A5">
        <w:rPr>
          <w:rFonts w:ascii="Book Antiqua" w:hAnsi="Book Antiqua" w:cs="Times New Roman"/>
          <w:color w:val="000000"/>
          <w:sz w:val="28"/>
          <w:szCs w:val="28"/>
        </w:rPr>
        <w:tab/>
      </w:r>
      <w:r w:rsidR="005615A5">
        <w:rPr>
          <w:rFonts w:ascii="Book Antiqua" w:hAnsi="Book Antiqua" w:cs="Times New Roman"/>
          <w:color w:val="000000"/>
          <w:sz w:val="28"/>
          <w:szCs w:val="28"/>
        </w:rPr>
        <w:tab/>
      </w:r>
      <w:r w:rsidR="005615A5">
        <w:rPr>
          <w:rFonts w:ascii="Book Antiqua" w:hAnsi="Book Antiqua" w:cs="Times New Roman"/>
          <w:color w:val="000000"/>
          <w:sz w:val="28"/>
          <w:szCs w:val="28"/>
        </w:rPr>
        <w:tab/>
      </w:r>
      <w:r>
        <w:rPr>
          <w:rFonts w:ascii="Book Antiqua" w:hAnsi="Book Antiqua" w:cs="Times New Roman"/>
          <w:color w:val="000000"/>
          <w:sz w:val="28"/>
          <w:szCs w:val="28"/>
        </w:rPr>
        <w:t>BLAINE GADOW</w:t>
      </w:r>
    </w:p>
    <w:p w14:paraId="778A7E4C" w14:textId="1303FDCA" w:rsidR="00B7291B" w:rsidRPr="00C951BA" w:rsidRDefault="00B7291B" w:rsidP="007255B3">
      <w:pPr>
        <w:autoSpaceDE w:val="0"/>
        <w:autoSpaceDN w:val="0"/>
        <w:adjustRightInd w:val="0"/>
        <w:spacing w:after="0"/>
        <w:jc w:val="both"/>
        <w:rPr>
          <w:rFonts w:ascii="Book Antiqua" w:hAnsi="Book Antiqua" w:cs="Times New Roman"/>
          <w:color w:val="000000"/>
          <w:sz w:val="28"/>
          <w:szCs w:val="28"/>
        </w:rPr>
      </w:pPr>
      <w:r>
        <w:rPr>
          <w:rFonts w:ascii="Book Antiqua" w:hAnsi="Book Antiqua" w:cs="Times New Roman"/>
          <w:color w:val="000000"/>
          <w:sz w:val="28"/>
          <w:szCs w:val="28"/>
        </w:rPr>
        <w:tab/>
      </w:r>
      <w:r w:rsidR="005615A5">
        <w:rPr>
          <w:rFonts w:ascii="Book Antiqua" w:hAnsi="Book Antiqua" w:cs="Times New Roman"/>
          <w:color w:val="000000"/>
          <w:sz w:val="28"/>
          <w:szCs w:val="28"/>
        </w:rPr>
        <w:tab/>
      </w:r>
      <w:r w:rsidR="005615A5">
        <w:rPr>
          <w:rFonts w:ascii="Book Antiqua" w:hAnsi="Book Antiqua" w:cs="Times New Roman"/>
          <w:color w:val="000000"/>
          <w:sz w:val="28"/>
          <w:szCs w:val="28"/>
        </w:rPr>
        <w:tab/>
      </w:r>
      <w:r w:rsidR="005615A5">
        <w:rPr>
          <w:rFonts w:ascii="Book Antiqua" w:hAnsi="Book Antiqua" w:cs="Times New Roman"/>
          <w:color w:val="000000"/>
          <w:sz w:val="28"/>
          <w:szCs w:val="28"/>
        </w:rPr>
        <w:tab/>
      </w:r>
      <w:r w:rsidR="005615A5">
        <w:rPr>
          <w:rFonts w:ascii="Book Antiqua" w:hAnsi="Book Antiqua" w:cs="Times New Roman"/>
          <w:color w:val="000000"/>
          <w:sz w:val="28"/>
          <w:szCs w:val="28"/>
        </w:rPr>
        <w:tab/>
      </w:r>
      <w:r w:rsidR="005615A5">
        <w:rPr>
          <w:rFonts w:ascii="Book Antiqua" w:hAnsi="Book Antiqua" w:cs="Times New Roman"/>
          <w:color w:val="000000"/>
          <w:sz w:val="28"/>
          <w:szCs w:val="28"/>
        </w:rPr>
        <w:tab/>
      </w:r>
      <w:r w:rsidR="005615A5">
        <w:rPr>
          <w:rFonts w:ascii="Book Antiqua" w:hAnsi="Book Antiqua" w:cs="Times New Roman"/>
          <w:color w:val="000000"/>
          <w:sz w:val="28"/>
          <w:szCs w:val="28"/>
        </w:rPr>
        <w:tab/>
      </w:r>
      <w:r>
        <w:rPr>
          <w:rFonts w:ascii="Book Antiqua" w:hAnsi="Book Antiqua" w:cs="Times New Roman"/>
          <w:color w:val="000000"/>
          <w:sz w:val="28"/>
          <w:szCs w:val="28"/>
        </w:rPr>
        <w:t>CHIEF DEPUTY</w:t>
      </w:r>
    </w:p>
    <w:sectPr w:rsidR="00B7291B" w:rsidRPr="00C951BA" w:rsidSect="005615A5">
      <w:footerReference w:type="default" r:id="rId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A5FA" w14:textId="77777777" w:rsidR="00FC518E" w:rsidRDefault="00FC518E" w:rsidP="00FF36C4">
      <w:pPr>
        <w:spacing w:after="0" w:line="240" w:lineRule="auto"/>
      </w:pPr>
      <w:r>
        <w:separator/>
      </w:r>
    </w:p>
  </w:endnote>
  <w:endnote w:type="continuationSeparator" w:id="0">
    <w:p w14:paraId="55F04E05" w14:textId="77777777" w:rsidR="00FC518E" w:rsidRDefault="00FC518E" w:rsidP="00FF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170239"/>
      <w:docPartObj>
        <w:docPartGallery w:val="Page Numbers (Bottom of Page)"/>
        <w:docPartUnique/>
      </w:docPartObj>
    </w:sdtPr>
    <w:sdtEndPr>
      <w:rPr>
        <w:noProof/>
      </w:rPr>
    </w:sdtEndPr>
    <w:sdtContent>
      <w:p w14:paraId="28F0F838" w14:textId="2C9DA282" w:rsidR="00FF36C4" w:rsidRDefault="00FF36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6211C" w14:textId="77777777" w:rsidR="00FF36C4" w:rsidRDefault="00FF3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6E92" w14:textId="77777777" w:rsidR="00FC518E" w:rsidRDefault="00FC518E" w:rsidP="00FF36C4">
      <w:pPr>
        <w:spacing w:after="0" w:line="240" w:lineRule="auto"/>
      </w:pPr>
      <w:r>
        <w:separator/>
      </w:r>
    </w:p>
  </w:footnote>
  <w:footnote w:type="continuationSeparator" w:id="0">
    <w:p w14:paraId="2A502277" w14:textId="77777777" w:rsidR="00FC518E" w:rsidRDefault="00FC518E" w:rsidP="00FF36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68"/>
    <w:rsid w:val="00025C50"/>
    <w:rsid w:val="00027451"/>
    <w:rsid w:val="00041C2F"/>
    <w:rsid w:val="00050EF6"/>
    <w:rsid w:val="00065B26"/>
    <w:rsid w:val="000766E0"/>
    <w:rsid w:val="00094379"/>
    <w:rsid w:val="000F5CC5"/>
    <w:rsid w:val="00103EA7"/>
    <w:rsid w:val="0011450D"/>
    <w:rsid w:val="00122DB0"/>
    <w:rsid w:val="00137CDE"/>
    <w:rsid w:val="001527BC"/>
    <w:rsid w:val="00155C10"/>
    <w:rsid w:val="00191F8D"/>
    <w:rsid w:val="001B1685"/>
    <w:rsid w:val="001C19E2"/>
    <w:rsid w:val="001C2E96"/>
    <w:rsid w:val="001C7589"/>
    <w:rsid w:val="001D485A"/>
    <w:rsid w:val="001E6A33"/>
    <w:rsid w:val="00227064"/>
    <w:rsid w:val="00236F02"/>
    <w:rsid w:val="00252B84"/>
    <w:rsid w:val="00262796"/>
    <w:rsid w:val="00263914"/>
    <w:rsid w:val="0026466F"/>
    <w:rsid w:val="00295D44"/>
    <w:rsid w:val="002D4EF9"/>
    <w:rsid w:val="002F704E"/>
    <w:rsid w:val="00300725"/>
    <w:rsid w:val="0031296A"/>
    <w:rsid w:val="00314B35"/>
    <w:rsid w:val="00315C74"/>
    <w:rsid w:val="00362F9D"/>
    <w:rsid w:val="003845BB"/>
    <w:rsid w:val="00395ACE"/>
    <w:rsid w:val="00395D63"/>
    <w:rsid w:val="003973C7"/>
    <w:rsid w:val="003C11A1"/>
    <w:rsid w:val="003C512A"/>
    <w:rsid w:val="003C6DB5"/>
    <w:rsid w:val="00422F53"/>
    <w:rsid w:val="004610E1"/>
    <w:rsid w:val="00481BE0"/>
    <w:rsid w:val="00495998"/>
    <w:rsid w:val="004A4F4E"/>
    <w:rsid w:val="004E29EB"/>
    <w:rsid w:val="00552795"/>
    <w:rsid w:val="00555E4B"/>
    <w:rsid w:val="005606CD"/>
    <w:rsid w:val="005615A5"/>
    <w:rsid w:val="00571E67"/>
    <w:rsid w:val="005826A1"/>
    <w:rsid w:val="0059554C"/>
    <w:rsid w:val="005A67C2"/>
    <w:rsid w:val="005B6BA2"/>
    <w:rsid w:val="00663863"/>
    <w:rsid w:val="00675B77"/>
    <w:rsid w:val="006A02FA"/>
    <w:rsid w:val="006B4052"/>
    <w:rsid w:val="007078A2"/>
    <w:rsid w:val="007255B3"/>
    <w:rsid w:val="00737F27"/>
    <w:rsid w:val="007C58B4"/>
    <w:rsid w:val="007D6EB0"/>
    <w:rsid w:val="007F68DA"/>
    <w:rsid w:val="00801E8B"/>
    <w:rsid w:val="00815135"/>
    <w:rsid w:val="0084396E"/>
    <w:rsid w:val="00872E81"/>
    <w:rsid w:val="0088275C"/>
    <w:rsid w:val="00890058"/>
    <w:rsid w:val="008B4D74"/>
    <w:rsid w:val="008B5395"/>
    <w:rsid w:val="008F2D07"/>
    <w:rsid w:val="00902868"/>
    <w:rsid w:val="009502FA"/>
    <w:rsid w:val="009631B4"/>
    <w:rsid w:val="00970991"/>
    <w:rsid w:val="00973ACD"/>
    <w:rsid w:val="00980A11"/>
    <w:rsid w:val="00980D0E"/>
    <w:rsid w:val="009A3B9B"/>
    <w:rsid w:val="009B01E9"/>
    <w:rsid w:val="009B1471"/>
    <w:rsid w:val="009B1F89"/>
    <w:rsid w:val="009D06D3"/>
    <w:rsid w:val="009F5E27"/>
    <w:rsid w:val="00A54090"/>
    <w:rsid w:val="00A67170"/>
    <w:rsid w:val="00A779E8"/>
    <w:rsid w:val="00A91653"/>
    <w:rsid w:val="00AB4F58"/>
    <w:rsid w:val="00AE624E"/>
    <w:rsid w:val="00B07D01"/>
    <w:rsid w:val="00B211DA"/>
    <w:rsid w:val="00B277F6"/>
    <w:rsid w:val="00B7291B"/>
    <w:rsid w:val="00BA0C3C"/>
    <w:rsid w:val="00BA68ED"/>
    <w:rsid w:val="00BD0451"/>
    <w:rsid w:val="00BD7C81"/>
    <w:rsid w:val="00C23385"/>
    <w:rsid w:val="00C30570"/>
    <w:rsid w:val="00C97177"/>
    <w:rsid w:val="00CC38E5"/>
    <w:rsid w:val="00CD3745"/>
    <w:rsid w:val="00CD535F"/>
    <w:rsid w:val="00CE7C1B"/>
    <w:rsid w:val="00D009BB"/>
    <w:rsid w:val="00D45CE4"/>
    <w:rsid w:val="00DD04E3"/>
    <w:rsid w:val="00E002E8"/>
    <w:rsid w:val="00E21B93"/>
    <w:rsid w:val="00E27F26"/>
    <w:rsid w:val="00E47DBA"/>
    <w:rsid w:val="00E539B5"/>
    <w:rsid w:val="00E61CDD"/>
    <w:rsid w:val="00E70E35"/>
    <w:rsid w:val="00E83179"/>
    <w:rsid w:val="00EF0515"/>
    <w:rsid w:val="00EF3C32"/>
    <w:rsid w:val="00F110C8"/>
    <w:rsid w:val="00F130E6"/>
    <w:rsid w:val="00F13E7E"/>
    <w:rsid w:val="00F56D5B"/>
    <w:rsid w:val="00FA05D5"/>
    <w:rsid w:val="00FB3AD4"/>
    <w:rsid w:val="00FC0C1B"/>
    <w:rsid w:val="00FC518E"/>
    <w:rsid w:val="00FD2A30"/>
    <w:rsid w:val="00FE4EF6"/>
    <w:rsid w:val="00FF36C4"/>
    <w:rsid w:val="00FF4BDE"/>
    <w:rsid w:val="481DA025"/>
    <w:rsid w:val="56CA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4CA66"/>
  <w15:chartTrackingRefBased/>
  <w15:docId w15:val="{5EB0196B-731D-4718-805F-6AC01592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1B93"/>
    <w:pPr>
      <w:keepNext/>
      <w:spacing w:after="0" w:line="240" w:lineRule="auto"/>
      <w:outlineLvl w:val="0"/>
    </w:pPr>
    <w:rPr>
      <w:rFonts w:ascii="Arial" w:eastAsia="Times New Roman" w:hAnsi="Arial" w:cs="Times New Roman"/>
      <w:snapToGrid w:val="0"/>
      <w:sz w:val="28"/>
      <w:szCs w:val="20"/>
    </w:rPr>
  </w:style>
  <w:style w:type="paragraph" w:styleId="Heading4">
    <w:name w:val="heading 4"/>
    <w:basedOn w:val="Normal"/>
    <w:next w:val="Normal"/>
    <w:link w:val="Heading4Char"/>
    <w:qFormat/>
    <w:rsid w:val="00E21B93"/>
    <w:pPr>
      <w:keepNext/>
      <w:autoSpaceDE w:val="0"/>
      <w:autoSpaceDN w:val="0"/>
      <w:adjustRightInd w:val="0"/>
      <w:spacing w:after="0" w:line="240" w:lineRule="auto"/>
      <w:outlineLvl w:val="3"/>
    </w:pPr>
    <w:rPr>
      <w:rFonts w:ascii="Times New Roman" w:eastAsia="Times"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2868"/>
    <w:pPr>
      <w:spacing w:after="0" w:line="240" w:lineRule="auto"/>
    </w:pPr>
  </w:style>
  <w:style w:type="character" w:customStyle="1" w:styleId="Heading1Char">
    <w:name w:val="Heading 1 Char"/>
    <w:basedOn w:val="DefaultParagraphFont"/>
    <w:link w:val="Heading1"/>
    <w:rsid w:val="00E21B93"/>
    <w:rPr>
      <w:rFonts w:ascii="Arial" w:eastAsia="Times New Roman" w:hAnsi="Arial" w:cs="Times New Roman"/>
      <w:snapToGrid w:val="0"/>
      <w:sz w:val="28"/>
      <w:szCs w:val="20"/>
    </w:rPr>
  </w:style>
  <w:style w:type="character" w:customStyle="1" w:styleId="Heading4Char">
    <w:name w:val="Heading 4 Char"/>
    <w:basedOn w:val="DefaultParagraphFont"/>
    <w:link w:val="Heading4"/>
    <w:rsid w:val="00E21B93"/>
    <w:rPr>
      <w:rFonts w:ascii="Times New Roman" w:eastAsia="Times" w:hAnsi="Times New Roman" w:cs="Times New Roman"/>
      <w:b/>
      <w:sz w:val="24"/>
      <w:szCs w:val="20"/>
    </w:rPr>
  </w:style>
  <w:style w:type="paragraph" w:styleId="Header">
    <w:name w:val="header"/>
    <w:basedOn w:val="Normal"/>
    <w:link w:val="HeaderChar"/>
    <w:uiPriority w:val="99"/>
    <w:unhideWhenUsed/>
    <w:rsid w:val="00FF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6C4"/>
  </w:style>
  <w:style w:type="paragraph" w:styleId="Footer">
    <w:name w:val="footer"/>
    <w:basedOn w:val="Normal"/>
    <w:link w:val="FooterChar"/>
    <w:uiPriority w:val="99"/>
    <w:unhideWhenUsed/>
    <w:rsid w:val="00FF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6C4"/>
  </w:style>
  <w:style w:type="paragraph" w:customStyle="1" w:styleId="xmsonormal">
    <w:name w:val="x_msonormal"/>
    <w:basedOn w:val="Normal"/>
    <w:rsid w:val="00295D44"/>
    <w:pPr>
      <w:spacing w:after="0"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46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705</Words>
  <Characters>4080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Roll</dc:creator>
  <cp:keywords/>
  <dc:description/>
  <cp:lastModifiedBy>Deborah Serrata (MCAO)</cp:lastModifiedBy>
  <cp:revision>2</cp:revision>
  <cp:lastPrinted>2024-04-09T21:52:00Z</cp:lastPrinted>
  <dcterms:created xsi:type="dcterms:W3CDTF">2024-04-24T16:22:00Z</dcterms:created>
  <dcterms:modified xsi:type="dcterms:W3CDTF">2024-04-24T16:22:00Z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cda5f27368516d396f0a3d79d65146eff51c7afdfd2b7d223413a01ef6c8f10b</vt:lpwstr>
  </property>
</Properties>
</file>