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B4D58" w14:textId="77777777" w:rsidR="004649D6" w:rsidRDefault="004649D6"/>
    <w:p w14:paraId="7472E715" w14:textId="77777777" w:rsidR="004649D6" w:rsidRDefault="004649D6" w:rsidP="004649D6">
      <w:pPr>
        <w:suppressAutoHyphens/>
        <w:autoSpaceDE w:val="0"/>
        <w:autoSpaceDN w:val="0"/>
        <w:adjustRightInd w:val="0"/>
        <w:spacing w:line="240" w:lineRule="atLeast"/>
        <w:rPr>
          <w:szCs w:val="26"/>
        </w:rPr>
      </w:pPr>
    </w:p>
    <w:p w14:paraId="771800B8" w14:textId="77777777" w:rsidR="004649D6" w:rsidRDefault="004649D6">
      <w:pPr>
        <w:spacing w:line="200" w:lineRule="exact"/>
      </w:pPr>
    </w:p>
    <w:p w14:paraId="6EE088DA" w14:textId="77777777" w:rsidR="004A2B6C" w:rsidRPr="004A2B6C" w:rsidRDefault="004A2B6C" w:rsidP="004A2B6C"/>
    <w:p w14:paraId="36EF16B2" w14:textId="77777777" w:rsidR="004A2B6C" w:rsidRPr="004A2B6C" w:rsidRDefault="004A2B6C" w:rsidP="004A2B6C"/>
    <w:p w14:paraId="0D467C1D" w14:textId="77777777" w:rsidR="004A2B6C" w:rsidRPr="004A2B6C" w:rsidRDefault="004A2B6C" w:rsidP="004A2B6C"/>
    <w:p w14:paraId="64142905" w14:textId="77777777" w:rsidR="004A2B6C" w:rsidRPr="004A2B6C" w:rsidRDefault="004A2B6C" w:rsidP="004A2B6C"/>
    <w:p w14:paraId="74767F67" w14:textId="77777777" w:rsidR="004A2B6C" w:rsidRPr="004A2B6C" w:rsidRDefault="004A2B6C" w:rsidP="004A2B6C"/>
    <w:p w14:paraId="0102836A" w14:textId="77777777" w:rsidR="004A2B6C" w:rsidRPr="004A2B6C" w:rsidRDefault="004A2B6C" w:rsidP="004A2B6C"/>
    <w:p w14:paraId="587829AF" w14:textId="77777777" w:rsidR="004A2B6C" w:rsidRPr="004A2B6C" w:rsidRDefault="004A2B6C" w:rsidP="004A2B6C"/>
    <w:p w14:paraId="14E416EA" w14:textId="77777777" w:rsidR="004A2B6C" w:rsidRPr="004A2B6C" w:rsidRDefault="004A2B6C" w:rsidP="004A2B6C"/>
    <w:p w14:paraId="0D4FC303" w14:textId="77777777" w:rsidR="004A2B6C" w:rsidRPr="004A2B6C" w:rsidRDefault="004A2B6C" w:rsidP="004A2B6C"/>
    <w:p w14:paraId="47F8FFD0" w14:textId="77777777" w:rsidR="004A2B6C" w:rsidRPr="004A2B6C" w:rsidRDefault="004A2B6C" w:rsidP="004A2B6C"/>
    <w:p w14:paraId="367AB178" w14:textId="77777777" w:rsidR="004A2B6C" w:rsidRPr="004A2B6C" w:rsidRDefault="004A2B6C" w:rsidP="004A2B6C"/>
    <w:p w14:paraId="1BF71972" w14:textId="77777777" w:rsidR="004A2B6C" w:rsidRPr="004A2B6C" w:rsidRDefault="004A2B6C" w:rsidP="004A2B6C"/>
    <w:p w14:paraId="7197DD83" w14:textId="77777777" w:rsidR="004A2B6C" w:rsidRDefault="004A2B6C" w:rsidP="004A2B6C"/>
    <w:p w14:paraId="6A19E625" w14:textId="77777777" w:rsidR="004A2B6C" w:rsidRDefault="004A2B6C" w:rsidP="004A2B6C">
      <w:pPr>
        <w:tabs>
          <w:tab w:val="left" w:pos="2400"/>
        </w:tabs>
      </w:pPr>
      <w:r>
        <w:tab/>
      </w:r>
    </w:p>
    <w:p w14:paraId="7E9F0782" w14:textId="77777777" w:rsidR="00CB5A2C" w:rsidRDefault="00CB5A2C" w:rsidP="00FF6BCD">
      <w:pPr>
        <w:pStyle w:val="PlainText"/>
        <w:tabs>
          <w:tab w:val="left" w:pos="720"/>
          <w:tab w:val="left" w:pos="4320"/>
          <w:tab w:val="left" w:pos="5587"/>
        </w:tabs>
        <w:jc w:val="center"/>
        <w:rPr>
          <w:rFonts w:ascii="Times New Roman" w:eastAsia="MS Mincho" w:hAnsi="Times New Roman" w:cs="Times New Roman"/>
          <w:b/>
          <w:sz w:val="26"/>
          <w:szCs w:val="26"/>
        </w:rPr>
      </w:pPr>
      <w:bookmarkStart w:id="0" w:name="_Hlk59176538"/>
    </w:p>
    <w:p w14:paraId="35EFFFE9" w14:textId="77777777" w:rsidR="00FF6BCD" w:rsidRPr="00AD4E24" w:rsidRDefault="00A056FC" w:rsidP="007149CC">
      <w:pPr>
        <w:pStyle w:val="PlainText"/>
        <w:tabs>
          <w:tab w:val="left" w:pos="720"/>
          <w:tab w:val="left" w:pos="4320"/>
          <w:tab w:val="left" w:pos="5587"/>
        </w:tabs>
        <w:jc w:val="center"/>
        <w:rPr>
          <w:rFonts w:ascii="Times New Roman" w:eastAsia="MS Mincho" w:hAnsi="Times New Roman" w:cs="Times New Roman"/>
          <w:b/>
          <w:sz w:val="26"/>
          <w:szCs w:val="26"/>
        </w:rPr>
      </w:pPr>
      <w:r w:rsidRPr="00AD4E24">
        <w:rPr>
          <w:rFonts w:ascii="Times New Roman" w:eastAsia="MS Mincho" w:hAnsi="Times New Roman" w:cs="Times New Roman"/>
          <w:b/>
          <w:sz w:val="26"/>
          <w:szCs w:val="26"/>
        </w:rPr>
        <w:t xml:space="preserve">IN THE </w:t>
      </w:r>
      <w:r w:rsidR="007149CC" w:rsidRPr="00AD4E24">
        <w:rPr>
          <w:rFonts w:ascii="Times New Roman" w:eastAsia="MS Mincho" w:hAnsi="Times New Roman" w:cs="Times New Roman"/>
          <w:b/>
          <w:sz w:val="26"/>
          <w:szCs w:val="26"/>
        </w:rPr>
        <w:t>SUPREME COURT</w:t>
      </w:r>
    </w:p>
    <w:p w14:paraId="533966E2" w14:textId="77777777" w:rsidR="007149CC" w:rsidRPr="00AD4E24" w:rsidRDefault="007149CC" w:rsidP="007149CC">
      <w:pPr>
        <w:pStyle w:val="PlainText"/>
        <w:tabs>
          <w:tab w:val="left" w:pos="720"/>
          <w:tab w:val="left" w:pos="4320"/>
          <w:tab w:val="left" w:pos="5587"/>
        </w:tabs>
        <w:jc w:val="center"/>
        <w:rPr>
          <w:rFonts w:ascii="Times New Roman" w:eastAsia="MS Mincho" w:hAnsi="Times New Roman" w:cs="Times New Roman"/>
          <w:b/>
          <w:sz w:val="26"/>
          <w:szCs w:val="26"/>
        </w:rPr>
      </w:pPr>
      <w:r w:rsidRPr="00AD4E24">
        <w:rPr>
          <w:rFonts w:ascii="Times New Roman" w:eastAsia="MS Mincho" w:hAnsi="Times New Roman" w:cs="Times New Roman"/>
          <w:b/>
          <w:sz w:val="26"/>
          <w:szCs w:val="26"/>
        </w:rPr>
        <w:t>STATE OF ARIZONA</w:t>
      </w:r>
    </w:p>
    <w:p w14:paraId="5C2CD2C0" w14:textId="77777777" w:rsidR="00FF6BCD" w:rsidRPr="00AD4E24" w:rsidRDefault="00FF6BCD" w:rsidP="00FF6BCD">
      <w:pPr>
        <w:pStyle w:val="PlainText"/>
        <w:tabs>
          <w:tab w:val="left" w:pos="720"/>
          <w:tab w:val="left" w:pos="4320"/>
          <w:tab w:val="left" w:pos="5587"/>
        </w:tabs>
        <w:jc w:val="center"/>
        <w:rPr>
          <w:rFonts w:ascii="Times New Roman" w:eastAsia="MS Mincho" w:hAnsi="Times New Roman" w:cs="Times New Roman"/>
          <w:b/>
          <w:sz w:val="26"/>
          <w:szCs w:val="26"/>
        </w:rPr>
      </w:pPr>
    </w:p>
    <w:tbl>
      <w:tblPr>
        <w:tblW w:w="9972" w:type="dxa"/>
        <w:tblLook w:val="04A0" w:firstRow="1" w:lastRow="0" w:firstColumn="1" w:lastColumn="0" w:noHBand="0" w:noVBand="1"/>
      </w:tblPr>
      <w:tblGrid>
        <w:gridCol w:w="4698"/>
        <w:gridCol w:w="5274"/>
      </w:tblGrid>
      <w:tr w:rsidR="00D14BE8" w:rsidRPr="00AD4E24" w14:paraId="730D186B" w14:textId="77777777" w:rsidTr="00D14BE8">
        <w:trPr>
          <w:trHeight w:val="2412"/>
        </w:trPr>
        <w:tc>
          <w:tcPr>
            <w:tcW w:w="4698" w:type="dxa"/>
            <w:tcBorders>
              <w:top w:val="nil"/>
              <w:left w:val="nil"/>
              <w:bottom w:val="single" w:sz="4" w:space="0" w:color="auto"/>
              <w:right w:val="single" w:sz="4" w:space="0" w:color="auto"/>
            </w:tcBorders>
          </w:tcPr>
          <w:bookmarkEnd w:id="0"/>
          <w:p w14:paraId="3E9E0A1C" w14:textId="77777777" w:rsidR="007149CC" w:rsidRPr="00AD4E24" w:rsidRDefault="007149CC" w:rsidP="007149CC">
            <w:pPr>
              <w:pStyle w:val="Heading6"/>
              <w:rPr>
                <w:rFonts w:ascii="Times New Roman" w:hAnsi="Times New Roman"/>
                <w:szCs w:val="26"/>
              </w:rPr>
            </w:pPr>
            <w:r w:rsidRPr="00AD4E24">
              <w:rPr>
                <w:rFonts w:ascii="Times New Roman" w:hAnsi="Times New Roman"/>
                <w:i w:val="0"/>
                <w:szCs w:val="26"/>
              </w:rPr>
              <w:t xml:space="preserve">In the Matter of: </w:t>
            </w:r>
          </w:p>
          <w:p w14:paraId="4FF69F66" w14:textId="77777777" w:rsidR="007149CC" w:rsidRPr="00AD4E24" w:rsidRDefault="007149CC" w:rsidP="00A056FC">
            <w:pPr>
              <w:spacing w:line="240" w:lineRule="auto"/>
              <w:rPr>
                <w:szCs w:val="26"/>
              </w:rPr>
            </w:pPr>
          </w:p>
          <w:p w14:paraId="434DF3FB" w14:textId="77777777" w:rsidR="00D14BE8" w:rsidRPr="00AD4E24" w:rsidRDefault="007149CC" w:rsidP="00A056FC">
            <w:pPr>
              <w:spacing w:line="240" w:lineRule="auto"/>
              <w:rPr>
                <w:szCs w:val="26"/>
              </w:rPr>
            </w:pPr>
            <w:r w:rsidRPr="00AD4E24">
              <w:rPr>
                <w:szCs w:val="26"/>
              </w:rPr>
              <w:t xml:space="preserve">PETITION TO AMEND RULE </w:t>
            </w:r>
            <w:r w:rsidR="00450494" w:rsidRPr="00AD4E24">
              <w:rPr>
                <w:szCs w:val="26"/>
              </w:rPr>
              <w:t>5(d)</w:t>
            </w:r>
            <w:r w:rsidRPr="00AD4E24">
              <w:rPr>
                <w:szCs w:val="26"/>
              </w:rPr>
              <w:t>, ARIZONA RULES OF PROCEDURE FOR EVICTION ACTIONS</w:t>
            </w:r>
          </w:p>
        </w:tc>
        <w:tc>
          <w:tcPr>
            <w:tcW w:w="5274" w:type="dxa"/>
            <w:tcBorders>
              <w:top w:val="nil"/>
              <w:left w:val="single" w:sz="4" w:space="0" w:color="auto"/>
              <w:bottom w:val="nil"/>
              <w:right w:val="nil"/>
            </w:tcBorders>
          </w:tcPr>
          <w:p w14:paraId="2095BB8D" w14:textId="77777777" w:rsidR="00D14BE8" w:rsidRPr="00AD4E24" w:rsidRDefault="007149CC" w:rsidP="007149CC">
            <w:pPr>
              <w:pStyle w:val="Heading4"/>
              <w:rPr>
                <w:rFonts w:ascii="Times New Roman" w:hAnsi="Times New Roman"/>
                <w:b w:val="0"/>
                <w:szCs w:val="26"/>
              </w:rPr>
            </w:pPr>
            <w:r w:rsidRPr="00AD4E24">
              <w:rPr>
                <w:rFonts w:ascii="Times New Roman" w:hAnsi="Times New Roman"/>
                <w:b w:val="0"/>
                <w:szCs w:val="26"/>
              </w:rPr>
              <w:t>Supreme Court No.</w:t>
            </w:r>
            <w:r w:rsidR="00BD03DD" w:rsidRPr="00AD4E24">
              <w:rPr>
                <w:rFonts w:ascii="Times New Roman" w:hAnsi="Times New Roman"/>
                <w:b w:val="0"/>
                <w:szCs w:val="26"/>
              </w:rPr>
              <w:t xml:space="preserve"> R-2</w:t>
            </w:r>
            <w:r w:rsidR="00EF2D04" w:rsidRPr="00AD4E24">
              <w:rPr>
                <w:rFonts w:ascii="Times New Roman" w:hAnsi="Times New Roman"/>
                <w:b w:val="0"/>
                <w:szCs w:val="26"/>
              </w:rPr>
              <w:t>4</w:t>
            </w:r>
            <w:r w:rsidR="00BD03DD" w:rsidRPr="00AD4E24">
              <w:rPr>
                <w:rFonts w:ascii="Times New Roman" w:hAnsi="Times New Roman"/>
                <w:b w:val="0"/>
                <w:szCs w:val="26"/>
              </w:rPr>
              <w:t>-002</w:t>
            </w:r>
            <w:r w:rsidR="00EF2D04" w:rsidRPr="00AD4E24">
              <w:rPr>
                <w:rFonts w:ascii="Times New Roman" w:hAnsi="Times New Roman"/>
                <w:b w:val="0"/>
                <w:szCs w:val="26"/>
              </w:rPr>
              <w:t>4</w:t>
            </w:r>
          </w:p>
          <w:p w14:paraId="2B48E21F" w14:textId="77777777" w:rsidR="00D14BE8" w:rsidRPr="00AD4E24" w:rsidRDefault="00D14BE8">
            <w:pPr>
              <w:pStyle w:val="BodyTextIndent"/>
              <w:ind w:left="0"/>
              <w:jc w:val="both"/>
              <w:rPr>
                <w:b/>
                <w:szCs w:val="26"/>
              </w:rPr>
            </w:pPr>
          </w:p>
          <w:p w14:paraId="26178732" w14:textId="77777777" w:rsidR="00D14BE8" w:rsidRPr="00AD4E24" w:rsidRDefault="00DC7B96" w:rsidP="007149CC">
            <w:pPr>
              <w:pStyle w:val="BodyTextIndent"/>
              <w:ind w:left="0"/>
              <w:rPr>
                <w:b/>
                <w:szCs w:val="26"/>
              </w:rPr>
            </w:pPr>
            <w:r w:rsidRPr="00AD4E24">
              <w:rPr>
                <w:b/>
                <w:szCs w:val="26"/>
              </w:rPr>
              <w:t>Comment to Petition to Amend Rule 5(d), Arizona Rules of Procedure for Eviction Actions</w:t>
            </w:r>
          </w:p>
          <w:p w14:paraId="6FAA4B06" w14:textId="77777777" w:rsidR="002D46FA" w:rsidRPr="00AD4E24" w:rsidRDefault="002D46FA">
            <w:pPr>
              <w:pStyle w:val="BodyTextIndent"/>
              <w:ind w:left="0"/>
              <w:rPr>
                <w:b/>
                <w:bCs/>
                <w:szCs w:val="26"/>
              </w:rPr>
            </w:pPr>
          </w:p>
        </w:tc>
      </w:tr>
    </w:tbl>
    <w:p w14:paraId="586EA8CC" w14:textId="77777777" w:rsidR="002D46FA" w:rsidRDefault="002D46FA" w:rsidP="00A978E0">
      <w:pPr>
        <w:pStyle w:val="PlainText"/>
        <w:spacing w:line="480" w:lineRule="auto"/>
        <w:jc w:val="both"/>
        <w:rPr>
          <w:rFonts w:ascii="Times New Roman" w:eastAsia="MS Mincho" w:hAnsi="Times New Roman" w:cs="Times New Roman"/>
          <w:sz w:val="26"/>
          <w:szCs w:val="26"/>
        </w:rPr>
      </w:pPr>
    </w:p>
    <w:p w14:paraId="284E718D" w14:textId="77777777" w:rsidR="003A1EED" w:rsidRPr="00AD4E24" w:rsidRDefault="00D14BE8" w:rsidP="00A978E0">
      <w:pPr>
        <w:pStyle w:val="PlainText"/>
        <w:spacing w:line="480" w:lineRule="auto"/>
        <w:jc w:val="both"/>
        <w:rPr>
          <w:rFonts w:ascii="Times New Roman" w:eastAsia="MS Mincho" w:hAnsi="Times New Roman" w:cs="Times New Roman"/>
          <w:sz w:val="26"/>
          <w:szCs w:val="26"/>
        </w:rPr>
      </w:pPr>
      <w:r w:rsidRPr="00AD4E24">
        <w:rPr>
          <w:rFonts w:ascii="Times New Roman" w:eastAsia="MS Mincho" w:hAnsi="Times New Roman" w:cs="Times New Roman"/>
          <w:sz w:val="26"/>
          <w:szCs w:val="26"/>
        </w:rPr>
        <w:tab/>
      </w:r>
      <w:r w:rsidR="007149CC" w:rsidRPr="00AD4E24">
        <w:rPr>
          <w:rFonts w:ascii="Times New Roman" w:eastAsia="MS Mincho" w:hAnsi="Times New Roman" w:cs="Times New Roman"/>
          <w:sz w:val="26"/>
          <w:szCs w:val="26"/>
        </w:rPr>
        <w:t>Commenting Party</w:t>
      </w:r>
      <w:r w:rsidR="00C57B45" w:rsidRPr="00AD4E24">
        <w:rPr>
          <w:rFonts w:ascii="Times New Roman" w:eastAsia="MS Mincho" w:hAnsi="Times New Roman" w:cs="Times New Roman"/>
          <w:sz w:val="26"/>
          <w:szCs w:val="26"/>
        </w:rPr>
        <w:t>,</w:t>
      </w:r>
      <w:r w:rsidR="007149CC" w:rsidRPr="00AD4E24">
        <w:rPr>
          <w:rFonts w:ascii="Times New Roman" w:eastAsia="MS Mincho" w:hAnsi="Times New Roman" w:cs="Times New Roman"/>
          <w:sz w:val="26"/>
          <w:szCs w:val="26"/>
        </w:rPr>
        <w:t xml:space="preserve"> Manufactured Housing Communities of Arizona (“MHCA”)</w:t>
      </w:r>
      <w:r w:rsidR="00C57B45" w:rsidRPr="00AD4E24">
        <w:rPr>
          <w:rFonts w:ascii="Times New Roman" w:eastAsia="MS Mincho" w:hAnsi="Times New Roman" w:cs="Times New Roman"/>
          <w:sz w:val="26"/>
          <w:szCs w:val="26"/>
        </w:rPr>
        <w:t>,</w:t>
      </w:r>
      <w:r w:rsidR="007149CC" w:rsidRPr="00AD4E24">
        <w:rPr>
          <w:rFonts w:ascii="Times New Roman" w:eastAsia="MS Mincho" w:hAnsi="Times New Roman" w:cs="Times New Roman"/>
          <w:sz w:val="26"/>
          <w:szCs w:val="26"/>
        </w:rPr>
        <w:t xml:space="preserve"> hereby opposes the Petition to amend Rule </w:t>
      </w:r>
      <w:r w:rsidR="00EF2D04" w:rsidRPr="00AD4E24">
        <w:rPr>
          <w:rFonts w:ascii="Times New Roman" w:eastAsia="MS Mincho" w:hAnsi="Times New Roman" w:cs="Times New Roman"/>
          <w:sz w:val="26"/>
          <w:szCs w:val="26"/>
        </w:rPr>
        <w:t>5(d)</w:t>
      </w:r>
      <w:r w:rsidR="007149CC" w:rsidRPr="00AD4E24">
        <w:rPr>
          <w:rFonts w:ascii="Times New Roman" w:eastAsia="MS Mincho" w:hAnsi="Times New Roman" w:cs="Times New Roman"/>
          <w:sz w:val="26"/>
          <w:szCs w:val="26"/>
        </w:rPr>
        <w:t xml:space="preserve"> </w:t>
      </w:r>
      <w:r w:rsidR="00AF4485" w:rsidRPr="00AD4E24">
        <w:rPr>
          <w:rFonts w:ascii="Times New Roman" w:eastAsia="MS Mincho" w:hAnsi="Times New Roman" w:cs="Times New Roman"/>
          <w:sz w:val="26"/>
          <w:szCs w:val="26"/>
        </w:rPr>
        <w:t xml:space="preserve">(“Petition”) </w:t>
      </w:r>
      <w:r w:rsidR="007149CC" w:rsidRPr="00AD4E24">
        <w:rPr>
          <w:rFonts w:ascii="Times New Roman" w:eastAsia="MS Mincho" w:hAnsi="Times New Roman" w:cs="Times New Roman"/>
          <w:sz w:val="26"/>
          <w:szCs w:val="26"/>
        </w:rPr>
        <w:t>of the Arizona Rules of Procedure for Eviction Actions (“RPEA”)</w:t>
      </w:r>
      <w:r w:rsidR="00CD7474" w:rsidRPr="00AD4E24">
        <w:rPr>
          <w:rFonts w:ascii="Times New Roman" w:eastAsia="MS Mincho" w:hAnsi="Times New Roman" w:cs="Times New Roman"/>
          <w:sz w:val="26"/>
          <w:szCs w:val="26"/>
        </w:rPr>
        <w:t>,</w:t>
      </w:r>
      <w:r w:rsidR="007149CC" w:rsidRPr="00AD4E24">
        <w:rPr>
          <w:rFonts w:ascii="Times New Roman" w:eastAsia="MS Mincho" w:hAnsi="Times New Roman" w:cs="Times New Roman"/>
          <w:sz w:val="26"/>
          <w:szCs w:val="26"/>
        </w:rPr>
        <w:t xml:space="preserve"> filed by Community Legal Services (“CLS”), DNA People’s Legal Services (“DNA”), Southern Arizona Legal Aid (“SALA”) (collectively “legal services”), and the William E Morris Institute for Justice (“MIJ”), on or about </w:t>
      </w:r>
      <w:r w:rsidR="004F6A68" w:rsidRPr="00AD4E24">
        <w:rPr>
          <w:rFonts w:ascii="Times New Roman" w:eastAsia="MS Mincho" w:hAnsi="Times New Roman" w:cs="Times New Roman"/>
          <w:sz w:val="26"/>
          <w:szCs w:val="26"/>
        </w:rPr>
        <w:t>Jan</w:t>
      </w:r>
      <w:r w:rsidR="007149CC" w:rsidRPr="00AD4E24">
        <w:rPr>
          <w:rFonts w:ascii="Times New Roman" w:eastAsia="MS Mincho" w:hAnsi="Times New Roman" w:cs="Times New Roman"/>
          <w:sz w:val="26"/>
          <w:szCs w:val="26"/>
        </w:rPr>
        <w:t>uary 10, 202</w:t>
      </w:r>
      <w:r w:rsidR="004F6A68" w:rsidRPr="00AD4E24">
        <w:rPr>
          <w:rFonts w:ascii="Times New Roman" w:eastAsia="MS Mincho" w:hAnsi="Times New Roman" w:cs="Times New Roman"/>
          <w:sz w:val="26"/>
          <w:szCs w:val="26"/>
        </w:rPr>
        <w:t>4</w:t>
      </w:r>
      <w:r w:rsidR="003A1EED" w:rsidRPr="00AD4E24">
        <w:rPr>
          <w:rFonts w:ascii="Times New Roman" w:eastAsia="MS Mincho" w:hAnsi="Times New Roman" w:cs="Times New Roman"/>
          <w:sz w:val="26"/>
          <w:szCs w:val="26"/>
        </w:rPr>
        <w:t>.</w:t>
      </w:r>
    </w:p>
    <w:p w14:paraId="64670716" w14:textId="77777777" w:rsidR="00F02478" w:rsidRPr="00AD4E24" w:rsidRDefault="003A1EED" w:rsidP="00A978E0">
      <w:pPr>
        <w:pStyle w:val="PlainText"/>
        <w:spacing w:line="480" w:lineRule="auto"/>
        <w:jc w:val="both"/>
        <w:rPr>
          <w:rFonts w:ascii="Times New Roman" w:eastAsia="MS Mincho" w:hAnsi="Times New Roman" w:cs="Times New Roman"/>
          <w:sz w:val="26"/>
          <w:szCs w:val="26"/>
        </w:rPr>
      </w:pPr>
      <w:r w:rsidRPr="00AD4E24">
        <w:rPr>
          <w:rFonts w:ascii="Times New Roman" w:eastAsia="MS Mincho" w:hAnsi="Times New Roman" w:cs="Times New Roman"/>
          <w:sz w:val="26"/>
          <w:szCs w:val="26"/>
        </w:rPr>
        <w:tab/>
        <w:t xml:space="preserve">In summary, </w:t>
      </w:r>
      <w:r w:rsidR="009F4A13" w:rsidRPr="00AD4E24">
        <w:rPr>
          <w:rFonts w:ascii="Times New Roman" w:eastAsia="MS Mincho" w:hAnsi="Times New Roman" w:cs="Times New Roman"/>
          <w:sz w:val="26"/>
          <w:szCs w:val="26"/>
        </w:rPr>
        <w:t>Petitioners yet again attempt to use this Court</w:t>
      </w:r>
      <w:r w:rsidR="00BE5AAF">
        <w:rPr>
          <w:rFonts w:ascii="Times New Roman" w:eastAsia="MS Mincho" w:hAnsi="Times New Roman" w:cs="Times New Roman"/>
          <w:sz w:val="26"/>
          <w:szCs w:val="26"/>
        </w:rPr>
        <w:t>’s procedural rul</w:t>
      </w:r>
      <w:r w:rsidR="002D46FA">
        <w:rPr>
          <w:rFonts w:ascii="Times New Roman" w:eastAsia="MS Mincho" w:hAnsi="Times New Roman" w:cs="Times New Roman"/>
          <w:sz w:val="26"/>
          <w:szCs w:val="26"/>
        </w:rPr>
        <w:t xml:space="preserve">e </w:t>
      </w:r>
      <w:r w:rsidR="00BE5AAF">
        <w:rPr>
          <w:rFonts w:ascii="Times New Roman" w:eastAsia="MS Mincho" w:hAnsi="Times New Roman" w:cs="Times New Roman"/>
          <w:sz w:val="26"/>
          <w:szCs w:val="26"/>
        </w:rPr>
        <w:t>making process</w:t>
      </w:r>
      <w:r w:rsidR="009F4A13" w:rsidRPr="00AD4E24">
        <w:rPr>
          <w:rFonts w:ascii="Times New Roman" w:eastAsia="MS Mincho" w:hAnsi="Times New Roman" w:cs="Times New Roman"/>
          <w:sz w:val="26"/>
          <w:szCs w:val="26"/>
        </w:rPr>
        <w:t xml:space="preserve"> as an inappropriate mechanism in order to enact their politically backed agendas, in complete disregard of the State of Arizona Constitution and foundational separation of powers principle. Petition</w:t>
      </w:r>
      <w:r w:rsidR="00DD543E" w:rsidRPr="00AD4E24">
        <w:rPr>
          <w:rFonts w:ascii="Times New Roman" w:eastAsia="MS Mincho" w:hAnsi="Times New Roman" w:cs="Times New Roman"/>
          <w:sz w:val="26"/>
          <w:szCs w:val="26"/>
        </w:rPr>
        <w:t xml:space="preserve">ers use Petition R-24-0024 as a trojan horse in </w:t>
      </w:r>
      <w:r w:rsidR="00396476" w:rsidRPr="00AD4E24">
        <w:rPr>
          <w:rFonts w:ascii="Times New Roman" w:eastAsia="MS Mincho" w:hAnsi="Times New Roman" w:cs="Times New Roman"/>
          <w:sz w:val="26"/>
          <w:szCs w:val="26"/>
        </w:rPr>
        <w:t>attempt</w:t>
      </w:r>
      <w:r w:rsidR="00DD543E" w:rsidRPr="00AD4E24">
        <w:rPr>
          <w:rFonts w:ascii="Times New Roman" w:eastAsia="MS Mincho" w:hAnsi="Times New Roman" w:cs="Times New Roman"/>
          <w:sz w:val="26"/>
          <w:szCs w:val="26"/>
        </w:rPr>
        <w:t xml:space="preserve"> to codify </w:t>
      </w:r>
      <w:r w:rsidR="00F169B4" w:rsidRPr="00AD4E24">
        <w:rPr>
          <w:rFonts w:ascii="Times New Roman" w:eastAsia="MS Mincho" w:hAnsi="Times New Roman" w:cs="Times New Roman"/>
          <w:sz w:val="26"/>
          <w:szCs w:val="26"/>
        </w:rPr>
        <w:t>a</w:t>
      </w:r>
      <w:r w:rsidR="00BE5AAF">
        <w:rPr>
          <w:rFonts w:ascii="Times New Roman" w:eastAsia="MS Mincho" w:hAnsi="Times New Roman" w:cs="Times New Roman"/>
          <w:sz w:val="26"/>
          <w:szCs w:val="26"/>
        </w:rPr>
        <w:t xml:space="preserve"> </w:t>
      </w:r>
      <w:r w:rsidR="00BE5AAF">
        <w:rPr>
          <w:rFonts w:ascii="Times New Roman" w:eastAsia="MS Mincho" w:hAnsi="Times New Roman" w:cs="Times New Roman"/>
          <w:sz w:val="26"/>
          <w:szCs w:val="26"/>
        </w:rPr>
        <w:lastRenderedPageBreak/>
        <w:t>disputed</w:t>
      </w:r>
      <w:r w:rsidR="00F169B4" w:rsidRPr="00AD4E24">
        <w:rPr>
          <w:rFonts w:ascii="Times New Roman" w:eastAsia="MS Mincho" w:hAnsi="Times New Roman" w:cs="Times New Roman"/>
          <w:sz w:val="26"/>
          <w:szCs w:val="26"/>
        </w:rPr>
        <w:t xml:space="preserve"> </w:t>
      </w:r>
      <w:r w:rsidR="00DD543E" w:rsidRPr="00AD4E24">
        <w:rPr>
          <w:rFonts w:ascii="Times New Roman" w:eastAsia="MS Mincho" w:hAnsi="Times New Roman" w:cs="Times New Roman"/>
          <w:sz w:val="26"/>
          <w:szCs w:val="26"/>
        </w:rPr>
        <w:t>substantive rule that is being debated in courts and legislatures across this country as a</w:t>
      </w:r>
      <w:r w:rsidR="006735ED">
        <w:rPr>
          <w:rFonts w:ascii="Times New Roman" w:eastAsia="MS Mincho" w:hAnsi="Times New Roman" w:cs="Times New Roman"/>
          <w:sz w:val="26"/>
          <w:szCs w:val="26"/>
        </w:rPr>
        <w:t>n</w:t>
      </w:r>
      <w:r w:rsidR="00DD543E" w:rsidRPr="00AD4E24">
        <w:rPr>
          <w:rFonts w:ascii="Times New Roman" w:eastAsia="MS Mincho" w:hAnsi="Times New Roman" w:cs="Times New Roman"/>
          <w:sz w:val="26"/>
          <w:szCs w:val="26"/>
        </w:rPr>
        <w:t xml:space="preserve"> </w:t>
      </w:r>
      <w:r w:rsidR="002144F1" w:rsidRPr="00AD4E24">
        <w:rPr>
          <w:rFonts w:ascii="Times New Roman" w:eastAsia="MS Mincho" w:hAnsi="Times New Roman" w:cs="Times New Roman"/>
          <w:sz w:val="26"/>
          <w:szCs w:val="26"/>
        </w:rPr>
        <w:t>“…important procedural notice requirement….”</w:t>
      </w:r>
      <w:r w:rsidR="002144F1" w:rsidRPr="00AD4E24">
        <w:rPr>
          <w:rStyle w:val="FootnoteReference"/>
          <w:rFonts w:ascii="Times New Roman" w:eastAsia="MS Mincho" w:hAnsi="Times New Roman" w:cs="Times New Roman"/>
          <w:sz w:val="26"/>
          <w:szCs w:val="26"/>
        </w:rPr>
        <w:footnoteReference w:id="1"/>
      </w:r>
    </w:p>
    <w:p w14:paraId="5F87C12A" w14:textId="77777777" w:rsidR="00B26A2C" w:rsidRPr="00AD4E24" w:rsidRDefault="00F169B4" w:rsidP="00A978E0">
      <w:pPr>
        <w:pStyle w:val="PlainText"/>
        <w:spacing w:line="480" w:lineRule="auto"/>
        <w:jc w:val="both"/>
        <w:rPr>
          <w:rFonts w:ascii="Times New Roman" w:eastAsia="MS Mincho" w:hAnsi="Times New Roman" w:cs="Times New Roman"/>
          <w:sz w:val="26"/>
          <w:szCs w:val="26"/>
        </w:rPr>
      </w:pPr>
      <w:r w:rsidRPr="00AD4E24">
        <w:rPr>
          <w:rFonts w:ascii="Times New Roman" w:eastAsia="MS Mincho" w:hAnsi="Times New Roman" w:cs="Times New Roman"/>
          <w:sz w:val="26"/>
          <w:szCs w:val="26"/>
        </w:rPr>
        <w:tab/>
        <w:t xml:space="preserve">Petitioners justify </w:t>
      </w:r>
      <w:r w:rsidR="008A3809" w:rsidRPr="00AD4E24">
        <w:rPr>
          <w:rFonts w:ascii="Times New Roman" w:eastAsia="MS Mincho" w:hAnsi="Times New Roman" w:cs="Times New Roman"/>
          <w:sz w:val="26"/>
          <w:szCs w:val="26"/>
        </w:rPr>
        <w:t xml:space="preserve">the </w:t>
      </w:r>
      <w:r w:rsidRPr="00AD4E24">
        <w:rPr>
          <w:rFonts w:ascii="Times New Roman" w:eastAsia="MS Mincho" w:hAnsi="Times New Roman" w:cs="Times New Roman"/>
          <w:sz w:val="26"/>
          <w:szCs w:val="26"/>
        </w:rPr>
        <w:t xml:space="preserve">rule change by </w:t>
      </w:r>
      <w:r w:rsidR="0085439F" w:rsidRPr="00AD4E24">
        <w:rPr>
          <w:rFonts w:ascii="Times New Roman" w:eastAsia="MS Mincho" w:hAnsi="Times New Roman" w:cs="Times New Roman"/>
          <w:sz w:val="26"/>
          <w:szCs w:val="26"/>
        </w:rPr>
        <w:t xml:space="preserve">using half-truths to </w:t>
      </w:r>
      <w:r w:rsidR="008A3809" w:rsidRPr="00AD4E24">
        <w:rPr>
          <w:rFonts w:ascii="Times New Roman" w:eastAsia="MS Mincho" w:hAnsi="Times New Roman" w:cs="Times New Roman"/>
          <w:sz w:val="26"/>
          <w:szCs w:val="26"/>
        </w:rPr>
        <w:t>mislead</w:t>
      </w:r>
      <w:r w:rsidRPr="00AD4E24">
        <w:rPr>
          <w:rFonts w:ascii="Times New Roman" w:eastAsia="MS Mincho" w:hAnsi="Times New Roman" w:cs="Times New Roman"/>
          <w:sz w:val="26"/>
          <w:szCs w:val="26"/>
        </w:rPr>
        <w:t xml:space="preserve"> </w:t>
      </w:r>
      <w:r w:rsidR="008A3809" w:rsidRPr="00AD4E24">
        <w:rPr>
          <w:rFonts w:ascii="Times New Roman" w:eastAsia="MS Mincho" w:hAnsi="Times New Roman" w:cs="Times New Roman"/>
          <w:sz w:val="26"/>
          <w:szCs w:val="26"/>
        </w:rPr>
        <w:t>this</w:t>
      </w:r>
      <w:r w:rsidRPr="00AD4E24">
        <w:rPr>
          <w:rFonts w:ascii="Times New Roman" w:eastAsia="MS Mincho" w:hAnsi="Times New Roman" w:cs="Times New Roman"/>
          <w:sz w:val="26"/>
          <w:szCs w:val="26"/>
        </w:rPr>
        <w:t xml:space="preserve"> Court. Petitioners state “[i]n Arizona eviction actions, the proposed rule amendment will change nothing.  The amendment proposed in this Petition will only affect eviction actions filed to recover possession of rental homes at properties where owners benefit financially and otherwise from participation in various federal housing, mortgage, and rent subsidy programs.” </w:t>
      </w:r>
    </w:p>
    <w:p w14:paraId="760A50DB" w14:textId="77777777" w:rsidR="00F169B4" w:rsidRPr="00AD4E24" w:rsidRDefault="008A3809" w:rsidP="00B26A2C">
      <w:pPr>
        <w:pStyle w:val="PlainText"/>
        <w:spacing w:line="480" w:lineRule="auto"/>
        <w:ind w:firstLine="720"/>
        <w:jc w:val="both"/>
        <w:rPr>
          <w:rFonts w:ascii="Times New Roman" w:eastAsia="MS Mincho" w:hAnsi="Times New Roman" w:cs="Times New Roman"/>
          <w:sz w:val="26"/>
          <w:szCs w:val="26"/>
          <w:highlight w:val="yellow"/>
        </w:rPr>
      </w:pPr>
      <w:r w:rsidRPr="00AD4E24">
        <w:rPr>
          <w:rFonts w:ascii="Times New Roman" w:eastAsia="MS Mincho" w:hAnsi="Times New Roman" w:cs="Times New Roman"/>
          <w:sz w:val="26"/>
          <w:szCs w:val="26"/>
        </w:rPr>
        <w:t>If</w:t>
      </w:r>
      <w:r w:rsidR="00B154F8" w:rsidRPr="00AD4E24">
        <w:rPr>
          <w:rFonts w:ascii="Times New Roman" w:eastAsia="MS Mincho" w:hAnsi="Times New Roman" w:cs="Times New Roman"/>
          <w:sz w:val="26"/>
          <w:szCs w:val="26"/>
        </w:rPr>
        <w:t xml:space="preserve"> the proposed rule change is</w:t>
      </w:r>
      <w:r w:rsidRPr="00AD4E24">
        <w:rPr>
          <w:rFonts w:ascii="Times New Roman" w:eastAsia="MS Mincho" w:hAnsi="Times New Roman" w:cs="Times New Roman"/>
          <w:sz w:val="26"/>
          <w:szCs w:val="26"/>
        </w:rPr>
        <w:t xml:space="preserve"> enacted, </w:t>
      </w:r>
      <w:r w:rsidR="00830748">
        <w:rPr>
          <w:rFonts w:ascii="Times New Roman" w:eastAsia="MS Mincho" w:hAnsi="Times New Roman" w:cs="Times New Roman"/>
          <w:sz w:val="26"/>
          <w:szCs w:val="26"/>
        </w:rPr>
        <w:t xml:space="preserve">many </w:t>
      </w:r>
      <w:r w:rsidRPr="00AD4E24">
        <w:rPr>
          <w:rFonts w:ascii="Times New Roman" w:eastAsia="MS Mincho" w:hAnsi="Times New Roman" w:cs="Times New Roman"/>
          <w:sz w:val="26"/>
          <w:szCs w:val="26"/>
        </w:rPr>
        <w:t xml:space="preserve">landlords in the </w:t>
      </w:r>
      <w:r w:rsidR="00830748">
        <w:rPr>
          <w:rFonts w:ascii="Times New Roman" w:eastAsia="MS Mincho" w:hAnsi="Times New Roman" w:cs="Times New Roman"/>
          <w:sz w:val="26"/>
          <w:szCs w:val="26"/>
        </w:rPr>
        <w:t>S</w:t>
      </w:r>
      <w:r w:rsidRPr="00AD4E24">
        <w:rPr>
          <w:rFonts w:ascii="Times New Roman" w:eastAsia="MS Mincho" w:hAnsi="Times New Roman" w:cs="Times New Roman"/>
          <w:sz w:val="26"/>
          <w:szCs w:val="26"/>
        </w:rPr>
        <w:t xml:space="preserve">tate of Arizona would no longer be able to file for evictions until 30 days after a legal notice has been served. </w:t>
      </w:r>
      <w:r w:rsidR="00B26A2C" w:rsidRPr="00AD4E24">
        <w:rPr>
          <w:rFonts w:ascii="Times New Roman" w:eastAsia="MS Mincho" w:hAnsi="Times New Roman" w:cs="Times New Roman"/>
          <w:sz w:val="26"/>
          <w:szCs w:val="26"/>
        </w:rPr>
        <w:t xml:space="preserve">Property owners have the right of possession to their home and </w:t>
      </w:r>
      <w:r w:rsidR="00BE5AAF">
        <w:rPr>
          <w:rFonts w:ascii="Times New Roman" w:eastAsia="MS Mincho" w:hAnsi="Times New Roman" w:cs="Times New Roman"/>
          <w:sz w:val="26"/>
          <w:szCs w:val="26"/>
        </w:rPr>
        <w:t xml:space="preserve">to </w:t>
      </w:r>
      <w:r w:rsidR="00B26A2C" w:rsidRPr="00AD4E24">
        <w:rPr>
          <w:rFonts w:ascii="Times New Roman" w:eastAsia="MS Mincho" w:hAnsi="Times New Roman" w:cs="Times New Roman"/>
          <w:sz w:val="26"/>
          <w:szCs w:val="26"/>
        </w:rPr>
        <w:t xml:space="preserve">contractually provide a tenant the right of possession to their </w:t>
      </w:r>
      <w:r w:rsidR="00914B74" w:rsidRPr="00AD4E24">
        <w:rPr>
          <w:rFonts w:ascii="Times New Roman" w:eastAsia="MS Mincho" w:hAnsi="Times New Roman" w:cs="Times New Roman"/>
          <w:sz w:val="26"/>
          <w:szCs w:val="26"/>
        </w:rPr>
        <w:t xml:space="preserve">property </w:t>
      </w:r>
      <w:r w:rsidR="00B26A2C" w:rsidRPr="00AD4E24">
        <w:rPr>
          <w:rFonts w:ascii="Times New Roman" w:eastAsia="MS Mincho" w:hAnsi="Times New Roman" w:cs="Times New Roman"/>
          <w:sz w:val="26"/>
          <w:szCs w:val="26"/>
        </w:rPr>
        <w:t>for a specific period of time in exchange for consideration. Petition R-24-0024 would codify a contested and debated area of the law, which would remove a property owner’s legal right of possession until 30 days after a legal notice has been served</w:t>
      </w:r>
      <w:r w:rsidR="00BE5AAF">
        <w:rPr>
          <w:rFonts w:ascii="Times New Roman" w:eastAsia="MS Mincho" w:hAnsi="Times New Roman" w:cs="Times New Roman"/>
          <w:sz w:val="26"/>
          <w:szCs w:val="26"/>
        </w:rPr>
        <w:t>, despite state law providing only a 5-day notice period</w:t>
      </w:r>
      <w:r w:rsidR="00B26A2C" w:rsidRPr="00AD4E24">
        <w:rPr>
          <w:rFonts w:ascii="Times New Roman" w:eastAsia="MS Mincho" w:hAnsi="Times New Roman" w:cs="Times New Roman"/>
          <w:sz w:val="26"/>
          <w:szCs w:val="26"/>
        </w:rPr>
        <w:t xml:space="preserve">. </w:t>
      </w:r>
      <w:r w:rsidR="00F1791F" w:rsidRPr="00AD4E24">
        <w:rPr>
          <w:rFonts w:ascii="Times New Roman" w:eastAsia="MS Mincho" w:hAnsi="Times New Roman" w:cs="Times New Roman"/>
          <w:sz w:val="26"/>
          <w:szCs w:val="26"/>
        </w:rPr>
        <w:t>On this basis alone, a</w:t>
      </w:r>
      <w:r w:rsidR="00B26A2C" w:rsidRPr="00AD4E24">
        <w:rPr>
          <w:rFonts w:ascii="Times New Roman" w:eastAsia="MS Mincho" w:hAnsi="Times New Roman" w:cs="Times New Roman"/>
          <w:sz w:val="26"/>
          <w:szCs w:val="26"/>
        </w:rPr>
        <w:t xml:space="preserve"> reasonable person could conclude Petitioners statement of “[i]n Arizona eviction actions, the proposed rule amendment will change nothing” </w:t>
      </w:r>
      <w:r w:rsidR="0082417B" w:rsidRPr="00AD4E24">
        <w:rPr>
          <w:rFonts w:ascii="Times New Roman" w:eastAsia="MS Mincho" w:hAnsi="Times New Roman" w:cs="Times New Roman"/>
          <w:sz w:val="26"/>
          <w:szCs w:val="26"/>
        </w:rPr>
        <w:t>is</w:t>
      </w:r>
      <w:r w:rsidR="00B26A2C" w:rsidRPr="00AD4E24">
        <w:rPr>
          <w:rFonts w:ascii="Times New Roman" w:eastAsia="MS Mincho" w:hAnsi="Times New Roman" w:cs="Times New Roman"/>
          <w:sz w:val="26"/>
          <w:szCs w:val="26"/>
        </w:rPr>
        <w:t xml:space="preserve"> misleading.</w:t>
      </w:r>
      <w:r w:rsidR="00F1791F" w:rsidRPr="00AD4E24">
        <w:rPr>
          <w:rStyle w:val="FootnoteReference"/>
          <w:rFonts w:ascii="Times New Roman" w:eastAsia="MS Mincho" w:hAnsi="Times New Roman" w:cs="Times New Roman"/>
          <w:sz w:val="26"/>
          <w:szCs w:val="26"/>
        </w:rPr>
        <w:footnoteReference w:id="2"/>
      </w:r>
      <w:r w:rsidR="00A24DA3" w:rsidRPr="00AD4E24">
        <w:rPr>
          <w:rFonts w:ascii="Times New Roman" w:eastAsia="MS Mincho" w:hAnsi="Times New Roman" w:cs="Times New Roman"/>
          <w:sz w:val="26"/>
          <w:szCs w:val="26"/>
        </w:rPr>
        <w:t xml:space="preserve"> At its very core, Petition R-24-0024 seeks to change a landlord’s property rights. </w:t>
      </w:r>
      <w:r w:rsidR="00914B74" w:rsidRPr="00AD4E24">
        <w:rPr>
          <w:rFonts w:ascii="Times New Roman" w:eastAsia="MS Mincho" w:hAnsi="Times New Roman" w:cs="Times New Roman"/>
          <w:sz w:val="26"/>
          <w:szCs w:val="26"/>
        </w:rPr>
        <w:t>Currently, most Arizona courts allow a landlord</w:t>
      </w:r>
      <w:r w:rsidR="0082417B" w:rsidRPr="00AD4E24">
        <w:rPr>
          <w:rFonts w:ascii="Times New Roman" w:eastAsia="MS Mincho" w:hAnsi="Times New Roman" w:cs="Times New Roman"/>
          <w:sz w:val="26"/>
          <w:szCs w:val="26"/>
        </w:rPr>
        <w:t xml:space="preserve"> with a CARES Act covered property</w:t>
      </w:r>
      <w:r w:rsidR="00914B74" w:rsidRPr="00AD4E24">
        <w:rPr>
          <w:rFonts w:ascii="Times New Roman" w:eastAsia="MS Mincho" w:hAnsi="Times New Roman" w:cs="Times New Roman"/>
          <w:sz w:val="26"/>
          <w:szCs w:val="26"/>
        </w:rPr>
        <w:t xml:space="preserve"> to file an eviction action based upon </w:t>
      </w:r>
      <w:r w:rsidR="00C43029" w:rsidRPr="00AD4E24">
        <w:rPr>
          <w:rFonts w:ascii="Times New Roman" w:eastAsia="MS Mincho" w:hAnsi="Times New Roman" w:cs="Times New Roman"/>
          <w:sz w:val="26"/>
          <w:szCs w:val="26"/>
        </w:rPr>
        <w:t xml:space="preserve">Arizona </w:t>
      </w:r>
      <w:r w:rsidR="00914B74" w:rsidRPr="00AD4E24">
        <w:rPr>
          <w:rFonts w:ascii="Times New Roman" w:eastAsia="MS Mincho" w:hAnsi="Times New Roman" w:cs="Times New Roman"/>
          <w:sz w:val="26"/>
          <w:szCs w:val="26"/>
        </w:rPr>
        <w:t xml:space="preserve">statutory requirements and only require 30 days from the date of the legal </w:t>
      </w:r>
      <w:r w:rsidR="00914B74" w:rsidRPr="00AD4E24">
        <w:rPr>
          <w:rFonts w:ascii="Times New Roman" w:eastAsia="MS Mincho" w:hAnsi="Times New Roman" w:cs="Times New Roman"/>
          <w:sz w:val="26"/>
          <w:szCs w:val="26"/>
        </w:rPr>
        <w:lastRenderedPageBreak/>
        <w:t xml:space="preserve">notice before the constable may execute the writ of restitution. </w:t>
      </w:r>
      <w:r w:rsidR="00BE5AAF">
        <w:rPr>
          <w:rFonts w:ascii="Times New Roman" w:eastAsia="MS Mincho" w:hAnsi="Times New Roman" w:cs="Times New Roman"/>
          <w:sz w:val="26"/>
          <w:szCs w:val="26"/>
        </w:rPr>
        <w:t xml:space="preserve">Petitioners improperly seek to change this substantive policy, via court rules governing procedure.  </w:t>
      </w:r>
    </w:p>
    <w:p w14:paraId="04CCD148" w14:textId="77777777" w:rsidR="003D29F1" w:rsidRPr="00AD4E24" w:rsidRDefault="00EB05F5" w:rsidP="009F06B9">
      <w:pPr>
        <w:pStyle w:val="PlainText"/>
        <w:spacing w:line="480" w:lineRule="auto"/>
        <w:ind w:firstLine="720"/>
        <w:jc w:val="both"/>
        <w:rPr>
          <w:rFonts w:ascii="Times New Roman" w:eastAsia="MS Mincho" w:hAnsi="Times New Roman" w:cs="Times New Roman"/>
          <w:sz w:val="26"/>
          <w:szCs w:val="26"/>
        </w:rPr>
      </w:pPr>
      <w:r w:rsidRPr="00AD4E24">
        <w:rPr>
          <w:rFonts w:ascii="Times New Roman" w:eastAsia="MS Mincho" w:hAnsi="Times New Roman" w:cs="Times New Roman"/>
          <w:sz w:val="26"/>
          <w:szCs w:val="26"/>
        </w:rPr>
        <w:t xml:space="preserve">Additionally, </w:t>
      </w:r>
      <w:r w:rsidR="00FC6950" w:rsidRPr="00AD4E24">
        <w:rPr>
          <w:rFonts w:ascii="Times New Roman" w:eastAsia="MS Mincho" w:hAnsi="Times New Roman" w:cs="Times New Roman"/>
          <w:sz w:val="26"/>
          <w:szCs w:val="26"/>
        </w:rPr>
        <w:t xml:space="preserve">Petitioners </w:t>
      </w:r>
      <w:r w:rsidRPr="00AD4E24">
        <w:rPr>
          <w:rFonts w:ascii="Times New Roman" w:eastAsia="MS Mincho" w:hAnsi="Times New Roman" w:cs="Times New Roman"/>
          <w:sz w:val="26"/>
          <w:szCs w:val="26"/>
        </w:rPr>
        <w:t>once more</w:t>
      </w:r>
      <w:r w:rsidR="00FC6950" w:rsidRPr="00AD4E24">
        <w:rPr>
          <w:rFonts w:ascii="Times New Roman" w:eastAsia="MS Mincho" w:hAnsi="Times New Roman" w:cs="Times New Roman"/>
          <w:sz w:val="26"/>
          <w:szCs w:val="26"/>
        </w:rPr>
        <w:t xml:space="preserve"> recite the same </w:t>
      </w:r>
      <w:r w:rsidR="003A1EED" w:rsidRPr="00AD4E24">
        <w:rPr>
          <w:rFonts w:ascii="Times New Roman" w:eastAsia="MS Mincho" w:hAnsi="Times New Roman" w:cs="Times New Roman"/>
          <w:sz w:val="26"/>
          <w:szCs w:val="26"/>
        </w:rPr>
        <w:t>lengthy recitation of the harm of evictions and homelessness generally</w:t>
      </w:r>
      <w:r w:rsidR="00830748">
        <w:rPr>
          <w:rFonts w:ascii="Times New Roman" w:eastAsia="MS Mincho" w:hAnsi="Times New Roman" w:cs="Times New Roman"/>
          <w:sz w:val="26"/>
          <w:szCs w:val="26"/>
        </w:rPr>
        <w:t>.</w:t>
      </w:r>
      <w:r w:rsidR="003A1EED" w:rsidRPr="00AD4E24">
        <w:rPr>
          <w:rFonts w:ascii="Times New Roman" w:eastAsia="MS Mincho" w:hAnsi="Times New Roman" w:cs="Times New Roman"/>
          <w:sz w:val="26"/>
          <w:szCs w:val="26"/>
        </w:rPr>
        <w:t xml:space="preserve"> Petitioners</w:t>
      </w:r>
      <w:r w:rsidR="00D902AC" w:rsidRPr="00AD4E24">
        <w:rPr>
          <w:rFonts w:ascii="Times New Roman" w:eastAsia="MS Mincho" w:hAnsi="Times New Roman" w:cs="Times New Roman"/>
          <w:sz w:val="26"/>
          <w:szCs w:val="26"/>
        </w:rPr>
        <w:t xml:space="preserve">: (1) </w:t>
      </w:r>
      <w:r w:rsidR="003A1EED" w:rsidRPr="00AD4E24">
        <w:rPr>
          <w:rFonts w:ascii="Times New Roman" w:eastAsia="MS Mincho" w:hAnsi="Times New Roman" w:cs="Times New Roman"/>
          <w:sz w:val="26"/>
          <w:szCs w:val="26"/>
        </w:rPr>
        <w:t xml:space="preserve">do not provide </w:t>
      </w:r>
      <w:r w:rsidRPr="00AD4E24">
        <w:rPr>
          <w:rFonts w:ascii="Times New Roman" w:eastAsia="MS Mincho" w:hAnsi="Times New Roman" w:cs="Times New Roman"/>
          <w:sz w:val="26"/>
          <w:szCs w:val="26"/>
        </w:rPr>
        <w:t xml:space="preserve">adequate </w:t>
      </w:r>
      <w:r w:rsidR="003A1EED" w:rsidRPr="00AD4E24">
        <w:rPr>
          <w:rFonts w:ascii="Times New Roman" w:eastAsia="MS Mincho" w:hAnsi="Times New Roman" w:cs="Times New Roman"/>
          <w:sz w:val="26"/>
          <w:szCs w:val="26"/>
        </w:rPr>
        <w:t>justification for the current rule change</w:t>
      </w:r>
      <w:r w:rsidR="006E01FC" w:rsidRPr="00AD4E24">
        <w:rPr>
          <w:rFonts w:ascii="Times New Roman" w:eastAsia="MS Mincho" w:hAnsi="Times New Roman" w:cs="Times New Roman"/>
          <w:sz w:val="26"/>
          <w:szCs w:val="26"/>
        </w:rPr>
        <w:t>,</w:t>
      </w:r>
      <w:r w:rsidR="003A1EED" w:rsidRPr="00AD4E24">
        <w:rPr>
          <w:rFonts w:ascii="Times New Roman" w:eastAsia="MS Mincho" w:hAnsi="Times New Roman" w:cs="Times New Roman"/>
          <w:sz w:val="26"/>
          <w:szCs w:val="26"/>
        </w:rPr>
        <w:t xml:space="preserve"> and</w:t>
      </w:r>
      <w:r w:rsidR="00D902AC" w:rsidRPr="00AD4E24">
        <w:rPr>
          <w:rFonts w:ascii="Times New Roman" w:eastAsia="MS Mincho" w:hAnsi="Times New Roman" w:cs="Times New Roman"/>
          <w:sz w:val="26"/>
          <w:szCs w:val="26"/>
        </w:rPr>
        <w:t xml:space="preserve"> (2) do not clearly articulate</w:t>
      </w:r>
      <w:r w:rsidR="003A1EED" w:rsidRPr="00AD4E24">
        <w:rPr>
          <w:rFonts w:ascii="Times New Roman" w:eastAsia="MS Mincho" w:hAnsi="Times New Roman" w:cs="Times New Roman"/>
          <w:sz w:val="26"/>
          <w:szCs w:val="26"/>
        </w:rPr>
        <w:t xml:space="preserve"> the harm they seek to correct. This is another attempt to change </w:t>
      </w:r>
      <w:r w:rsidR="00BE5AAF">
        <w:rPr>
          <w:rFonts w:ascii="Times New Roman" w:eastAsia="MS Mincho" w:hAnsi="Times New Roman" w:cs="Times New Roman"/>
          <w:sz w:val="26"/>
          <w:szCs w:val="26"/>
        </w:rPr>
        <w:t>entire statutory scheme for evictions</w:t>
      </w:r>
      <w:r w:rsidR="00BE5AAF" w:rsidRPr="00AD4E24">
        <w:rPr>
          <w:rFonts w:ascii="Times New Roman" w:eastAsia="MS Mincho" w:hAnsi="Times New Roman" w:cs="Times New Roman"/>
          <w:sz w:val="26"/>
          <w:szCs w:val="26"/>
        </w:rPr>
        <w:t xml:space="preserve"> </w:t>
      </w:r>
      <w:r w:rsidR="003A1EED" w:rsidRPr="00AD4E24">
        <w:rPr>
          <w:rFonts w:ascii="Times New Roman" w:eastAsia="MS Mincho" w:hAnsi="Times New Roman" w:cs="Times New Roman"/>
          <w:sz w:val="26"/>
          <w:szCs w:val="26"/>
        </w:rPr>
        <w:t xml:space="preserve">by arguing that evictions are bad.  </w:t>
      </w:r>
    </w:p>
    <w:p w14:paraId="4085640A" w14:textId="77777777" w:rsidR="00F945D0" w:rsidRPr="00AD4E24" w:rsidRDefault="008333CC" w:rsidP="00C003A9">
      <w:pPr>
        <w:spacing w:line="480" w:lineRule="auto"/>
        <w:jc w:val="both"/>
        <w:rPr>
          <w:szCs w:val="26"/>
        </w:rPr>
      </w:pPr>
      <w:r w:rsidRPr="00AD4E24">
        <w:rPr>
          <w:szCs w:val="26"/>
        </w:rPr>
        <w:tab/>
      </w:r>
      <w:r w:rsidR="00C003A9" w:rsidRPr="00AD4E24">
        <w:rPr>
          <w:szCs w:val="26"/>
        </w:rPr>
        <w:t xml:space="preserve">The Petition includes </w:t>
      </w:r>
      <w:r w:rsidR="00C25ED2" w:rsidRPr="00AD4E24">
        <w:rPr>
          <w:szCs w:val="26"/>
        </w:rPr>
        <w:t xml:space="preserve">a </w:t>
      </w:r>
      <w:r w:rsidR="00C003A9" w:rsidRPr="00AD4E24">
        <w:rPr>
          <w:szCs w:val="26"/>
        </w:rPr>
        <w:t>cut-and-paste of the same justifications and arguments provided in every petition made by tenant advocates</w:t>
      </w:r>
      <w:r w:rsidR="002F2759" w:rsidRPr="00AD4E24">
        <w:rPr>
          <w:szCs w:val="26"/>
        </w:rPr>
        <w:t>:</w:t>
      </w:r>
      <w:r w:rsidR="00C003A9" w:rsidRPr="00AD4E24">
        <w:rPr>
          <w:szCs w:val="26"/>
        </w:rPr>
        <w:t xml:space="preserve"> </w:t>
      </w:r>
      <w:r w:rsidR="001466C9" w:rsidRPr="00AD4E24">
        <w:rPr>
          <w:szCs w:val="26"/>
        </w:rPr>
        <w:t xml:space="preserve">tenants are uneducated, </w:t>
      </w:r>
      <w:r w:rsidR="002F2759" w:rsidRPr="00AD4E24">
        <w:rPr>
          <w:szCs w:val="26"/>
        </w:rPr>
        <w:t>tenants are unrepresented</w:t>
      </w:r>
      <w:r w:rsidR="00357AA1" w:rsidRPr="00AD4E24">
        <w:rPr>
          <w:szCs w:val="26"/>
        </w:rPr>
        <w:t>,</w:t>
      </w:r>
      <w:r w:rsidR="002F2759" w:rsidRPr="00AD4E24">
        <w:rPr>
          <w:szCs w:val="26"/>
        </w:rPr>
        <w:t xml:space="preserve"> tenants are unable to understand </w:t>
      </w:r>
      <w:r w:rsidR="001466C9" w:rsidRPr="00AD4E24">
        <w:rPr>
          <w:szCs w:val="26"/>
        </w:rPr>
        <w:t>eviction proceedings</w:t>
      </w:r>
      <w:r w:rsidR="00C003A9" w:rsidRPr="00AD4E24">
        <w:rPr>
          <w:szCs w:val="26"/>
        </w:rPr>
        <w:t xml:space="preserve">, </w:t>
      </w:r>
      <w:r w:rsidR="002F2759" w:rsidRPr="00AD4E24">
        <w:rPr>
          <w:szCs w:val="26"/>
        </w:rPr>
        <w:t xml:space="preserve">tenants </w:t>
      </w:r>
      <w:r w:rsidR="00C003A9" w:rsidRPr="00AD4E24">
        <w:rPr>
          <w:szCs w:val="26"/>
        </w:rPr>
        <w:t xml:space="preserve">have a property interest in their residences, and the perils of homelessness after eviction. Although hardship provokes sympathy, </w:t>
      </w:r>
      <w:r w:rsidR="00CD058A" w:rsidRPr="00AD4E24">
        <w:rPr>
          <w:szCs w:val="26"/>
        </w:rPr>
        <w:t xml:space="preserve">this Court </w:t>
      </w:r>
      <w:r w:rsidR="00B154F8" w:rsidRPr="00AD4E24">
        <w:rPr>
          <w:szCs w:val="26"/>
        </w:rPr>
        <w:t>is unable to grant the proposed rule change because it</w:t>
      </w:r>
      <w:r w:rsidR="002D46FA">
        <w:rPr>
          <w:szCs w:val="26"/>
        </w:rPr>
        <w:t xml:space="preserve"> i</w:t>
      </w:r>
      <w:r w:rsidR="00B154F8" w:rsidRPr="00AD4E24">
        <w:rPr>
          <w:szCs w:val="26"/>
        </w:rPr>
        <w:t>s substantive and not procedural</w:t>
      </w:r>
      <w:r w:rsidR="002F2759" w:rsidRPr="00AD4E24">
        <w:rPr>
          <w:szCs w:val="26"/>
        </w:rPr>
        <w:t xml:space="preserve">. Further, </w:t>
      </w:r>
      <w:r w:rsidR="00B154F8" w:rsidRPr="00AD4E24">
        <w:rPr>
          <w:szCs w:val="26"/>
        </w:rPr>
        <w:t xml:space="preserve">if a CARES Act violation occurs it’s a separate cause of action </w:t>
      </w:r>
      <w:r w:rsidR="00E662A0" w:rsidRPr="00AD4E24">
        <w:rPr>
          <w:szCs w:val="26"/>
        </w:rPr>
        <w:t>between a</w:t>
      </w:r>
      <w:r w:rsidR="00B154F8" w:rsidRPr="00AD4E24">
        <w:rPr>
          <w:szCs w:val="26"/>
        </w:rPr>
        <w:t xml:space="preserve"> mortgage company, not a tenant, </w:t>
      </w:r>
      <w:r w:rsidR="00E662A0" w:rsidRPr="00AD4E24">
        <w:rPr>
          <w:szCs w:val="26"/>
        </w:rPr>
        <w:t xml:space="preserve">and the </w:t>
      </w:r>
      <w:r w:rsidR="00B154F8" w:rsidRPr="00AD4E24">
        <w:rPr>
          <w:szCs w:val="26"/>
        </w:rPr>
        <w:t>landlord.</w:t>
      </w:r>
      <w:r w:rsidR="002F2759" w:rsidRPr="00AD4E24">
        <w:rPr>
          <w:szCs w:val="26"/>
        </w:rPr>
        <w:t xml:space="preserve"> </w:t>
      </w:r>
    </w:p>
    <w:p w14:paraId="585BA5E7" w14:textId="77777777" w:rsidR="00747B78" w:rsidRPr="00AD4E24" w:rsidRDefault="005E5CD1" w:rsidP="00A978E0">
      <w:pPr>
        <w:spacing w:line="480" w:lineRule="auto"/>
        <w:jc w:val="both"/>
        <w:rPr>
          <w:b/>
          <w:bCs/>
          <w:szCs w:val="26"/>
        </w:rPr>
      </w:pPr>
      <w:r w:rsidRPr="00AD4E24">
        <w:rPr>
          <w:b/>
          <w:bCs/>
          <w:szCs w:val="26"/>
        </w:rPr>
        <w:t>I.</w:t>
      </w:r>
      <w:r w:rsidRPr="00AD4E24">
        <w:rPr>
          <w:b/>
          <w:bCs/>
          <w:szCs w:val="26"/>
        </w:rPr>
        <w:tab/>
        <w:t>STATEMENT OF INTEREST.</w:t>
      </w:r>
    </w:p>
    <w:p w14:paraId="4EF879B1" w14:textId="77777777" w:rsidR="005E5CD1" w:rsidRDefault="005E5CD1" w:rsidP="00A978E0">
      <w:pPr>
        <w:spacing w:line="480" w:lineRule="auto"/>
        <w:jc w:val="both"/>
        <w:rPr>
          <w:szCs w:val="26"/>
        </w:rPr>
      </w:pPr>
      <w:r w:rsidRPr="00AD4E24">
        <w:rPr>
          <w:szCs w:val="26"/>
        </w:rPr>
        <w:tab/>
        <w:t>The MHCA is a non-profit organization that protects and promotes the interest of Arizona’s manufactured housing community owners. MHCA is the large</w:t>
      </w:r>
      <w:r w:rsidR="004310ED" w:rsidRPr="00AD4E24">
        <w:rPr>
          <w:szCs w:val="26"/>
        </w:rPr>
        <w:t>st</w:t>
      </w:r>
      <w:r w:rsidRPr="00AD4E24">
        <w:rPr>
          <w:szCs w:val="26"/>
        </w:rPr>
        <w:t xml:space="preserve"> manufactured housing community owners’ association in Arizona. The MHCA remains active within Arizona, by tracking legislative and legal issues, educating community owners and managers, and working to improve Arizona’s manufactured housing. Manufactured housing communities are one of Arizona’s greatest sources of low-cost/low-income housing. </w:t>
      </w:r>
    </w:p>
    <w:p w14:paraId="5D6A2486" w14:textId="368FC563" w:rsidR="00796F33" w:rsidRDefault="00796F33" w:rsidP="00A978E0">
      <w:pPr>
        <w:spacing w:line="480" w:lineRule="auto"/>
        <w:jc w:val="both"/>
        <w:rPr>
          <w:szCs w:val="26"/>
        </w:rPr>
      </w:pPr>
      <w:r>
        <w:rPr>
          <w:szCs w:val="26"/>
        </w:rPr>
        <w:t>…</w:t>
      </w:r>
    </w:p>
    <w:p w14:paraId="6B554E7A" w14:textId="4CE61068" w:rsidR="00796F33" w:rsidRPr="00AD4E24" w:rsidRDefault="00796F33" w:rsidP="00A978E0">
      <w:pPr>
        <w:spacing w:line="480" w:lineRule="auto"/>
        <w:jc w:val="both"/>
        <w:rPr>
          <w:szCs w:val="26"/>
        </w:rPr>
      </w:pPr>
      <w:r>
        <w:rPr>
          <w:szCs w:val="26"/>
        </w:rPr>
        <w:t>…</w:t>
      </w:r>
    </w:p>
    <w:p w14:paraId="2D614EEC" w14:textId="77777777" w:rsidR="00FB48E0" w:rsidRPr="00AD4E24" w:rsidRDefault="00FB48E0" w:rsidP="00A978E0">
      <w:pPr>
        <w:spacing w:line="480" w:lineRule="auto"/>
        <w:jc w:val="both"/>
        <w:rPr>
          <w:b/>
          <w:bCs/>
          <w:szCs w:val="26"/>
        </w:rPr>
      </w:pPr>
      <w:r w:rsidRPr="00AD4E24">
        <w:rPr>
          <w:b/>
          <w:bCs/>
          <w:szCs w:val="26"/>
        </w:rPr>
        <w:lastRenderedPageBreak/>
        <w:t>II.</w:t>
      </w:r>
      <w:r w:rsidRPr="00AD4E24">
        <w:rPr>
          <w:b/>
          <w:bCs/>
          <w:szCs w:val="26"/>
        </w:rPr>
        <w:tab/>
        <w:t xml:space="preserve">THE PETITION. </w:t>
      </w:r>
    </w:p>
    <w:p w14:paraId="091D827D" w14:textId="77777777" w:rsidR="007F2BDB" w:rsidRPr="00AD4E24" w:rsidRDefault="007F2BDB" w:rsidP="00A978E0">
      <w:pPr>
        <w:spacing w:line="480" w:lineRule="auto"/>
        <w:jc w:val="both"/>
        <w:rPr>
          <w:szCs w:val="26"/>
        </w:rPr>
      </w:pPr>
      <w:r w:rsidRPr="00AD4E24">
        <w:rPr>
          <w:szCs w:val="26"/>
        </w:rPr>
        <w:tab/>
        <w:t xml:space="preserve">The </w:t>
      </w:r>
      <w:r w:rsidR="00117B80" w:rsidRPr="00AD4E24">
        <w:rPr>
          <w:szCs w:val="26"/>
        </w:rPr>
        <w:t xml:space="preserve">Petition and </w:t>
      </w:r>
      <w:r w:rsidRPr="00AD4E24">
        <w:rPr>
          <w:szCs w:val="26"/>
        </w:rPr>
        <w:t xml:space="preserve">proposed rule amendment seeks to amend RPEA Rule </w:t>
      </w:r>
      <w:r w:rsidR="00EF2D04" w:rsidRPr="00AD4E24">
        <w:rPr>
          <w:szCs w:val="26"/>
        </w:rPr>
        <w:t>5(d)</w:t>
      </w:r>
      <w:r w:rsidRPr="00AD4E24">
        <w:rPr>
          <w:szCs w:val="26"/>
        </w:rPr>
        <w:t xml:space="preserve"> to include language stating</w:t>
      </w:r>
      <w:r w:rsidR="00357AA1" w:rsidRPr="00AD4E24">
        <w:rPr>
          <w:szCs w:val="26"/>
        </w:rPr>
        <w:t>:</w:t>
      </w:r>
      <w:r w:rsidRPr="00AD4E24">
        <w:rPr>
          <w:szCs w:val="26"/>
        </w:rPr>
        <w:t xml:space="preserve"> </w:t>
      </w:r>
    </w:p>
    <w:p w14:paraId="4C23A537" w14:textId="77777777" w:rsidR="00EF2D04" w:rsidRPr="00AD4E24" w:rsidRDefault="00EF2D04" w:rsidP="00EF2D04">
      <w:pPr>
        <w:pStyle w:val="BodyText"/>
        <w:spacing w:line="240" w:lineRule="auto"/>
        <w:ind w:left="720" w:right="720" w:firstLine="0"/>
        <w:jc w:val="both"/>
        <w:rPr>
          <w:b/>
          <w:bCs/>
          <w:szCs w:val="26"/>
        </w:rPr>
      </w:pPr>
      <w:r w:rsidRPr="00AD4E24">
        <w:rPr>
          <w:b/>
          <w:bCs/>
          <w:szCs w:val="26"/>
        </w:rPr>
        <w:t>d. Additional Requirements for Complaint.</w:t>
      </w:r>
    </w:p>
    <w:p w14:paraId="0E86047A" w14:textId="77777777" w:rsidR="00EF2D04" w:rsidRPr="00AD4E24" w:rsidRDefault="00EF2D04" w:rsidP="00EF2D04">
      <w:pPr>
        <w:pStyle w:val="BodyText"/>
        <w:spacing w:line="240" w:lineRule="auto"/>
        <w:ind w:left="720" w:right="720" w:firstLine="0"/>
        <w:jc w:val="both"/>
        <w:rPr>
          <w:szCs w:val="26"/>
        </w:rPr>
      </w:pPr>
    </w:p>
    <w:p w14:paraId="46667976" w14:textId="77777777" w:rsidR="00EF2D04" w:rsidRPr="00AD4E24" w:rsidRDefault="00BE5AAF" w:rsidP="00EF2D04">
      <w:pPr>
        <w:pStyle w:val="BodyText"/>
        <w:spacing w:line="240" w:lineRule="auto"/>
        <w:ind w:left="720" w:right="720" w:firstLine="0"/>
        <w:jc w:val="both"/>
        <w:rPr>
          <w:szCs w:val="26"/>
        </w:rPr>
      </w:pPr>
      <w:r>
        <w:rPr>
          <w:szCs w:val="26"/>
        </w:rPr>
        <w:t>(…)</w:t>
      </w:r>
    </w:p>
    <w:p w14:paraId="644E8619" w14:textId="77777777" w:rsidR="00EF2D04" w:rsidRPr="00AD4E24" w:rsidRDefault="00EF2D04" w:rsidP="00EF2D04">
      <w:pPr>
        <w:pStyle w:val="BodyText"/>
        <w:spacing w:line="240" w:lineRule="auto"/>
        <w:ind w:left="720" w:right="720" w:firstLine="0"/>
        <w:jc w:val="both"/>
        <w:rPr>
          <w:szCs w:val="26"/>
        </w:rPr>
      </w:pPr>
    </w:p>
    <w:p w14:paraId="337B4BF1" w14:textId="77777777" w:rsidR="00EF2D04" w:rsidRPr="00AD4E24" w:rsidRDefault="00EF2D04" w:rsidP="00EF2D04">
      <w:pPr>
        <w:pStyle w:val="BodyText"/>
        <w:spacing w:line="240" w:lineRule="auto"/>
        <w:ind w:left="720" w:right="720" w:firstLine="0"/>
        <w:jc w:val="both"/>
        <w:rPr>
          <w:b/>
          <w:bCs/>
          <w:i/>
          <w:iCs/>
          <w:szCs w:val="26"/>
        </w:rPr>
      </w:pPr>
      <w:r w:rsidRPr="00AD4E24">
        <w:rPr>
          <w:b/>
          <w:bCs/>
          <w:i/>
          <w:iCs/>
          <w:szCs w:val="26"/>
        </w:rPr>
        <w:t>(5) If the action involves a residential property, the complaint must contain or be accompanied by a declaration verifying that the plaintiff has provided the defendant with a notice to vacate at least 30 days prior to requiring the defendant to vacate the dwelling unit with the filing of the complaint, as mandated by the Coronavirus Aid, Relief, and Economic Security (“CARES”) Act, or that the dwelling from which the plaintiff seeks to evict the defendant is not located on or in a “covered property,” as defined in the CARES Act.</w:t>
      </w:r>
    </w:p>
    <w:p w14:paraId="1C1D34BE" w14:textId="77777777" w:rsidR="00EF2D04" w:rsidRPr="00AD4E24" w:rsidRDefault="00EF2D04" w:rsidP="00EF2D04">
      <w:pPr>
        <w:pStyle w:val="BodyText"/>
        <w:spacing w:line="240" w:lineRule="auto"/>
        <w:ind w:left="720" w:right="720" w:firstLine="0"/>
        <w:jc w:val="both"/>
        <w:rPr>
          <w:b/>
          <w:bCs/>
          <w:i/>
          <w:iCs/>
          <w:szCs w:val="26"/>
        </w:rPr>
      </w:pPr>
    </w:p>
    <w:p w14:paraId="277D2ED9" w14:textId="77777777" w:rsidR="00EF2D04" w:rsidRPr="00AD4E24" w:rsidRDefault="00EF2D04" w:rsidP="00EF2D04">
      <w:pPr>
        <w:pStyle w:val="BodyText"/>
        <w:spacing w:line="240" w:lineRule="auto"/>
        <w:ind w:left="720" w:right="720" w:firstLine="0"/>
        <w:jc w:val="both"/>
        <w:rPr>
          <w:b/>
          <w:bCs/>
          <w:i/>
          <w:iCs/>
          <w:szCs w:val="26"/>
        </w:rPr>
      </w:pPr>
      <w:r w:rsidRPr="00AD4E24">
        <w:rPr>
          <w:b/>
          <w:bCs/>
          <w:i/>
          <w:iCs/>
          <w:szCs w:val="26"/>
        </w:rPr>
        <w:t>(a) The declaration must include a complete statement of facts to verify compliance with the CARES Act or the inapplicability of the CARES Act to the dwelling unit at issue in the eviction action.</w:t>
      </w:r>
    </w:p>
    <w:p w14:paraId="087AFBCC" w14:textId="77777777" w:rsidR="00EF2D04" w:rsidRPr="00AD4E24" w:rsidRDefault="00EF2D04" w:rsidP="00EF2D04">
      <w:pPr>
        <w:pStyle w:val="BodyText"/>
        <w:spacing w:line="240" w:lineRule="auto"/>
        <w:ind w:left="720" w:right="720" w:firstLine="0"/>
        <w:jc w:val="both"/>
        <w:rPr>
          <w:b/>
          <w:bCs/>
          <w:i/>
          <w:iCs/>
          <w:szCs w:val="26"/>
        </w:rPr>
      </w:pPr>
    </w:p>
    <w:p w14:paraId="711A8717" w14:textId="77777777" w:rsidR="00EF2D04" w:rsidRPr="00AD4E24" w:rsidRDefault="00EF2D04" w:rsidP="00EF2D04">
      <w:pPr>
        <w:pStyle w:val="BodyText"/>
        <w:spacing w:line="240" w:lineRule="auto"/>
        <w:ind w:left="720" w:right="720" w:firstLine="0"/>
        <w:jc w:val="both"/>
        <w:rPr>
          <w:b/>
          <w:bCs/>
          <w:i/>
          <w:iCs/>
          <w:szCs w:val="26"/>
        </w:rPr>
      </w:pPr>
      <w:r w:rsidRPr="00AD4E24">
        <w:rPr>
          <w:b/>
          <w:bCs/>
          <w:i/>
          <w:iCs/>
          <w:szCs w:val="26"/>
        </w:rPr>
        <w:t>(b) The court shall dismiss a case filed without the declaration required by this provision.</w:t>
      </w:r>
    </w:p>
    <w:p w14:paraId="21BD7039" w14:textId="77777777" w:rsidR="00EF2D04" w:rsidRPr="00AD4E24" w:rsidRDefault="00EF2D04" w:rsidP="00EF2D04">
      <w:pPr>
        <w:pStyle w:val="BodyText"/>
        <w:spacing w:line="240" w:lineRule="auto"/>
        <w:ind w:left="2160" w:right="1440"/>
        <w:jc w:val="both"/>
        <w:rPr>
          <w:b/>
          <w:bCs/>
          <w:i/>
          <w:iCs/>
          <w:szCs w:val="26"/>
        </w:rPr>
      </w:pPr>
    </w:p>
    <w:p w14:paraId="7B86FFB6" w14:textId="77777777" w:rsidR="00D975C4" w:rsidRPr="00AD4E24" w:rsidRDefault="007F2BDB" w:rsidP="00A978E0">
      <w:pPr>
        <w:spacing w:line="480" w:lineRule="auto"/>
        <w:jc w:val="both"/>
        <w:rPr>
          <w:szCs w:val="26"/>
        </w:rPr>
      </w:pPr>
      <w:r w:rsidRPr="00AD4E24">
        <w:rPr>
          <w:szCs w:val="26"/>
        </w:rPr>
        <w:tab/>
      </w:r>
      <w:r w:rsidR="00117B80" w:rsidRPr="00AD4E24">
        <w:rPr>
          <w:rStyle w:val="FootnoteReference"/>
          <w:szCs w:val="26"/>
        </w:rPr>
        <w:footnoteReference w:id="3"/>
      </w:r>
      <w:r w:rsidR="00EF2D04" w:rsidRPr="00AD4E24">
        <w:rPr>
          <w:szCs w:val="26"/>
        </w:rPr>
        <w:t>Additionally, “</w:t>
      </w:r>
      <w:r w:rsidR="00EF2D04" w:rsidRPr="00AD4E24">
        <w:rPr>
          <w:bCs/>
          <w:szCs w:val="26"/>
        </w:rPr>
        <w:t>Petitioners propose adding a comment or Appendix to RPEA 5 specifying which federally subsidized housing assistance and mortgage programs are covered by the CARES Act, 15 U.S.C. § 9058(a)(2).”</w:t>
      </w:r>
      <w:r w:rsidR="00EF2D04" w:rsidRPr="00AD4E24">
        <w:rPr>
          <w:rStyle w:val="FootnoteReference"/>
          <w:bCs/>
          <w:szCs w:val="26"/>
        </w:rPr>
        <w:footnoteReference w:id="4"/>
      </w:r>
      <w:r w:rsidR="00EF2D04" w:rsidRPr="00AD4E24">
        <w:rPr>
          <w:bCs/>
          <w:szCs w:val="26"/>
        </w:rPr>
        <w:t xml:space="preserve"> </w:t>
      </w:r>
      <w:r w:rsidR="00EC0588" w:rsidRPr="00AD4E24">
        <w:rPr>
          <w:szCs w:val="26"/>
        </w:rPr>
        <w:t>One</w:t>
      </w:r>
      <w:r w:rsidR="005272B2" w:rsidRPr="00AD4E24">
        <w:rPr>
          <w:szCs w:val="26"/>
        </w:rPr>
        <w:t xml:space="preserve"> alleged</w:t>
      </w:r>
      <w:r w:rsidR="00AF4485" w:rsidRPr="00AD4E24">
        <w:rPr>
          <w:szCs w:val="26"/>
        </w:rPr>
        <w:t xml:space="preserve"> </w:t>
      </w:r>
      <w:r w:rsidR="004C7724" w:rsidRPr="00AD4E24">
        <w:rPr>
          <w:szCs w:val="26"/>
        </w:rPr>
        <w:t xml:space="preserve">purpose behind the Petition is </w:t>
      </w:r>
    </w:p>
    <w:p w14:paraId="050CF47D" w14:textId="77777777" w:rsidR="005272B2" w:rsidRPr="00AD4E24" w:rsidRDefault="00BE481A" w:rsidP="00BE481A">
      <w:pPr>
        <w:spacing w:after="240" w:line="240" w:lineRule="auto"/>
        <w:ind w:left="720" w:right="720"/>
        <w:jc w:val="both"/>
        <w:rPr>
          <w:szCs w:val="26"/>
        </w:rPr>
      </w:pPr>
      <w:r w:rsidRPr="00AD4E24">
        <w:rPr>
          <w:szCs w:val="26"/>
        </w:rPr>
        <w:t>RPEA 5(d) represents one of Arizona’s most important due process protections for eviction defendants.  The rule requires eviction plaintiffs to be transparent in their disclosure of case-relevant information to eviction defendants.  However, the current version of RPEA 5(d) is incomplete without a provision requiring the eviction plaintiff to disclose whether the property is a “covered property.”  Such a required disclosure will help ensure eviction plaintiffs’ compliance with the CARES Act 30-day notice provision, along with the other important compliance measures the rule presently includes.</w:t>
      </w:r>
    </w:p>
    <w:p w14:paraId="5D0C0D31" w14:textId="77777777" w:rsidR="007F2BDB" w:rsidRPr="00AD4E24" w:rsidRDefault="005272B2" w:rsidP="00E05270">
      <w:pPr>
        <w:spacing w:line="480" w:lineRule="auto"/>
        <w:ind w:firstLine="720"/>
        <w:jc w:val="both"/>
        <w:rPr>
          <w:szCs w:val="26"/>
        </w:rPr>
      </w:pPr>
      <w:r w:rsidRPr="00AD4E24">
        <w:rPr>
          <w:rStyle w:val="FootnoteReference"/>
          <w:szCs w:val="26"/>
        </w:rPr>
        <w:lastRenderedPageBreak/>
        <w:footnoteReference w:id="5"/>
      </w:r>
      <w:r w:rsidR="00EC0588" w:rsidRPr="00AD4E24">
        <w:rPr>
          <w:szCs w:val="26"/>
        </w:rPr>
        <w:t>Petitioners bolster their arguments by alleging, “[g]iving effect to 15 U.S.C. § 9058(c) necessarily requires modification to the general pre-filing notice requirements of Arizona law in certain cases, as the CARES Act imposes a longer notice period than previously required for covered properties.”</w:t>
      </w:r>
      <w:r w:rsidR="00EC0588" w:rsidRPr="00AD4E24">
        <w:rPr>
          <w:rStyle w:val="FootnoteReference"/>
          <w:szCs w:val="26"/>
        </w:rPr>
        <w:footnoteReference w:id="6"/>
      </w:r>
      <w:r w:rsidR="00EC0588" w:rsidRPr="00AD4E24">
        <w:rPr>
          <w:szCs w:val="26"/>
        </w:rPr>
        <w:t xml:space="preserve"> </w:t>
      </w:r>
      <w:r w:rsidR="00C50830" w:rsidRPr="00AD4E24">
        <w:rPr>
          <w:szCs w:val="26"/>
        </w:rPr>
        <w:t>Petitioners continue this argument by stating “…</w:t>
      </w:r>
      <w:r w:rsidR="00EC0588" w:rsidRPr="00AD4E24">
        <w:rPr>
          <w:szCs w:val="26"/>
        </w:rPr>
        <w:t>to benefit from the enhanced federal 30-day notice requirement, a tenant has to know they live in a rental home subject to the CARES Act.</w:t>
      </w:r>
      <w:r w:rsidR="00C50830" w:rsidRPr="00AD4E24">
        <w:rPr>
          <w:szCs w:val="26"/>
        </w:rPr>
        <w:t>”</w:t>
      </w:r>
      <w:r w:rsidR="00C50830" w:rsidRPr="00AD4E24">
        <w:rPr>
          <w:rStyle w:val="FootnoteReference"/>
          <w:szCs w:val="26"/>
        </w:rPr>
        <w:footnoteReference w:id="7"/>
      </w:r>
    </w:p>
    <w:p w14:paraId="3262E9F7" w14:textId="77777777" w:rsidR="00AF4504" w:rsidRPr="00AD4E24" w:rsidRDefault="007F2BDB" w:rsidP="00A978E0">
      <w:pPr>
        <w:spacing w:line="480" w:lineRule="auto"/>
        <w:jc w:val="both"/>
        <w:rPr>
          <w:b/>
          <w:bCs/>
          <w:szCs w:val="26"/>
        </w:rPr>
      </w:pPr>
      <w:r w:rsidRPr="00AD4E24">
        <w:rPr>
          <w:szCs w:val="26"/>
        </w:rPr>
        <w:tab/>
      </w:r>
      <w:r w:rsidRPr="00AD4E24">
        <w:rPr>
          <w:b/>
          <w:bCs/>
          <w:szCs w:val="26"/>
        </w:rPr>
        <w:t>A.</w:t>
      </w:r>
      <w:r w:rsidRPr="00AD4E24">
        <w:rPr>
          <w:b/>
          <w:bCs/>
          <w:szCs w:val="26"/>
        </w:rPr>
        <w:tab/>
      </w:r>
      <w:r w:rsidR="00AF4504" w:rsidRPr="00AD4E24">
        <w:rPr>
          <w:b/>
          <w:bCs/>
          <w:szCs w:val="26"/>
        </w:rPr>
        <w:t xml:space="preserve">PETITIONERS’ </w:t>
      </w:r>
      <w:r w:rsidR="00EB5D76" w:rsidRPr="00AD4E24">
        <w:rPr>
          <w:b/>
          <w:bCs/>
          <w:szCs w:val="26"/>
        </w:rPr>
        <w:t xml:space="preserve">RULE CHANGE </w:t>
      </w:r>
      <w:r w:rsidR="00C12538" w:rsidRPr="00AD4E24">
        <w:rPr>
          <w:b/>
          <w:bCs/>
          <w:szCs w:val="26"/>
        </w:rPr>
        <w:t xml:space="preserve">REQUEST </w:t>
      </w:r>
      <w:r w:rsidR="00EB5D76" w:rsidRPr="00AD4E24">
        <w:rPr>
          <w:b/>
          <w:bCs/>
          <w:szCs w:val="26"/>
        </w:rPr>
        <w:t xml:space="preserve">IS SUBSTANTIVE NOT PROCEDURAL. </w:t>
      </w:r>
    </w:p>
    <w:p w14:paraId="17B6886B" w14:textId="77777777" w:rsidR="00910300" w:rsidRPr="00AD4E24" w:rsidRDefault="00AF4504" w:rsidP="000D5DC3">
      <w:pPr>
        <w:spacing w:line="480" w:lineRule="auto"/>
        <w:jc w:val="both"/>
        <w:rPr>
          <w:szCs w:val="26"/>
        </w:rPr>
      </w:pPr>
      <w:r w:rsidRPr="00AD4E24">
        <w:rPr>
          <w:b/>
          <w:bCs/>
          <w:szCs w:val="26"/>
        </w:rPr>
        <w:tab/>
      </w:r>
      <w:r w:rsidR="00910300" w:rsidRPr="00AD4E24">
        <w:rPr>
          <w:szCs w:val="26"/>
        </w:rPr>
        <w:t xml:space="preserve">Article III of the Arizona State Constitution states </w:t>
      </w:r>
    </w:p>
    <w:p w14:paraId="509C229F" w14:textId="77777777" w:rsidR="000D5DC3" w:rsidRPr="00AD4E24" w:rsidRDefault="00910300" w:rsidP="00CD2F08">
      <w:pPr>
        <w:spacing w:after="240" w:line="240" w:lineRule="auto"/>
        <w:ind w:left="720" w:right="720"/>
        <w:jc w:val="both"/>
        <w:rPr>
          <w:szCs w:val="26"/>
        </w:rPr>
      </w:pPr>
      <w:r w:rsidRPr="00AD4E24">
        <w:rPr>
          <w:szCs w:val="26"/>
        </w:rPr>
        <w:t xml:space="preserve">The powers of the government of the state of Arizona shall be divided into three separate departments, the legislative, the executive, and the judicial; and, except as provided in this constitution, such departments shall be separate and distinct, and no one of such departments shall exercise the powers properly belonging to either of the others. </w:t>
      </w:r>
    </w:p>
    <w:p w14:paraId="10E91EFB" w14:textId="77777777" w:rsidR="00CD2F08" w:rsidRPr="00AD4E24" w:rsidRDefault="0077654D" w:rsidP="00CD2F08">
      <w:pPr>
        <w:spacing w:line="480" w:lineRule="auto"/>
        <w:jc w:val="both"/>
        <w:rPr>
          <w:szCs w:val="26"/>
        </w:rPr>
      </w:pPr>
      <w:r w:rsidRPr="00AD4E24">
        <w:rPr>
          <w:szCs w:val="26"/>
        </w:rPr>
        <w:tab/>
        <w:t xml:space="preserve">Article IV, Section 5 of the Arizona State Constitution provides “[t]he supreme court shall have…[p]ower to make rules relative to all procedural matters in any court.” </w:t>
      </w:r>
    </w:p>
    <w:p w14:paraId="5A564844" w14:textId="77777777" w:rsidR="000A7FB9" w:rsidRPr="00AD4E24" w:rsidRDefault="00C05D46" w:rsidP="00CD2F08">
      <w:pPr>
        <w:spacing w:line="480" w:lineRule="auto"/>
        <w:ind w:firstLine="720"/>
        <w:jc w:val="both"/>
        <w:rPr>
          <w:szCs w:val="26"/>
        </w:rPr>
      </w:pPr>
      <w:r w:rsidRPr="00AD4E24">
        <w:rPr>
          <w:szCs w:val="26"/>
        </w:rPr>
        <w:t>“Under the Arizona Constitution, the legislature possesses those powers ‘not expressly prohibited or granted to another branch of the government.’”</w:t>
      </w:r>
      <w:r w:rsidRPr="00AD4E24">
        <w:rPr>
          <w:rStyle w:val="FootnoteReference"/>
          <w:szCs w:val="26"/>
        </w:rPr>
        <w:footnoteReference w:id="8"/>
      </w:r>
      <w:r w:rsidR="001730CE" w:rsidRPr="00AD4E24">
        <w:rPr>
          <w:szCs w:val="26"/>
        </w:rPr>
        <w:t xml:space="preserve"> “The legislature possesses authority to enact substantive laws….”</w:t>
      </w:r>
      <w:r w:rsidR="001730CE" w:rsidRPr="00AD4E24">
        <w:rPr>
          <w:rStyle w:val="FootnoteReference"/>
          <w:szCs w:val="26"/>
        </w:rPr>
        <w:footnoteReference w:id="9"/>
      </w:r>
    </w:p>
    <w:p w14:paraId="3B1F44AD" w14:textId="77777777" w:rsidR="00A725A2" w:rsidRPr="00AD4E24" w:rsidRDefault="00A725A2" w:rsidP="00A725A2">
      <w:pPr>
        <w:spacing w:after="240" w:line="240" w:lineRule="auto"/>
        <w:ind w:left="720" w:right="720"/>
        <w:jc w:val="both"/>
        <w:rPr>
          <w:szCs w:val="26"/>
        </w:rPr>
      </w:pPr>
      <w:r w:rsidRPr="00AD4E24">
        <w:rPr>
          <w:szCs w:val="26"/>
        </w:rPr>
        <w:t>Courts cannot enact substantive law. A court is limited to passing rules which prescribe procedure for exercising the right. Any rule of court that operates to lessen or eliminate the right is of no legal force. It has even been held by the Supreme Court of the United States that under some circumstances a procedure that had such effect offended the due process clause of the Federal constitution.</w:t>
      </w:r>
    </w:p>
    <w:p w14:paraId="399A70DF" w14:textId="77777777" w:rsidR="0096434B" w:rsidRPr="00AD4E24" w:rsidRDefault="00A725A2" w:rsidP="0096434B">
      <w:pPr>
        <w:spacing w:line="480" w:lineRule="auto"/>
        <w:ind w:firstLine="720"/>
        <w:jc w:val="both"/>
        <w:rPr>
          <w:szCs w:val="26"/>
        </w:rPr>
      </w:pPr>
      <w:r w:rsidRPr="00AD4E24">
        <w:rPr>
          <w:rStyle w:val="FootnoteReference"/>
          <w:szCs w:val="26"/>
        </w:rPr>
        <w:lastRenderedPageBreak/>
        <w:footnoteReference w:id="10"/>
      </w:r>
      <w:r w:rsidR="0096434B" w:rsidRPr="00AD4E24">
        <w:rPr>
          <w:szCs w:val="26"/>
        </w:rPr>
        <w:t>As this Court is aware, Congress passed The Coronavirus Aid, Relief, and Economic Security Act, 15 U.S.C.A. §§ 9001–3141 (2020) (“CARES Act”), and signed the CARES Act into law on March 27, 2020. Petitioners’ rule change</w:t>
      </w:r>
      <w:r w:rsidR="00D24E00" w:rsidRPr="00AD4E24">
        <w:rPr>
          <w:szCs w:val="26"/>
        </w:rPr>
        <w:t xml:space="preserve"> request</w:t>
      </w:r>
      <w:r w:rsidR="0096434B" w:rsidRPr="00AD4E24">
        <w:rPr>
          <w:szCs w:val="26"/>
        </w:rPr>
        <w:t xml:space="preserve"> is based upon Petitioners’ contested interpretation of </w:t>
      </w:r>
      <w:r w:rsidR="00095E60" w:rsidRPr="00AD4E24">
        <w:rPr>
          <w:szCs w:val="26"/>
        </w:rPr>
        <w:t xml:space="preserve">the CARES Act, specifically </w:t>
      </w:r>
      <w:r w:rsidR="0096434B" w:rsidRPr="00AD4E24">
        <w:rPr>
          <w:szCs w:val="26"/>
        </w:rPr>
        <w:t>15 U.S.C.A. § 9058(c)</w:t>
      </w:r>
      <w:r w:rsidR="00B44165" w:rsidRPr="00AD4E24">
        <w:rPr>
          <w:szCs w:val="26"/>
        </w:rPr>
        <w:t xml:space="preserve"> (2020)</w:t>
      </w:r>
      <w:r w:rsidR="0096434B" w:rsidRPr="00AD4E24">
        <w:rPr>
          <w:szCs w:val="26"/>
        </w:rPr>
        <w:t xml:space="preserve">. 15 U.S.C.A. § 9058(c) </w:t>
      </w:r>
      <w:r w:rsidR="00B44165" w:rsidRPr="00AD4E24">
        <w:rPr>
          <w:szCs w:val="26"/>
        </w:rPr>
        <w:t xml:space="preserve">(2020) </w:t>
      </w:r>
      <w:r w:rsidR="0096434B" w:rsidRPr="00AD4E24">
        <w:rPr>
          <w:szCs w:val="26"/>
        </w:rPr>
        <w:t xml:space="preserve">provides </w:t>
      </w:r>
    </w:p>
    <w:p w14:paraId="74E8F48C" w14:textId="77777777" w:rsidR="00A725A2" w:rsidRPr="00AD4E24" w:rsidRDefault="0096434B" w:rsidP="00B44165">
      <w:pPr>
        <w:spacing w:line="240" w:lineRule="auto"/>
        <w:ind w:left="720" w:right="720"/>
        <w:jc w:val="both"/>
        <w:rPr>
          <w:szCs w:val="26"/>
        </w:rPr>
      </w:pPr>
      <w:r w:rsidRPr="00AD4E24">
        <w:rPr>
          <w:szCs w:val="26"/>
        </w:rPr>
        <w:t>The lessor of a covered dwelling unit…(1) may not require the tenant to vacate the covered dwelling unit before the date that is 30 days after the date on which the lessor provides the tenant with a notice to vacate; and (2) may not issue a notice to vacate under paragraph (1) until after the expiration of the period described in subsection (b).</w:t>
      </w:r>
    </w:p>
    <w:p w14:paraId="27FAA163" w14:textId="77777777" w:rsidR="009A1798" w:rsidRPr="00AD4E24" w:rsidRDefault="00B44165" w:rsidP="001E7C57">
      <w:pPr>
        <w:spacing w:before="240" w:line="480" w:lineRule="auto"/>
        <w:ind w:right="11"/>
        <w:jc w:val="both"/>
        <w:rPr>
          <w:szCs w:val="26"/>
        </w:rPr>
      </w:pPr>
      <w:r w:rsidRPr="00AD4E24">
        <w:rPr>
          <w:szCs w:val="26"/>
        </w:rPr>
        <w:tab/>
      </w:r>
      <w:r w:rsidR="00095E60" w:rsidRPr="00AD4E24">
        <w:rPr>
          <w:szCs w:val="26"/>
        </w:rPr>
        <w:t>Petitioners interpret the language within 15 U.S.C.A. § 9058(c) (2020) to mean “the CARES Act requires [a] pre-eviction notice of 30 days.”</w:t>
      </w:r>
      <w:r w:rsidR="00095E60" w:rsidRPr="00AD4E24">
        <w:rPr>
          <w:rStyle w:val="FootnoteReference"/>
          <w:szCs w:val="26"/>
        </w:rPr>
        <w:footnoteReference w:id="11"/>
      </w:r>
      <w:r w:rsidR="00E77D02" w:rsidRPr="00AD4E24">
        <w:rPr>
          <w:szCs w:val="26"/>
        </w:rPr>
        <w:t xml:space="preserve"> </w:t>
      </w:r>
      <w:r w:rsidR="009A1798" w:rsidRPr="00AD4E24">
        <w:rPr>
          <w:szCs w:val="26"/>
        </w:rPr>
        <w:t xml:space="preserve">Thus, Petitioners request this Court amend RPEA Rule 5(d) to require </w:t>
      </w:r>
      <w:r w:rsidR="00BC57E5" w:rsidRPr="00AD4E24">
        <w:rPr>
          <w:szCs w:val="26"/>
        </w:rPr>
        <w:t>l</w:t>
      </w:r>
      <w:r w:rsidR="009A1798" w:rsidRPr="00AD4E24">
        <w:rPr>
          <w:szCs w:val="26"/>
        </w:rPr>
        <w:t>andlords to provide a 30 day notice to vacate before filing an eviction action and include within the complaint a declaration verifying compliance or inapplicability with the CARES Act, among other items.</w:t>
      </w:r>
      <w:r w:rsidR="009A1798" w:rsidRPr="00AD4E24">
        <w:rPr>
          <w:rStyle w:val="FootnoteReference"/>
          <w:szCs w:val="26"/>
        </w:rPr>
        <w:footnoteReference w:id="12"/>
      </w:r>
      <w:r w:rsidR="009A1798" w:rsidRPr="00AD4E24">
        <w:rPr>
          <w:szCs w:val="26"/>
        </w:rPr>
        <w:t xml:space="preserve"> </w:t>
      </w:r>
    </w:p>
    <w:p w14:paraId="550E16A0" w14:textId="77777777" w:rsidR="00B44165" w:rsidRPr="00AD4E24" w:rsidRDefault="00E77D02" w:rsidP="001E7C57">
      <w:pPr>
        <w:spacing w:line="480" w:lineRule="auto"/>
        <w:ind w:right="11" w:firstLine="720"/>
        <w:jc w:val="both"/>
        <w:rPr>
          <w:szCs w:val="26"/>
        </w:rPr>
      </w:pPr>
      <w:r w:rsidRPr="00AD4E24">
        <w:rPr>
          <w:szCs w:val="26"/>
        </w:rPr>
        <w:t xml:space="preserve">In order to promote and enforce Petitioners’ </w:t>
      </w:r>
      <w:r w:rsidR="00B65FB6" w:rsidRPr="00AD4E24">
        <w:rPr>
          <w:szCs w:val="26"/>
        </w:rPr>
        <w:t xml:space="preserve">contested </w:t>
      </w:r>
      <w:r w:rsidRPr="00AD4E24">
        <w:rPr>
          <w:szCs w:val="26"/>
        </w:rPr>
        <w:t>interpretation, Petitioners</w:t>
      </w:r>
      <w:r w:rsidR="00E73CDC" w:rsidRPr="00AD4E24">
        <w:rPr>
          <w:szCs w:val="26"/>
        </w:rPr>
        <w:t xml:space="preserve"> </w:t>
      </w:r>
      <w:r w:rsidRPr="00AD4E24">
        <w:rPr>
          <w:szCs w:val="26"/>
        </w:rPr>
        <w:t xml:space="preserve">attempt to circumvent </w:t>
      </w:r>
      <w:r w:rsidR="009A1798" w:rsidRPr="00AD4E24">
        <w:rPr>
          <w:szCs w:val="26"/>
        </w:rPr>
        <w:t xml:space="preserve">the Arizona State Constitution, Arizona statutes and case law, and fundamental separation of powers principles. </w:t>
      </w:r>
      <w:r w:rsidR="00E3470E" w:rsidRPr="00AD4E24">
        <w:rPr>
          <w:szCs w:val="26"/>
        </w:rPr>
        <w:t>Petitioners</w:t>
      </w:r>
      <w:r w:rsidR="002E31D8" w:rsidRPr="00AD4E24">
        <w:rPr>
          <w:szCs w:val="26"/>
        </w:rPr>
        <w:t>, as counsel, understand this Court may only enact rules related to procedural matters. Nevertheless, Petitioners</w:t>
      </w:r>
      <w:r w:rsidR="00E73CDC" w:rsidRPr="00AD4E24">
        <w:rPr>
          <w:szCs w:val="26"/>
        </w:rPr>
        <w:t xml:space="preserve"> inappropriately</w:t>
      </w:r>
      <w:r w:rsidR="002E31D8" w:rsidRPr="00AD4E24">
        <w:rPr>
          <w:szCs w:val="26"/>
        </w:rPr>
        <w:t xml:space="preserve"> propose a rule change that takes a substantive position on the law. </w:t>
      </w:r>
    </w:p>
    <w:p w14:paraId="1886D2CA" w14:textId="77777777" w:rsidR="00BE5AAF" w:rsidRDefault="00BE5AAF" w:rsidP="00830748">
      <w:pPr>
        <w:spacing w:line="480" w:lineRule="auto"/>
        <w:ind w:right="11" w:firstLine="720"/>
        <w:jc w:val="both"/>
        <w:rPr>
          <w:szCs w:val="26"/>
        </w:rPr>
      </w:pPr>
      <w:r>
        <w:rPr>
          <w:szCs w:val="26"/>
        </w:rPr>
        <w:t xml:space="preserve">There are various, conflicting </w:t>
      </w:r>
      <w:r w:rsidR="002E31D8" w:rsidRPr="00AD4E24">
        <w:rPr>
          <w:szCs w:val="26"/>
        </w:rPr>
        <w:t xml:space="preserve">interpretations of </w:t>
      </w:r>
      <w:r w:rsidR="0074202D" w:rsidRPr="00AD4E24">
        <w:rPr>
          <w:szCs w:val="26"/>
        </w:rPr>
        <w:t xml:space="preserve">the language in </w:t>
      </w:r>
      <w:r w:rsidR="002E31D8" w:rsidRPr="00AD4E24">
        <w:rPr>
          <w:szCs w:val="26"/>
        </w:rPr>
        <w:t>15 U.S.C.A. § 9058(c) (2020)</w:t>
      </w:r>
      <w:r w:rsidR="0074202D" w:rsidRPr="00AD4E24">
        <w:rPr>
          <w:szCs w:val="26"/>
        </w:rPr>
        <w:t xml:space="preserve">. </w:t>
      </w:r>
      <w:r w:rsidR="00DD5EDD" w:rsidRPr="00AD4E24">
        <w:rPr>
          <w:szCs w:val="26"/>
        </w:rPr>
        <w:t>Petitioners</w:t>
      </w:r>
      <w:r>
        <w:rPr>
          <w:szCs w:val="26"/>
        </w:rPr>
        <w:t xml:space="preserve"> themselves even</w:t>
      </w:r>
      <w:r w:rsidR="00DD5EDD" w:rsidRPr="00AD4E24">
        <w:rPr>
          <w:szCs w:val="26"/>
        </w:rPr>
        <w:t xml:space="preserve"> acknowledge this issue by stating </w:t>
      </w:r>
      <w:r w:rsidR="000F4CD0" w:rsidRPr="00AD4E24">
        <w:rPr>
          <w:szCs w:val="26"/>
        </w:rPr>
        <w:t xml:space="preserve">“[w]hile 15 U.S.C. § 9058(c) plainly imposes a 30-day pre-eviction notice requirement, there have been </w:t>
      </w:r>
      <w:r w:rsidR="000F4CD0" w:rsidRPr="00AD4E24">
        <w:rPr>
          <w:szCs w:val="26"/>
        </w:rPr>
        <w:lastRenderedPageBreak/>
        <w:t>instances of confusion about the law’s applicability in some courts around the country, including some justice courts in Arizona.”</w:t>
      </w:r>
      <w:r w:rsidR="000F4CD0" w:rsidRPr="00AD4E24">
        <w:rPr>
          <w:rStyle w:val="FootnoteReference"/>
          <w:szCs w:val="26"/>
        </w:rPr>
        <w:footnoteReference w:id="13"/>
      </w:r>
      <w:r w:rsidR="000F4CD0" w:rsidRPr="00AD4E24">
        <w:rPr>
          <w:szCs w:val="26"/>
        </w:rPr>
        <w:t xml:space="preserve"> </w:t>
      </w:r>
      <w:r w:rsidR="0074202D" w:rsidRPr="00AD4E24">
        <w:rPr>
          <w:szCs w:val="26"/>
        </w:rPr>
        <w:t>In fact, even this Court took a</w:t>
      </w:r>
      <w:r w:rsidR="00486FD2" w:rsidRPr="00AD4E24">
        <w:rPr>
          <w:szCs w:val="26"/>
        </w:rPr>
        <w:t xml:space="preserve"> differing</w:t>
      </w:r>
      <w:r w:rsidR="0074202D" w:rsidRPr="00AD4E24">
        <w:rPr>
          <w:szCs w:val="26"/>
        </w:rPr>
        <w:t xml:space="preserve"> approach</w:t>
      </w:r>
      <w:r w:rsidR="00BE2AE0" w:rsidRPr="00AD4E24">
        <w:rPr>
          <w:szCs w:val="26"/>
        </w:rPr>
        <w:t xml:space="preserve"> </w:t>
      </w:r>
      <w:r w:rsidR="0074202D" w:rsidRPr="00AD4E24">
        <w:rPr>
          <w:szCs w:val="26"/>
        </w:rPr>
        <w:t>in Administrative Order 2022-14</w:t>
      </w:r>
      <w:r w:rsidR="0039223F" w:rsidRPr="00AD4E24">
        <w:rPr>
          <w:szCs w:val="26"/>
        </w:rPr>
        <w:t>, and discussions remain regarding the actual application of a “covered dwelling” in 15 U.S.C.A. § 9058(</w:t>
      </w:r>
      <w:r w:rsidR="00B46D23" w:rsidRPr="00AD4E24">
        <w:rPr>
          <w:szCs w:val="26"/>
        </w:rPr>
        <w:t>a</w:t>
      </w:r>
      <w:r w:rsidR="0039223F" w:rsidRPr="00AD4E24">
        <w:rPr>
          <w:szCs w:val="26"/>
        </w:rPr>
        <w:t>)</w:t>
      </w:r>
      <w:r w:rsidR="00B46D23" w:rsidRPr="00AD4E24">
        <w:rPr>
          <w:szCs w:val="26"/>
        </w:rPr>
        <w:t>(1)</w:t>
      </w:r>
      <w:r w:rsidR="0039223F" w:rsidRPr="00AD4E24">
        <w:rPr>
          <w:szCs w:val="26"/>
        </w:rPr>
        <w:t xml:space="preserve"> (2020).</w:t>
      </w:r>
      <w:r w:rsidR="00D17DF7" w:rsidRPr="00AD4E24">
        <w:rPr>
          <w:rStyle w:val="FootnoteReference"/>
          <w:szCs w:val="26"/>
        </w:rPr>
        <w:footnoteReference w:id="14"/>
      </w:r>
      <w:r w:rsidR="0074202D" w:rsidRPr="00AD4E24">
        <w:rPr>
          <w:szCs w:val="26"/>
        </w:rPr>
        <w:t xml:space="preserve"> </w:t>
      </w:r>
    </w:p>
    <w:p w14:paraId="075160FC" w14:textId="77777777" w:rsidR="002E31D8" w:rsidRPr="00AD4E24" w:rsidRDefault="00EC680E" w:rsidP="001E7C57">
      <w:pPr>
        <w:spacing w:line="480" w:lineRule="auto"/>
        <w:ind w:right="11" w:firstLine="720"/>
        <w:jc w:val="both"/>
        <w:rPr>
          <w:szCs w:val="26"/>
        </w:rPr>
      </w:pPr>
      <w:r w:rsidRPr="00AD4E24">
        <w:rPr>
          <w:szCs w:val="26"/>
        </w:rPr>
        <w:t>The purpose of a rule change should be to promote “…simplicity in procedure, fairness in administration, the just determination of litigation, and the elimination of unjustifiable expense and delay…”</w:t>
      </w:r>
      <w:r w:rsidR="00E76E9B" w:rsidRPr="00AD4E24">
        <w:rPr>
          <w:szCs w:val="26"/>
        </w:rPr>
        <w:t xml:space="preserve"> not to codify a contested area of the law.</w:t>
      </w:r>
      <w:r w:rsidRPr="00AD4E24">
        <w:rPr>
          <w:rStyle w:val="FootnoteReference"/>
          <w:szCs w:val="26"/>
        </w:rPr>
        <w:footnoteReference w:id="15"/>
      </w:r>
      <w:r w:rsidR="00BE5AAF">
        <w:rPr>
          <w:szCs w:val="26"/>
        </w:rPr>
        <w:t xml:space="preserve"> By setting forth a substantive legal requirement in its rule petition, Petitions are asking this Court to make a </w:t>
      </w:r>
      <w:r w:rsidR="00D100A1">
        <w:rPr>
          <w:szCs w:val="26"/>
        </w:rPr>
        <w:t>substantive</w:t>
      </w:r>
      <w:r w:rsidR="00BE5AAF">
        <w:rPr>
          <w:szCs w:val="26"/>
        </w:rPr>
        <w:t xml:space="preserve"> determination over a legal issue without it having been litigated and briefed by all interested parties. </w:t>
      </w:r>
      <w:r w:rsidR="0074202D" w:rsidRPr="00AD4E24">
        <w:rPr>
          <w:szCs w:val="26"/>
        </w:rPr>
        <w:t xml:space="preserve">In order for Petitioners to push their politically backed agendas they must do so through the legislative process or through litigation. </w:t>
      </w:r>
      <w:r w:rsidR="00BE2AE0" w:rsidRPr="00AD4E24">
        <w:rPr>
          <w:szCs w:val="26"/>
        </w:rPr>
        <w:t>The Petitioners’ defective proposed rule change takes a stand and legal conclusion on a</w:t>
      </w:r>
      <w:r w:rsidR="00421ACC" w:rsidRPr="00AD4E24">
        <w:rPr>
          <w:szCs w:val="26"/>
        </w:rPr>
        <w:t>n</w:t>
      </w:r>
      <w:r w:rsidR="00BE2AE0" w:rsidRPr="00AD4E24">
        <w:rPr>
          <w:szCs w:val="26"/>
        </w:rPr>
        <w:t xml:space="preserve"> issue that is clearly </w:t>
      </w:r>
      <w:r w:rsidR="00421ACC" w:rsidRPr="00AD4E24">
        <w:rPr>
          <w:szCs w:val="26"/>
        </w:rPr>
        <w:t xml:space="preserve">in </w:t>
      </w:r>
      <w:r w:rsidR="00BE2AE0" w:rsidRPr="00AD4E24">
        <w:rPr>
          <w:szCs w:val="26"/>
        </w:rPr>
        <w:t xml:space="preserve">debate </w:t>
      </w:r>
      <w:r w:rsidR="00421ACC" w:rsidRPr="00AD4E24">
        <w:rPr>
          <w:szCs w:val="26"/>
        </w:rPr>
        <w:t>within</w:t>
      </w:r>
      <w:r w:rsidR="00BE2AE0" w:rsidRPr="00AD4E24">
        <w:rPr>
          <w:szCs w:val="26"/>
        </w:rPr>
        <w:t xml:space="preserve"> the courts and legislatures of this country. </w:t>
      </w:r>
      <w:r w:rsidR="00653E88" w:rsidRPr="00AD4E24">
        <w:rPr>
          <w:szCs w:val="26"/>
        </w:rPr>
        <w:t xml:space="preserve">The Petitioners cannot use a mechanism to create procedural rule changes in order to enforce a </w:t>
      </w:r>
      <w:r w:rsidR="00830748">
        <w:rPr>
          <w:szCs w:val="26"/>
        </w:rPr>
        <w:t xml:space="preserve">contested </w:t>
      </w:r>
      <w:r w:rsidR="00653E88" w:rsidRPr="00AD4E24">
        <w:rPr>
          <w:szCs w:val="26"/>
        </w:rPr>
        <w:t>conclusion of law.</w:t>
      </w:r>
    </w:p>
    <w:p w14:paraId="58024F9B" w14:textId="77777777" w:rsidR="00653E88" w:rsidRPr="00AD4E24" w:rsidRDefault="00830653" w:rsidP="001E7C57">
      <w:pPr>
        <w:spacing w:line="480" w:lineRule="auto"/>
        <w:ind w:right="11" w:firstLine="720"/>
        <w:jc w:val="both"/>
        <w:rPr>
          <w:szCs w:val="26"/>
        </w:rPr>
      </w:pPr>
      <w:r w:rsidRPr="00AD4E24">
        <w:rPr>
          <w:szCs w:val="26"/>
        </w:rPr>
        <w:t xml:space="preserve">Furthermore, </w:t>
      </w:r>
      <w:r w:rsidR="001F0617" w:rsidRPr="00AD4E24">
        <w:rPr>
          <w:szCs w:val="26"/>
        </w:rPr>
        <w:t>the language within Petition R-24-0024 is ambiguous</w:t>
      </w:r>
      <w:r w:rsidR="00653E88" w:rsidRPr="00AD4E24">
        <w:rPr>
          <w:szCs w:val="26"/>
        </w:rPr>
        <w:t xml:space="preserve">, </w:t>
      </w:r>
      <w:r w:rsidR="001F0617" w:rsidRPr="00AD4E24">
        <w:rPr>
          <w:szCs w:val="26"/>
        </w:rPr>
        <w:t xml:space="preserve">and </w:t>
      </w:r>
      <w:r w:rsidR="00653E88" w:rsidRPr="00AD4E24">
        <w:rPr>
          <w:szCs w:val="26"/>
        </w:rPr>
        <w:t>if enacted, creates several factual issues. For example, it is unclear what would occur if a CARES covered property is sold after the 30 day notice to vacate is served</w:t>
      </w:r>
      <w:r w:rsidRPr="00AD4E24">
        <w:rPr>
          <w:szCs w:val="26"/>
        </w:rPr>
        <w:t xml:space="preserve"> but before the complaint is filed</w:t>
      </w:r>
      <w:r w:rsidR="00653E88" w:rsidRPr="00AD4E24">
        <w:rPr>
          <w:szCs w:val="26"/>
        </w:rPr>
        <w:t xml:space="preserve"> and the property is </w:t>
      </w:r>
      <w:r w:rsidRPr="00AD4E24">
        <w:rPr>
          <w:szCs w:val="26"/>
        </w:rPr>
        <w:t>thereafter</w:t>
      </w:r>
      <w:r w:rsidR="00653E88" w:rsidRPr="00AD4E24">
        <w:rPr>
          <w:szCs w:val="26"/>
        </w:rPr>
        <w:t xml:space="preserve"> covered by a conventional home loan. </w:t>
      </w:r>
      <w:r w:rsidRPr="00AD4E24">
        <w:rPr>
          <w:szCs w:val="26"/>
        </w:rPr>
        <w:t>The same factual issue</w:t>
      </w:r>
      <w:r w:rsidR="00E83860" w:rsidRPr="00AD4E24">
        <w:rPr>
          <w:szCs w:val="26"/>
        </w:rPr>
        <w:t>s</w:t>
      </w:r>
      <w:r w:rsidRPr="00AD4E24">
        <w:rPr>
          <w:szCs w:val="26"/>
        </w:rPr>
        <w:t xml:space="preserve"> occur if a home is refinanced after the 30 day notice to vacate is served but before the complaint is filed and the home is no</w:t>
      </w:r>
      <w:r w:rsidR="00EB1685" w:rsidRPr="00AD4E24">
        <w:rPr>
          <w:szCs w:val="26"/>
        </w:rPr>
        <w:t>w</w:t>
      </w:r>
      <w:r w:rsidRPr="00AD4E24">
        <w:rPr>
          <w:szCs w:val="26"/>
        </w:rPr>
        <w:t xml:space="preserve"> under a conventional home loan. It is unclear </w:t>
      </w:r>
      <w:r w:rsidRPr="00AD4E24">
        <w:rPr>
          <w:szCs w:val="26"/>
        </w:rPr>
        <w:lastRenderedPageBreak/>
        <w:t>based upon the plain language</w:t>
      </w:r>
      <w:r w:rsidR="00E83860" w:rsidRPr="00AD4E24">
        <w:rPr>
          <w:szCs w:val="26"/>
        </w:rPr>
        <w:t xml:space="preserve"> of</w:t>
      </w:r>
      <w:r w:rsidRPr="00AD4E24">
        <w:rPr>
          <w:szCs w:val="26"/>
        </w:rPr>
        <w:t xml:space="preserve"> Petition R-24-0024</w:t>
      </w:r>
      <w:r w:rsidR="007140F3" w:rsidRPr="00AD4E24">
        <w:rPr>
          <w:szCs w:val="26"/>
        </w:rPr>
        <w:t>,</w:t>
      </w:r>
      <w:r w:rsidRPr="00AD4E24">
        <w:rPr>
          <w:szCs w:val="26"/>
        </w:rPr>
        <w:t xml:space="preserve"> if the landlord would still be under the CARES Act or state law. </w:t>
      </w:r>
    </w:p>
    <w:p w14:paraId="6BB4BFA7" w14:textId="77777777" w:rsidR="00830653" w:rsidRPr="00AD4E24" w:rsidRDefault="00830653" w:rsidP="001E7C57">
      <w:pPr>
        <w:spacing w:line="480" w:lineRule="auto"/>
        <w:ind w:right="11" w:firstLine="720"/>
        <w:jc w:val="both"/>
        <w:rPr>
          <w:szCs w:val="26"/>
        </w:rPr>
      </w:pPr>
      <w:r w:rsidRPr="00AD4E24">
        <w:rPr>
          <w:szCs w:val="26"/>
        </w:rPr>
        <w:t>Petitioners also fail to adequately address what would occur if</w:t>
      </w:r>
      <w:r w:rsidR="00756560" w:rsidRPr="00AD4E24">
        <w:rPr>
          <w:szCs w:val="26"/>
        </w:rPr>
        <w:t xml:space="preserve"> </w:t>
      </w:r>
      <w:r w:rsidRPr="00AD4E24">
        <w:rPr>
          <w:szCs w:val="26"/>
        </w:rPr>
        <w:t xml:space="preserve">the defective rule change </w:t>
      </w:r>
      <w:r w:rsidR="00756560" w:rsidRPr="00AD4E24">
        <w:rPr>
          <w:szCs w:val="26"/>
        </w:rPr>
        <w:t xml:space="preserve">was in effect </w:t>
      </w:r>
      <w:r w:rsidRPr="00AD4E24">
        <w:rPr>
          <w:szCs w:val="26"/>
        </w:rPr>
        <w:t>and thereafter</w:t>
      </w:r>
      <w:r w:rsidR="005B630A" w:rsidRPr="00AD4E24">
        <w:rPr>
          <w:szCs w:val="26"/>
        </w:rPr>
        <w:t xml:space="preserve"> </w:t>
      </w:r>
      <w:r w:rsidR="00C713A9" w:rsidRPr="00AD4E24">
        <w:rPr>
          <w:szCs w:val="26"/>
        </w:rPr>
        <w:t xml:space="preserve">Congress </w:t>
      </w:r>
      <w:r w:rsidR="00C01D87" w:rsidRPr="00AD4E24">
        <w:rPr>
          <w:szCs w:val="26"/>
        </w:rPr>
        <w:t>amends</w:t>
      </w:r>
      <w:r w:rsidR="00C713A9" w:rsidRPr="00AD4E24">
        <w:rPr>
          <w:szCs w:val="26"/>
        </w:rPr>
        <w:t xml:space="preserve"> </w:t>
      </w:r>
      <w:r w:rsidR="005B630A" w:rsidRPr="00AD4E24">
        <w:rPr>
          <w:szCs w:val="26"/>
        </w:rPr>
        <w:t xml:space="preserve">15 U.S.C.A. § 9058(c) (2020) or clarifies the CARES Act termination date. </w:t>
      </w:r>
      <w:r w:rsidR="00C713A9" w:rsidRPr="00AD4E24">
        <w:rPr>
          <w:szCs w:val="26"/>
        </w:rPr>
        <w:t>Arizona Courts would then be stuck in a position where a 30 day notice to vacate requirement remains in effect based upon CARES Act language that is either nonexistent</w:t>
      </w:r>
      <w:r w:rsidR="00E60243" w:rsidRPr="00AD4E24">
        <w:rPr>
          <w:szCs w:val="26"/>
        </w:rPr>
        <w:t xml:space="preserve"> or </w:t>
      </w:r>
      <w:r w:rsidR="008863F5" w:rsidRPr="00AD4E24">
        <w:rPr>
          <w:szCs w:val="26"/>
        </w:rPr>
        <w:t>expired</w:t>
      </w:r>
      <w:r w:rsidR="00C713A9" w:rsidRPr="00AD4E24">
        <w:rPr>
          <w:szCs w:val="26"/>
        </w:rPr>
        <w:t xml:space="preserve">. </w:t>
      </w:r>
    </w:p>
    <w:p w14:paraId="10295B6A" w14:textId="77777777" w:rsidR="00A9787B" w:rsidRPr="00AD4E24" w:rsidRDefault="00777FBC" w:rsidP="001E7C57">
      <w:pPr>
        <w:spacing w:line="480" w:lineRule="auto"/>
        <w:ind w:right="11" w:firstLine="720"/>
        <w:jc w:val="both"/>
        <w:rPr>
          <w:szCs w:val="26"/>
        </w:rPr>
      </w:pPr>
      <w:r w:rsidRPr="00AD4E24">
        <w:rPr>
          <w:szCs w:val="26"/>
        </w:rPr>
        <w:t xml:space="preserve">It is clear </w:t>
      </w:r>
      <w:r w:rsidR="00A91E00" w:rsidRPr="00AD4E24">
        <w:rPr>
          <w:szCs w:val="26"/>
        </w:rPr>
        <w:t>Petition R-24-0024</w:t>
      </w:r>
      <w:r w:rsidRPr="00AD4E24">
        <w:rPr>
          <w:szCs w:val="26"/>
        </w:rPr>
        <w:t xml:space="preserve"> is a substantive and not procedural rule change. Thus, this Court is</w:t>
      </w:r>
      <w:r w:rsidR="007C4A09" w:rsidRPr="00AD4E24">
        <w:rPr>
          <w:szCs w:val="26"/>
        </w:rPr>
        <w:t xml:space="preserve"> an inappropriate forum to effectuate that change and this Court is</w:t>
      </w:r>
      <w:r w:rsidRPr="00AD4E24">
        <w:rPr>
          <w:szCs w:val="26"/>
        </w:rPr>
        <w:t xml:space="preserve"> unable to </w:t>
      </w:r>
      <w:r w:rsidR="007C4A09" w:rsidRPr="00AD4E24">
        <w:rPr>
          <w:szCs w:val="26"/>
        </w:rPr>
        <w:t xml:space="preserve">approve the Petitioner’s modification request to RPEA Rule 5(d). </w:t>
      </w:r>
    </w:p>
    <w:p w14:paraId="1DA49ACC" w14:textId="77777777" w:rsidR="007F2BDB" w:rsidRPr="00AD4E24" w:rsidRDefault="004F579A" w:rsidP="00A978E0">
      <w:pPr>
        <w:spacing w:line="480" w:lineRule="auto"/>
        <w:jc w:val="both"/>
        <w:rPr>
          <w:b/>
          <w:bCs/>
          <w:szCs w:val="26"/>
        </w:rPr>
      </w:pPr>
      <w:r w:rsidRPr="00AD4E24">
        <w:rPr>
          <w:b/>
          <w:bCs/>
          <w:szCs w:val="26"/>
        </w:rPr>
        <w:tab/>
        <w:t>B.</w:t>
      </w:r>
      <w:r w:rsidRPr="00AD4E24">
        <w:rPr>
          <w:b/>
          <w:bCs/>
          <w:szCs w:val="26"/>
        </w:rPr>
        <w:tab/>
      </w:r>
      <w:r w:rsidR="00C12538" w:rsidRPr="00AD4E24">
        <w:rPr>
          <w:b/>
          <w:bCs/>
          <w:szCs w:val="26"/>
        </w:rPr>
        <w:t xml:space="preserve">CARES ACT VIOLATIONS ARE A SEPARATE CAUSE OF ACTION. </w:t>
      </w:r>
    </w:p>
    <w:p w14:paraId="4ED33ACE" w14:textId="77777777" w:rsidR="003D29A8" w:rsidRPr="00AD4E24" w:rsidRDefault="007F2BDB" w:rsidP="001E7C57">
      <w:pPr>
        <w:spacing w:line="480" w:lineRule="auto"/>
        <w:jc w:val="both"/>
        <w:rPr>
          <w:szCs w:val="26"/>
        </w:rPr>
      </w:pPr>
      <w:r w:rsidRPr="00AD4E24">
        <w:rPr>
          <w:szCs w:val="26"/>
        </w:rPr>
        <w:tab/>
      </w:r>
      <w:r w:rsidR="002B17AC" w:rsidRPr="00AD4E24">
        <w:rPr>
          <w:szCs w:val="26"/>
        </w:rPr>
        <w:t>The current RPEA limits the types of counterclaims a defendant may file in an eviction proceeding. Specifically, RPEA Rule 8</w:t>
      </w:r>
      <w:r w:rsidR="00457BA0" w:rsidRPr="00AD4E24">
        <w:rPr>
          <w:szCs w:val="26"/>
        </w:rPr>
        <w:t>(a)</w:t>
      </w:r>
      <w:r w:rsidR="002B17AC" w:rsidRPr="00AD4E24">
        <w:rPr>
          <w:szCs w:val="26"/>
        </w:rPr>
        <w:t xml:space="preserve"> provides </w:t>
      </w:r>
      <w:r w:rsidR="00457BA0" w:rsidRPr="00AD4E24">
        <w:rPr>
          <w:szCs w:val="26"/>
        </w:rPr>
        <w:t xml:space="preserve">“[u]nless specifically provided for by statute, no counterclaims, cross claims, or third party claims may be filed in eviction actions. Any counterclaim filed without a statutory basis shall be stricken and dismissed without prejudice. All counterclaims must be filed in writing and served upon the opposing party.” </w:t>
      </w:r>
    </w:p>
    <w:p w14:paraId="1883E19B" w14:textId="77777777" w:rsidR="00457BA0" w:rsidRPr="00AD4E24" w:rsidRDefault="003C3BD1" w:rsidP="003C3BD1">
      <w:pPr>
        <w:spacing w:line="480" w:lineRule="auto"/>
        <w:ind w:firstLine="720"/>
        <w:jc w:val="both"/>
        <w:rPr>
          <w:szCs w:val="26"/>
        </w:rPr>
      </w:pPr>
      <w:r w:rsidRPr="00AD4E24">
        <w:rPr>
          <w:szCs w:val="26"/>
        </w:rPr>
        <w:t>The RPEA only allow</w:t>
      </w:r>
      <w:r w:rsidR="00541044" w:rsidRPr="00AD4E24">
        <w:rPr>
          <w:szCs w:val="26"/>
        </w:rPr>
        <w:t>s</w:t>
      </w:r>
      <w:r w:rsidRPr="00AD4E24">
        <w:rPr>
          <w:szCs w:val="26"/>
        </w:rPr>
        <w:t xml:space="preserve"> for counterclaim</w:t>
      </w:r>
      <w:r w:rsidR="00541044" w:rsidRPr="00AD4E24">
        <w:rPr>
          <w:szCs w:val="26"/>
        </w:rPr>
        <w:t>s</w:t>
      </w:r>
      <w:r w:rsidR="002A03FB" w:rsidRPr="00AD4E24">
        <w:rPr>
          <w:szCs w:val="26"/>
        </w:rPr>
        <w:t xml:space="preserve"> that are</w:t>
      </w:r>
      <w:r w:rsidRPr="00AD4E24">
        <w:rPr>
          <w:szCs w:val="26"/>
        </w:rPr>
        <w:t xml:space="preserve"> provided for by statute. Thus, Petition R-24-0024 seeks to create a right that does not exist. </w:t>
      </w:r>
      <w:r w:rsidR="002A03FB" w:rsidRPr="00AD4E24">
        <w:rPr>
          <w:szCs w:val="26"/>
        </w:rPr>
        <w:t xml:space="preserve">If a </w:t>
      </w:r>
      <w:r w:rsidR="0037375D">
        <w:rPr>
          <w:szCs w:val="26"/>
        </w:rPr>
        <w:t>landlord</w:t>
      </w:r>
      <w:r w:rsidR="0037375D" w:rsidRPr="00AD4E24">
        <w:rPr>
          <w:szCs w:val="26"/>
        </w:rPr>
        <w:t xml:space="preserve"> </w:t>
      </w:r>
      <w:r w:rsidR="002A03FB" w:rsidRPr="00AD4E24">
        <w:rPr>
          <w:szCs w:val="26"/>
        </w:rPr>
        <w:t xml:space="preserve">were to file a complaint in an eviction proceeding and proceed with a notice that violates the CARES Act, then a financing violation occurs. The CARES Act is separate from evictions laws codified in Arizona statutes. As long as the </w:t>
      </w:r>
      <w:r w:rsidR="0037375D">
        <w:rPr>
          <w:szCs w:val="26"/>
        </w:rPr>
        <w:t>landlord</w:t>
      </w:r>
      <w:r w:rsidR="0037375D" w:rsidRPr="00AD4E24">
        <w:rPr>
          <w:szCs w:val="26"/>
        </w:rPr>
        <w:t xml:space="preserve"> </w:t>
      </w:r>
      <w:r w:rsidR="002A03FB" w:rsidRPr="00AD4E24">
        <w:rPr>
          <w:szCs w:val="26"/>
        </w:rPr>
        <w:t>has complied with the Arizona statutory requirements in an eviction proceeding the case should not be dismissed</w:t>
      </w:r>
      <w:r w:rsidR="00541044" w:rsidRPr="00AD4E24">
        <w:rPr>
          <w:szCs w:val="26"/>
        </w:rPr>
        <w:t>,</w:t>
      </w:r>
      <w:r w:rsidR="002A03FB" w:rsidRPr="00AD4E24">
        <w:rPr>
          <w:szCs w:val="26"/>
        </w:rPr>
        <w:t xml:space="preserve"> as provided for in </w:t>
      </w:r>
      <w:r w:rsidR="002A03FB" w:rsidRPr="00AD4E24">
        <w:rPr>
          <w:szCs w:val="26"/>
        </w:rPr>
        <w:lastRenderedPageBreak/>
        <w:t xml:space="preserve">Petition R-24-0024. Any potential financing violation that could occur under the CARES Act does not provide the </w:t>
      </w:r>
      <w:r w:rsidR="0037375D">
        <w:rPr>
          <w:szCs w:val="26"/>
        </w:rPr>
        <w:t>tenant</w:t>
      </w:r>
      <w:r w:rsidR="0037375D" w:rsidRPr="00AD4E24">
        <w:rPr>
          <w:szCs w:val="26"/>
        </w:rPr>
        <w:t xml:space="preserve"> </w:t>
      </w:r>
      <w:r w:rsidR="002A03FB" w:rsidRPr="00AD4E24">
        <w:rPr>
          <w:szCs w:val="26"/>
        </w:rPr>
        <w:t>in an eviction action a separate cause of action.</w:t>
      </w:r>
      <w:r w:rsidR="00CE68EA">
        <w:rPr>
          <w:szCs w:val="26"/>
        </w:rPr>
        <w:t xml:space="preserve">  </w:t>
      </w:r>
    </w:p>
    <w:p w14:paraId="1672B8F3" w14:textId="77777777" w:rsidR="002A03FB" w:rsidRPr="00AD4E24" w:rsidRDefault="002A03FB" w:rsidP="003C3BD1">
      <w:pPr>
        <w:spacing w:line="480" w:lineRule="auto"/>
        <w:ind w:firstLine="720"/>
        <w:jc w:val="both"/>
        <w:rPr>
          <w:szCs w:val="26"/>
        </w:rPr>
      </w:pPr>
      <w:r w:rsidRPr="00AD4E24">
        <w:rPr>
          <w:szCs w:val="26"/>
        </w:rPr>
        <w:t xml:space="preserve">Similarly, </w:t>
      </w:r>
      <w:r w:rsidR="00541044" w:rsidRPr="00AD4E24">
        <w:rPr>
          <w:szCs w:val="26"/>
        </w:rPr>
        <w:t xml:space="preserve">many federally backed mortgages require landlords to input certain tenant protections. If a landlord did not comply with the tenant protections, the mortgage company has a breach of contract claim. Tenants within the community do not have a separate cause of action. Additionally, just as Congress can modify the language of the CARES Act, mortgage companies may include stricter contractual terms at any time. </w:t>
      </w:r>
      <w:r w:rsidR="00451274" w:rsidRPr="00AD4E24">
        <w:rPr>
          <w:szCs w:val="26"/>
        </w:rPr>
        <w:t xml:space="preserve">A landlord’s compliance with the CARES Act and statutory </w:t>
      </w:r>
      <w:r w:rsidR="00603580" w:rsidRPr="00AD4E24">
        <w:rPr>
          <w:szCs w:val="26"/>
        </w:rPr>
        <w:t xml:space="preserve">eviction </w:t>
      </w:r>
      <w:r w:rsidR="00451274" w:rsidRPr="00AD4E24">
        <w:rPr>
          <w:szCs w:val="26"/>
        </w:rPr>
        <w:t xml:space="preserve">requirements under Arizona law are separate and distinct. </w:t>
      </w:r>
      <w:r w:rsidR="00D104D7" w:rsidRPr="00AD4E24">
        <w:rPr>
          <w:szCs w:val="26"/>
        </w:rPr>
        <w:t xml:space="preserve">It is inappropriate to have a rule change that attempts to enter the micro dynamics of financing and contractual obligations. </w:t>
      </w:r>
    </w:p>
    <w:p w14:paraId="4A2DFA40" w14:textId="77777777" w:rsidR="00603580" w:rsidRPr="00AD4E24" w:rsidRDefault="00603580" w:rsidP="00E30FBE">
      <w:pPr>
        <w:spacing w:line="480" w:lineRule="auto"/>
        <w:ind w:firstLine="720"/>
        <w:jc w:val="both"/>
        <w:rPr>
          <w:szCs w:val="26"/>
        </w:rPr>
      </w:pPr>
      <w:r w:rsidRPr="00AD4E24">
        <w:rPr>
          <w:szCs w:val="26"/>
        </w:rPr>
        <w:t>Furthermore, “…parties have a legal right to make such contracts as they desire to make, provided only that the contract shall not be for an illegal purpose or against public policy.</w:t>
      </w:r>
      <w:r w:rsidR="00E526F9" w:rsidRPr="00AD4E24">
        <w:rPr>
          <w:szCs w:val="26"/>
        </w:rPr>
        <w:t>”</w:t>
      </w:r>
      <w:r w:rsidR="00E526F9" w:rsidRPr="00AD4E24">
        <w:rPr>
          <w:rStyle w:val="FootnoteReference"/>
          <w:szCs w:val="26"/>
        </w:rPr>
        <w:footnoteReference w:id="16"/>
      </w:r>
      <w:r w:rsidR="007B2778" w:rsidRPr="00AD4E24">
        <w:rPr>
          <w:szCs w:val="26"/>
        </w:rPr>
        <w:t xml:space="preserve"> Petition R-24-0024 removes a landlord</w:t>
      </w:r>
      <w:r w:rsidR="00CE4A62" w:rsidRPr="00AD4E24">
        <w:rPr>
          <w:szCs w:val="26"/>
        </w:rPr>
        <w:t>’</w:t>
      </w:r>
      <w:r w:rsidR="007B2778" w:rsidRPr="00AD4E24">
        <w:rPr>
          <w:szCs w:val="26"/>
        </w:rPr>
        <w:t xml:space="preserve">s Constitutional right to contract by prohibiting a landlord from filing an eviction action until 30 days after the landlord provides a tenant with a legal notice. </w:t>
      </w:r>
      <w:r w:rsidR="00EC137D" w:rsidRPr="00AD4E24">
        <w:rPr>
          <w:szCs w:val="26"/>
        </w:rPr>
        <w:t xml:space="preserve">A rule change is an inappropriate forum for Petitioners to change </w:t>
      </w:r>
      <w:r w:rsidR="00407067" w:rsidRPr="00AD4E24">
        <w:rPr>
          <w:szCs w:val="26"/>
        </w:rPr>
        <w:t>c</w:t>
      </w:r>
      <w:r w:rsidR="00EC137D" w:rsidRPr="00AD4E24">
        <w:rPr>
          <w:szCs w:val="26"/>
        </w:rPr>
        <w:t xml:space="preserve">onstitutional, statutory, and contractual rights they disagree with. </w:t>
      </w:r>
    </w:p>
    <w:p w14:paraId="60E63706" w14:textId="77777777" w:rsidR="00D36DEA" w:rsidRPr="00AD4E24" w:rsidRDefault="00D36DEA" w:rsidP="00D36DEA">
      <w:pPr>
        <w:spacing w:line="480" w:lineRule="auto"/>
        <w:jc w:val="both"/>
        <w:rPr>
          <w:szCs w:val="26"/>
        </w:rPr>
      </w:pPr>
      <w:r w:rsidRPr="00AD4E24">
        <w:rPr>
          <w:szCs w:val="26"/>
        </w:rPr>
        <w:t>…</w:t>
      </w:r>
    </w:p>
    <w:p w14:paraId="7AD9CFD8" w14:textId="77777777" w:rsidR="00D36DEA" w:rsidRPr="00AD4E24" w:rsidRDefault="00D36DEA" w:rsidP="00D36DEA">
      <w:pPr>
        <w:spacing w:line="480" w:lineRule="auto"/>
        <w:jc w:val="both"/>
        <w:rPr>
          <w:szCs w:val="26"/>
        </w:rPr>
      </w:pPr>
      <w:r w:rsidRPr="00AD4E24">
        <w:rPr>
          <w:szCs w:val="26"/>
        </w:rPr>
        <w:t>…</w:t>
      </w:r>
    </w:p>
    <w:p w14:paraId="11079C8A" w14:textId="77777777" w:rsidR="00D36DEA" w:rsidRDefault="00D36DEA" w:rsidP="00D36DEA">
      <w:pPr>
        <w:spacing w:line="480" w:lineRule="auto"/>
        <w:jc w:val="both"/>
        <w:rPr>
          <w:szCs w:val="26"/>
        </w:rPr>
      </w:pPr>
      <w:r w:rsidRPr="00AD4E24">
        <w:rPr>
          <w:szCs w:val="26"/>
        </w:rPr>
        <w:t>…</w:t>
      </w:r>
    </w:p>
    <w:p w14:paraId="6C0D1267" w14:textId="69B2767E" w:rsidR="0037375D" w:rsidRDefault="00796F33" w:rsidP="00D36DEA">
      <w:pPr>
        <w:spacing w:line="480" w:lineRule="auto"/>
        <w:jc w:val="both"/>
        <w:rPr>
          <w:szCs w:val="26"/>
        </w:rPr>
      </w:pPr>
      <w:r>
        <w:rPr>
          <w:szCs w:val="26"/>
        </w:rPr>
        <w:t>…</w:t>
      </w:r>
    </w:p>
    <w:p w14:paraId="7495A319" w14:textId="5CEC7572" w:rsidR="00796F33" w:rsidRDefault="00796F33" w:rsidP="00D36DEA">
      <w:pPr>
        <w:spacing w:line="480" w:lineRule="auto"/>
        <w:jc w:val="both"/>
        <w:rPr>
          <w:szCs w:val="26"/>
        </w:rPr>
      </w:pPr>
      <w:r>
        <w:rPr>
          <w:szCs w:val="26"/>
        </w:rPr>
        <w:t>…</w:t>
      </w:r>
    </w:p>
    <w:p w14:paraId="3A3CB67E" w14:textId="133167B5" w:rsidR="00796F33" w:rsidRDefault="00796F33" w:rsidP="00D36DEA">
      <w:pPr>
        <w:spacing w:line="480" w:lineRule="auto"/>
        <w:jc w:val="both"/>
        <w:rPr>
          <w:szCs w:val="26"/>
        </w:rPr>
      </w:pPr>
      <w:r>
        <w:rPr>
          <w:szCs w:val="26"/>
        </w:rPr>
        <w:t>…</w:t>
      </w:r>
    </w:p>
    <w:p w14:paraId="4C87E311" w14:textId="77777777" w:rsidR="00700D84" w:rsidRPr="00AD4E24" w:rsidRDefault="00700D84" w:rsidP="00E30FBE">
      <w:pPr>
        <w:spacing w:line="480" w:lineRule="auto"/>
        <w:jc w:val="both"/>
        <w:rPr>
          <w:b/>
          <w:bCs/>
          <w:szCs w:val="26"/>
        </w:rPr>
      </w:pPr>
      <w:r w:rsidRPr="00AD4E24">
        <w:rPr>
          <w:b/>
          <w:bCs/>
          <w:szCs w:val="26"/>
        </w:rPr>
        <w:lastRenderedPageBreak/>
        <w:t>III.</w:t>
      </w:r>
      <w:r w:rsidRPr="00AD4E24">
        <w:rPr>
          <w:b/>
          <w:bCs/>
          <w:szCs w:val="26"/>
        </w:rPr>
        <w:tab/>
        <w:t xml:space="preserve">CONCLUSION. </w:t>
      </w:r>
    </w:p>
    <w:p w14:paraId="141EE183" w14:textId="77777777" w:rsidR="003415EA" w:rsidRPr="00AD4E24" w:rsidRDefault="003415EA" w:rsidP="003415EA">
      <w:pPr>
        <w:spacing w:line="480" w:lineRule="auto"/>
        <w:jc w:val="both"/>
        <w:rPr>
          <w:szCs w:val="26"/>
        </w:rPr>
      </w:pPr>
      <w:r w:rsidRPr="00AD4E24">
        <w:rPr>
          <w:b/>
          <w:bCs/>
          <w:szCs w:val="26"/>
        </w:rPr>
        <w:tab/>
      </w:r>
      <w:r w:rsidR="008A3DF8" w:rsidRPr="00AD4E24">
        <w:rPr>
          <w:szCs w:val="26"/>
        </w:rPr>
        <w:t xml:space="preserve">Petition R-24-0024 </w:t>
      </w:r>
      <w:r w:rsidRPr="00AD4E24">
        <w:rPr>
          <w:szCs w:val="26"/>
        </w:rPr>
        <w:t>and</w:t>
      </w:r>
      <w:r w:rsidR="009D7A41" w:rsidRPr="00AD4E24">
        <w:rPr>
          <w:szCs w:val="26"/>
        </w:rPr>
        <w:t xml:space="preserve"> the</w:t>
      </w:r>
      <w:r w:rsidRPr="00AD4E24">
        <w:rPr>
          <w:szCs w:val="26"/>
        </w:rPr>
        <w:t xml:space="preserve"> proposed rule change should be denied because </w:t>
      </w:r>
      <w:r w:rsidR="008A3DF8" w:rsidRPr="00AD4E24">
        <w:rPr>
          <w:szCs w:val="26"/>
        </w:rPr>
        <w:t xml:space="preserve">Petition R-24-0024 is a substantive not a procedural rule change and CARES Act violations are a separate cause of action between the financing company and the </w:t>
      </w:r>
      <w:r w:rsidR="0037375D">
        <w:rPr>
          <w:szCs w:val="26"/>
        </w:rPr>
        <w:t>landlord</w:t>
      </w:r>
      <w:r w:rsidR="005C262D" w:rsidRPr="00AD4E24">
        <w:rPr>
          <w:szCs w:val="26"/>
        </w:rPr>
        <w:t xml:space="preserve">. Further, </w:t>
      </w:r>
      <w:r w:rsidR="008A3DF8" w:rsidRPr="00AD4E24">
        <w:rPr>
          <w:szCs w:val="26"/>
        </w:rPr>
        <w:t xml:space="preserve">Petitioners once again fail </w:t>
      </w:r>
      <w:r w:rsidR="00095BDA" w:rsidRPr="00AD4E24">
        <w:rPr>
          <w:szCs w:val="26"/>
        </w:rPr>
        <w:t xml:space="preserve">to set forth a nexus between the language in </w:t>
      </w:r>
      <w:r w:rsidR="008A3DF8" w:rsidRPr="00AD4E24">
        <w:rPr>
          <w:szCs w:val="26"/>
        </w:rPr>
        <w:t xml:space="preserve">Petition R-24-0024 </w:t>
      </w:r>
      <w:r w:rsidR="00095BDA" w:rsidRPr="00AD4E24">
        <w:rPr>
          <w:szCs w:val="26"/>
        </w:rPr>
        <w:t xml:space="preserve">and the alleged problem.  </w:t>
      </w:r>
    </w:p>
    <w:p w14:paraId="7FBE2C5D" w14:textId="77777777" w:rsidR="008D0262" w:rsidRPr="00AD4E24" w:rsidRDefault="008D0262" w:rsidP="004E75D8">
      <w:pPr>
        <w:spacing w:after="240" w:line="480" w:lineRule="auto"/>
        <w:jc w:val="both"/>
        <w:rPr>
          <w:szCs w:val="26"/>
        </w:rPr>
      </w:pPr>
      <w:r w:rsidRPr="00AD4E24">
        <w:rPr>
          <w:szCs w:val="26"/>
        </w:rPr>
        <w:tab/>
        <w:t xml:space="preserve">RESPECTFULLY SUBMITTED </w:t>
      </w:r>
      <w:r w:rsidRPr="00453B00">
        <w:rPr>
          <w:szCs w:val="26"/>
        </w:rPr>
        <w:t xml:space="preserve">this </w:t>
      </w:r>
      <w:r w:rsidR="00453B00" w:rsidRPr="00453B00">
        <w:rPr>
          <w:szCs w:val="26"/>
        </w:rPr>
        <w:t>16</w:t>
      </w:r>
      <w:r w:rsidR="002814D9" w:rsidRPr="00453B00">
        <w:rPr>
          <w:szCs w:val="26"/>
        </w:rPr>
        <w:t>th</w:t>
      </w:r>
      <w:r w:rsidRPr="00453B00">
        <w:rPr>
          <w:szCs w:val="26"/>
        </w:rPr>
        <w:t xml:space="preserve"> day</w:t>
      </w:r>
      <w:r w:rsidRPr="00AD4E24">
        <w:rPr>
          <w:szCs w:val="26"/>
        </w:rPr>
        <w:t xml:space="preserve"> of </w:t>
      </w:r>
      <w:r w:rsidR="008A3DF8" w:rsidRPr="00AD4E24">
        <w:rPr>
          <w:szCs w:val="26"/>
        </w:rPr>
        <w:t>April</w:t>
      </w:r>
      <w:r w:rsidRPr="00AD4E24">
        <w:rPr>
          <w:szCs w:val="26"/>
        </w:rPr>
        <w:t>, 202</w:t>
      </w:r>
      <w:r w:rsidR="00C15ED0" w:rsidRPr="00AD4E24">
        <w:rPr>
          <w:szCs w:val="26"/>
        </w:rPr>
        <w:t>4</w:t>
      </w:r>
      <w:r w:rsidRPr="00AD4E24">
        <w:rPr>
          <w:szCs w:val="26"/>
        </w:rPr>
        <w:t>.</w:t>
      </w:r>
    </w:p>
    <w:p w14:paraId="3DB8DA74" w14:textId="77777777" w:rsidR="008D0262" w:rsidRPr="00AD4E24" w:rsidRDefault="008D0262" w:rsidP="008D0262">
      <w:pPr>
        <w:spacing w:after="240" w:line="240" w:lineRule="auto"/>
        <w:jc w:val="both"/>
        <w:rPr>
          <w:szCs w:val="26"/>
        </w:rPr>
      </w:pPr>
      <w:r w:rsidRPr="00AD4E24">
        <w:rPr>
          <w:szCs w:val="26"/>
        </w:rPr>
        <w:tab/>
      </w:r>
      <w:r w:rsidRPr="00AD4E24">
        <w:rPr>
          <w:szCs w:val="26"/>
        </w:rPr>
        <w:tab/>
      </w:r>
      <w:r w:rsidRPr="00AD4E24">
        <w:rPr>
          <w:szCs w:val="26"/>
        </w:rPr>
        <w:tab/>
      </w:r>
      <w:r w:rsidRPr="00AD4E24">
        <w:rPr>
          <w:szCs w:val="26"/>
        </w:rPr>
        <w:tab/>
      </w:r>
      <w:r w:rsidRPr="00AD4E24">
        <w:rPr>
          <w:szCs w:val="26"/>
        </w:rPr>
        <w:tab/>
      </w:r>
      <w:r w:rsidRPr="00AD4E24">
        <w:rPr>
          <w:szCs w:val="26"/>
        </w:rPr>
        <w:tab/>
      </w:r>
      <w:r w:rsidRPr="00AD4E24">
        <w:rPr>
          <w:szCs w:val="26"/>
        </w:rPr>
        <w:tab/>
        <w:t>ZONA LAW GROUP, P.C.</w:t>
      </w:r>
    </w:p>
    <w:p w14:paraId="77A178EB" w14:textId="77777777" w:rsidR="008D0262" w:rsidRPr="00AD4E24" w:rsidRDefault="008D0262" w:rsidP="008D0262">
      <w:pPr>
        <w:spacing w:line="240" w:lineRule="auto"/>
        <w:jc w:val="both"/>
        <w:rPr>
          <w:szCs w:val="26"/>
          <w:u w:val="single"/>
        </w:rPr>
      </w:pPr>
      <w:r w:rsidRPr="00AD4E24">
        <w:rPr>
          <w:szCs w:val="26"/>
        </w:rPr>
        <w:tab/>
      </w:r>
      <w:r w:rsidRPr="00AD4E24">
        <w:rPr>
          <w:szCs w:val="26"/>
        </w:rPr>
        <w:tab/>
      </w:r>
      <w:r w:rsidRPr="00AD4E24">
        <w:rPr>
          <w:szCs w:val="26"/>
        </w:rPr>
        <w:tab/>
      </w:r>
      <w:r w:rsidRPr="00AD4E24">
        <w:rPr>
          <w:szCs w:val="26"/>
        </w:rPr>
        <w:tab/>
      </w:r>
      <w:r w:rsidRPr="00AD4E24">
        <w:rPr>
          <w:szCs w:val="26"/>
        </w:rPr>
        <w:tab/>
      </w:r>
      <w:r w:rsidRPr="00AD4E24">
        <w:rPr>
          <w:szCs w:val="26"/>
        </w:rPr>
        <w:tab/>
      </w:r>
      <w:r w:rsidRPr="00AD4E24">
        <w:rPr>
          <w:szCs w:val="26"/>
        </w:rPr>
        <w:tab/>
        <w:t>By:</w:t>
      </w:r>
      <w:r w:rsidR="002814D9" w:rsidRPr="00AD4E24">
        <w:rPr>
          <w:szCs w:val="26"/>
          <w:u w:val="single"/>
        </w:rPr>
        <w:t>/s/ Scott A. Baluha</w:t>
      </w:r>
    </w:p>
    <w:p w14:paraId="08A8B4FA" w14:textId="77777777" w:rsidR="008D0262" w:rsidRPr="00AD4E24" w:rsidRDefault="008D0262" w:rsidP="008D0262">
      <w:pPr>
        <w:spacing w:line="240" w:lineRule="auto"/>
        <w:jc w:val="both"/>
        <w:rPr>
          <w:szCs w:val="26"/>
        </w:rPr>
      </w:pPr>
      <w:r w:rsidRPr="00AD4E24">
        <w:rPr>
          <w:szCs w:val="26"/>
        </w:rPr>
        <w:tab/>
      </w:r>
      <w:r w:rsidRPr="00AD4E24">
        <w:rPr>
          <w:szCs w:val="26"/>
        </w:rPr>
        <w:tab/>
      </w:r>
      <w:r w:rsidRPr="00AD4E24">
        <w:rPr>
          <w:szCs w:val="26"/>
        </w:rPr>
        <w:tab/>
      </w:r>
      <w:r w:rsidRPr="00AD4E24">
        <w:rPr>
          <w:szCs w:val="26"/>
        </w:rPr>
        <w:tab/>
      </w:r>
      <w:r w:rsidRPr="00AD4E24">
        <w:rPr>
          <w:szCs w:val="26"/>
        </w:rPr>
        <w:tab/>
      </w:r>
      <w:r w:rsidRPr="00AD4E24">
        <w:rPr>
          <w:szCs w:val="26"/>
        </w:rPr>
        <w:tab/>
      </w:r>
      <w:r w:rsidRPr="00AD4E24">
        <w:rPr>
          <w:szCs w:val="26"/>
        </w:rPr>
        <w:tab/>
      </w:r>
      <w:r w:rsidR="00095BDA" w:rsidRPr="00AD4E24">
        <w:rPr>
          <w:szCs w:val="26"/>
        </w:rPr>
        <w:t>Scott A. Baluha</w:t>
      </w:r>
      <w:r w:rsidRPr="00AD4E24">
        <w:rPr>
          <w:szCs w:val="26"/>
        </w:rPr>
        <w:tab/>
      </w:r>
      <w:r w:rsidRPr="00AD4E24">
        <w:rPr>
          <w:szCs w:val="26"/>
        </w:rPr>
        <w:tab/>
      </w:r>
      <w:r w:rsidRPr="00AD4E24">
        <w:rPr>
          <w:szCs w:val="26"/>
        </w:rPr>
        <w:tab/>
      </w:r>
      <w:r w:rsidRPr="00AD4E24">
        <w:rPr>
          <w:szCs w:val="26"/>
        </w:rPr>
        <w:tab/>
      </w:r>
      <w:r w:rsidRPr="00AD4E24">
        <w:rPr>
          <w:szCs w:val="26"/>
        </w:rPr>
        <w:tab/>
      </w:r>
      <w:r w:rsidRPr="00AD4E24">
        <w:rPr>
          <w:szCs w:val="26"/>
        </w:rPr>
        <w:tab/>
      </w:r>
      <w:r w:rsidRPr="00AD4E24">
        <w:rPr>
          <w:szCs w:val="26"/>
        </w:rPr>
        <w:tab/>
      </w:r>
      <w:r w:rsidRPr="00AD4E24">
        <w:rPr>
          <w:szCs w:val="26"/>
        </w:rPr>
        <w:tab/>
      </w:r>
      <w:r w:rsidRPr="00AD4E24">
        <w:rPr>
          <w:szCs w:val="26"/>
        </w:rPr>
        <w:tab/>
      </w:r>
      <w:r w:rsidRPr="00AD4E24">
        <w:rPr>
          <w:szCs w:val="26"/>
        </w:rPr>
        <w:tab/>
      </w:r>
      <w:r w:rsidRPr="00AD4E24">
        <w:rPr>
          <w:szCs w:val="26"/>
        </w:rPr>
        <w:tab/>
      </w:r>
      <w:r w:rsidRPr="00AD4E24">
        <w:rPr>
          <w:bCs/>
          <w:i/>
          <w:iCs/>
          <w:szCs w:val="26"/>
        </w:rPr>
        <w:t xml:space="preserve">Attorneys for Commenting Party </w:t>
      </w:r>
    </w:p>
    <w:p w14:paraId="4B3399FC" w14:textId="77777777" w:rsidR="008D0262" w:rsidRDefault="00397A30" w:rsidP="004E75D8">
      <w:pPr>
        <w:spacing w:after="240" w:line="480" w:lineRule="auto"/>
        <w:jc w:val="both"/>
        <w:rPr>
          <w:i/>
          <w:iCs/>
          <w:szCs w:val="26"/>
        </w:rPr>
      </w:pPr>
      <w:r>
        <w:rPr>
          <w:i/>
          <w:iCs/>
          <w:szCs w:val="26"/>
        </w:rPr>
        <w:tab/>
      </w:r>
      <w:r>
        <w:rPr>
          <w:i/>
          <w:iCs/>
          <w:szCs w:val="26"/>
        </w:rPr>
        <w:tab/>
      </w:r>
      <w:r>
        <w:rPr>
          <w:i/>
          <w:iCs/>
          <w:szCs w:val="26"/>
        </w:rPr>
        <w:tab/>
      </w:r>
      <w:r>
        <w:rPr>
          <w:i/>
          <w:iCs/>
          <w:szCs w:val="26"/>
        </w:rPr>
        <w:tab/>
      </w:r>
      <w:r>
        <w:rPr>
          <w:i/>
          <w:iCs/>
          <w:szCs w:val="26"/>
        </w:rPr>
        <w:tab/>
      </w:r>
    </w:p>
    <w:p w14:paraId="15A7371C" w14:textId="77777777" w:rsidR="00AD4E24" w:rsidRDefault="00AD4E24" w:rsidP="008D0262">
      <w:pPr>
        <w:spacing w:after="240" w:line="480" w:lineRule="auto"/>
        <w:jc w:val="center"/>
        <w:rPr>
          <w:szCs w:val="26"/>
        </w:rPr>
      </w:pPr>
    </w:p>
    <w:p w14:paraId="4AF9E97D" w14:textId="77777777" w:rsidR="00AD4E24" w:rsidRDefault="00AD4E24" w:rsidP="008D0262">
      <w:pPr>
        <w:spacing w:after="240" w:line="480" w:lineRule="auto"/>
        <w:jc w:val="center"/>
        <w:rPr>
          <w:szCs w:val="26"/>
        </w:rPr>
      </w:pPr>
    </w:p>
    <w:p w14:paraId="707F42B7" w14:textId="77777777" w:rsidR="00AD4E24" w:rsidRDefault="00AD4E24" w:rsidP="008D0262">
      <w:pPr>
        <w:spacing w:after="240" w:line="480" w:lineRule="auto"/>
        <w:jc w:val="center"/>
        <w:rPr>
          <w:szCs w:val="26"/>
        </w:rPr>
      </w:pPr>
    </w:p>
    <w:p w14:paraId="5D2F4C4E" w14:textId="77777777" w:rsidR="00AD4E24" w:rsidRDefault="00AD4E24" w:rsidP="008D0262">
      <w:pPr>
        <w:spacing w:after="240" w:line="480" w:lineRule="auto"/>
        <w:jc w:val="center"/>
        <w:rPr>
          <w:szCs w:val="26"/>
        </w:rPr>
      </w:pPr>
    </w:p>
    <w:p w14:paraId="7A8F46D7" w14:textId="77777777" w:rsidR="00AD4E24" w:rsidRDefault="00AD4E24" w:rsidP="008D0262">
      <w:pPr>
        <w:spacing w:after="240" w:line="480" w:lineRule="auto"/>
        <w:jc w:val="center"/>
        <w:rPr>
          <w:szCs w:val="26"/>
        </w:rPr>
      </w:pPr>
    </w:p>
    <w:p w14:paraId="659DA5A2" w14:textId="77777777" w:rsidR="00AD4E24" w:rsidRDefault="00AD4E24" w:rsidP="008D0262">
      <w:pPr>
        <w:spacing w:after="240" w:line="480" w:lineRule="auto"/>
        <w:jc w:val="center"/>
        <w:rPr>
          <w:szCs w:val="26"/>
        </w:rPr>
      </w:pPr>
    </w:p>
    <w:p w14:paraId="6BE817AF" w14:textId="77777777" w:rsidR="00AD4E24" w:rsidRDefault="00AD4E24" w:rsidP="008D0262">
      <w:pPr>
        <w:spacing w:after="240" w:line="480" w:lineRule="auto"/>
        <w:jc w:val="center"/>
        <w:rPr>
          <w:szCs w:val="26"/>
        </w:rPr>
      </w:pPr>
    </w:p>
    <w:p w14:paraId="41E17AA0" w14:textId="77777777" w:rsidR="00AD4E24" w:rsidRDefault="00AD4E24" w:rsidP="008D0262">
      <w:pPr>
        <w:spacing w:after="240" w:line="480" w:lineRule="auto"/>
        <w:jc w:val="center"/>
        <w:rPr>
          <w:szCs w:val="26"/>
        </w:rPr>
      </w:pPr>
    </w:p>
    <w:p w14:paraId="022A3541" w14:textId="77777777" w:rsidR="008D0262" w:rsidRDefault="00AD4E24" w:rsidP="008D0262">
      <w:pPr>
        <w:spacing w:after="240" w:line="480" w:lineRule="auto"/>
        <w:jc w:val="center"/>
        <w:rPr>
          <w:szCs w:val="26"/>
        </w:rPr>
      </w:pPr>
      <w:r>
        <w:rPr>
          <w:szCs w:val="26"/>
        </w:rPr>
        <w:lastRenderedPageBreak/>
        <w:t>C</w:t>
      </w:r>
      <w:r w:rsidR="008D0262">
        <w:rPr>
          <w:szCs w:val="26"/>
        </w:rPr>
        <w:t xml:space="preserve">ERTIFICATE OF SERVICE </w:t>
      </w:r>
    </w:p>
    <w:p w14:paraId="2849AC06" w14:textId="77777777" w:rsidR="008D0262" w:rsidRDefault="008D0262" w:rsidP="008D0262">
      <w:pPr>
        <w:spacing w:line="240" w:lineRule="auto"/>
        <w:rPr>
          <w:szCs w:val="26"/>
        </w:rPr>
      </w:pPr>
      <w:r>
        <w:rPr>
          <w:szCs w:val="26"/>
        </w:rPr>
        <w:t xml:space="preserve">COPY OF THE FOREGOING </w:t>
      </w:r>
    </w:p>
    <w:p w14:paraId="2D591882" w14:textId="77777777" w:rsidR="008D0262" w:rsidRDefault="008D0262" w:rsidP="008D0262">
      <w:pPr>
        <w:spacing w:line="240" w:lineRule="auto"/>
        <w:rPr>
          <w:szCs w:val="26"/>
        </w:rPr>
      </w:pPr>
      <w:r>
        <w:rPr>
          <w:szCs w:val="26"/>
        </w:rPr>
        <w:t xml:space="preserve">Mailed </w:t>
      </w:r>
      <w:r w:rsidRPr="00956844">
        <w:rPr>
          <w:szCs w:val="26"/>
        </w:rPr>
        <w:t xml:space="preserve">this </w:t>
      </w:r>
      <w:r w:rsidR="00453B00">
        <w:rPr>
          <w:szCs w:val="26"/>
        </w:rPr>
        <w:t>16</w:t>
      </w:r>
      <w:r w:rsidR="002814D9" w:rsidRPr="00956844">
        <w:rPr>
          <w:szCs w:val="26"/>
        </w:rPr>
        <w:t>th</w:t>
      </w:r>
      <w:r w:rsidRPr="00956844">
        <w:rPr>
          <w:szCs w:val="26"/>
        </w:rPr>
        <w:t xml:space="preserve"> day of </w:t>
      </w:r>
      <w:r w:rsidR="00453B00">
        <w:rPr>
          <w:szCs w:val="26"/>
        </w:rPr>
        <w:t>April</w:t>
      </w:r>
      <w:r w:rsidRPr="00956844">
        <w:rPr>
          <w:szCs w:val="26"/>
        </w:rPr>
        <w:t>, 202</w:t>
      </w:r>
      <w:r w:rsidR="00C15ED0" w:rsidRPr="00956844">
        <w:rPr>
          <w:szCs w:val="26"/>
        </w:rPr>
        <w:t>4</w:t>
      </w:r>
      <w:r w:rsidRPr="00956844">
        <w:rPr>
          <w:szCs w:val="26"/>
        </w:rPr>
        <w:t xml:space="preserve"> to</w:t>
      </w:r>
      <w:r>
        <w:rPr>
          <w:szCs w:val="26"/>
        </w:rPr>
        <w:t>:</w:t>
      </w:r>
    </w:p>
    <w:p w14:paraId="4E0DF1CB" w14:textId="77777777" w:rsidR="008D0262" w:rsidRDefault="008D0262" w:rsidP="008D0262">
      <w:pPr>
        <w:spacing w:line="240" w:lineRule="auto"/>
        <w:rPr>
          <w:szCs w:val="26"/>
        </w:rPr>
      </w:pPr>
    </w:p>
    <w:p w14:paraId="0801C5ED" w14:textId="77777777" w:rsidR="008D0262" w:rsidRDefault="008D0262" w:rsidP="008D0262">
      <w:pPr>
        <w:spacing w:line="240" w:lineRule="auto"/>
        <w:rPr>
          <w:szCs w:val="26"/>
        </w:rPr>
      </w:pPr>
      <w:r>
        <w:rPr>
          <w:szCs w:val="26"/>
        </w:rPr>
        <w:t>ANDREW P. SCHAFFER, AZ Bar. No. 037352</w:t>
      </w:r>
    </w:p>
    <w:p w14:paraId="4712CC05" w14:textId="77777777" w:rsidR="008D0262" w:rsidRDefault="008D0262" w:rsidP="008D0262">
      <w:pPr>
        <w:spacing w:line="240" w:lineRule="auto"/>
        <w:rPr>
          <w:szCs w:val="26"/>
        </w:rPr>
      </w:pPr>
      <w:r>
        <w:rPr>
          <w:szCs w:val="26"/>
        </w:rPr>
        <w:t>BRENDA MUÑOZ FURNISH, AZ Bar. No. 027280</w:t>
      </w:r>
    </w:p>
    <w:p w14:paraId="3729BB20" w14:textId="77777777" w:rsidR="008D0262" w:rsidRDefault="008D0262" w:rsidP="008D0262">
      <w:pPr>
        <w:spacing w:line="240" w:lineRule="auto"/>
        <w:rPr>
          <w:szCs w:val="26"/>
        </w:rPr>
      </w:pPr>
      <w:r>
        <w:rPr>
          <w:szCs w:val="26"/>
        </w:rPr>
        <w:t>MICHELLE J. SIMPSON, AZ Bar. No. 020199</w:t>
      </w:r>
    </w:p>
    <w:p w14:paraId="56FC9643" w14:textId="77777777" w:rsidR="008D0262" w:rsidRDefault="008D0262" w:rsidP="008D0262">
      <w:pPr>
        <w:spacing w:line="240" w:lineRule="auto"/>
        <w:rPr>
          <w:szCs w:val="26"/>
        </w:rPr>
      </w:pPr>
      <w:r>
        <w:rPr>
          <w:szCs w:val="26"/>
        </w:rPr>
        <w:t>WILLIAM E. MORRIS INSTITUTE FOR JUSTICE</w:t>
      </w:r>
    </w:p>
    <w:p w14:paraId="331D67CD" w14:textId="77777777" w:rsidR="008D0262" w:rsidRDefault="008D0262" w:rsidP="008D0262">
      <w:pPr>
        <w:spacing w:line="240" w:lineRule="auto"/>
        <w:rPr>
          <w:szCs w:val="26"/>
        </w:rPr>
      </w:pPr>
      <w:r>
        <w:rPr>
          <w:szCs w:val="26"/>
        </w:rPr>
        <w:t>3707 North Seventh Street, Suite 300</w:t>
      </w:r>
    </w:p>
    <w:p w14:paraId="0A23E6B0" w14:textId="77777777" w:rsidR="008D0262" w:rsidRDefault="008D0262" w:rsidP="008D0262">
      <w:pPr>
        <w:spacing w:line="240" w:lineRule="auto"/>
        <w:rPr>
          <w:szCs w:val="26"/>
        </w:rPr>
      </w:pPr>
      <w:r>
        <w:rPr>
          <w:szCs w:val="26"/>
        </w:rPr>
        <w:t>Phoenix, Arizona 85014-5095</w:t>
      </w:r>
    </w:p>
    <w:p w14:paraId="1E559ECB" w14:textId="77777777" w:rsidR="008D0262" w:rsidRDefault="008D0262" w:rsidP="008D0262">
      <w:pPr>
        <w:tabs>
          <w:tab w:val="left" w:pos="5880"/>
        </w:tabs>
        <w:spacing w:line="240" w:lineRule="auto"/>
        <w:rPr>
          <w:b/>
          <w:szCs w:val="26"/>
        </w:rPr>
      </w:pPr>
      <w:r>
        <w:rPr>
          <w:szCs w:val="26"/>
        </w:rPr>
        <w:t>(602) 252-3432</w:t>
      </w:r>
      <w:r>
        <w:rPr>
          <w:szCs w:val="26"/>
        </w:rPr>
        <w:tab/>
      </w:r>
      <w:r>
        <w:rPr>
          <w:b/>
          <w:szCs w:val="26"/>
        </w:rPr>
        <w:t xml:space="preserve"> </w:t>
      </w:r>
    </w:p>
    <w:p w14:paraId="55B995B4" w14:textId="77777777" w:rsidR="008D0262" w:rsidRDefault="008D0262" w:rsidP="008D0262">
      <w:pPr>
        <w:spacing w:line="240" w:lineRule="auto"/>
        <w:rPr>
          <w:szCs w:val="26"/>
        </w:rPr>
      </w:pPr>
      <w:r>
        <w:rPr>
          <w:szCs w:val="26"/>
        </w:rPr>
        <w:t>dpschaffer@mijaz.org</w:t>
      </w:r>
      <w:r>
        <w:rPr>
          <w:szCs w:val="26"/>
        </w:rPr>
        <w:tab/>
      </w:r>
    </w:p>
    <w:p w14:paraId="4BB110ED" w14:textId="77777777" w:rsidR="008D0262" w:rsidRDefault="008D0262" w:rsidP="008D0262">
      <w:pPr>
        <w:spacing w:line="240" w:lineRule="auto"/>
        <w:rPr>
          <w:szCs w:val="26"/>
        </w:rPr>
      </w:pPr>
      <w:r>
        <w:rPr>
          <w:szCs w:val="26"/>
        </w:rPr>
        <w:t>bmfurnish@mijaz.org</w:t>
      </w:r>
      <w:r>
        <w:rPr>
          <w:szCs w:val="26"/>
        </w:rPr>
        <w:tab/>
      </w:r>
    </w:p>
    <w:p w14:paraId="62E33B92" w14:textId="77777777" w:rsidR="008D0262" w:rsidRDefault="008D0262" w:rsidP="008D0262">
      <w:pPr>
        <w:spacing w:line="240" w:lineRule="auto"/>
        <w:rPr>
          <w:szCs w:val="26"/>
        </w:rPr>
      </w:pPr>
      <w:r>
        <w:rPr>
          <w:szCs w:val="26"/>
        </w:rPr>
        <w:t>mjsimpson@mijaz.org</w:t>
      </w:r>
      <w:r>
        <w:rPr>
          <w:szCs w:val="26"/>
        </w:rPr>
        <w:tab/>
      </w:r>
      <w:r>
        <w:rPr>
          <w:szCs w:val="26"/>
        </w:rPr>
        <w:tab/>
      </w:r>
    </w:p>
    <w:p w14:paraId="42714A52" w14:textId="77777777" w:rsidR="008D0262" w:rsidRDefault="008D0262" w:rsidP="008D0262">
      <w:pPr>
        <w:spacing w:line="240" w:lineRule="auto"/>
        <w:rPr>
          <w:szCs w:val="26"/>
        </w:rPr>
      </w:pPr>
    </w:p>
    <w:p w14:paraId="0F3D166A" w14:textId="77777777" w:rsidR="008D0262" w:rsidRDefault="008D0262" w:rsidP="008D0262">
      <w:pPr>
        <w:spacing w:line="240" w:lineRule="auto"/>
        <w:rPr>
          <w:szCs w:val="26"/>
        </w:rPr>
      </w:pPr>
      <w:r>
        <w:rPr>
          <w:szCs w:val="26"/>
        </w:rPr>
        <w:t xml:space="preserve">PAMELA BRIDGE, AZ Bar No. 018252 </w:t>
      </w:r>
    </w:p>
    <w:p w14:paraId="3591A631" w14:textId="77777777" w:rsidR="008D0262" w:rsidRDefault="008D0262" w:rsidP="008D0262">
      <w:pPr>
        <w:spacing w:line="240" w:lineRule="auto"/>
        <w:rPr>
          <w:szCs w:val="26"/>
        </w:rPr>
      </w:pPr>
      <w:r>
        <w:rPr>
          <w:szCs w:val="26"/>
        </w:rPr>
        <w:t xml:space="preserve">COMMUNITY LEGAL SERVICES  </w:t>
      </w:r>
    </w:p>
    <w:p w14:paraId="2FA17CCB" w14:textId="77777777" w:rsidR="008D0262" w:rsidRDefault="008D0262" w:rsidP="008D0262">
      <w:pPr>
        <w:spacing w:line="240" w:lineRule="auto"/>
        <w:rPr>
          <w:szCs w:val="26"/>
        </w:rPr>
      </w:pPr>
      <w:r>
        <w:rPr>
          <w:szCs w:val="26"/>
        </w:rPr>
        <w:t xml:space="preserve">305 S. 2nd Avenue </w:t>
      </w:r>
    </w:p>
    <w:p w14:paraId="613D4D2A" w14:textId="77777777" w:rsidR="008D0262" w:rsidRDefault="008D0262" w:rsidP="008D0262">
      <w:pPr>
        <w:spacing w:line="240" w:lineRule="auto"/>
        <w:rPr>
          <w:szCs w:val="26"/>
        </w:rPr>
      </w:pPr>
      <w:r>
        <w:rPr>
          <w:szCs w:val="26"/>
        </w:rPr>
        <w:t>Phoenix, Arizona 85003</w:t>
      </w:r>
    </w:p>
    <w:p w14:paraId="07C620CC" w14:textId="77777777" w:rsidR="008D0262" w:rsidRDefault="008D0262" w:rsidP="008D0262">
      <w:pPr>
        <w:spacing w:line="240" w:lineRule="auto"/>
        <w:rPr>
          <w:szCs w:val="26"/>
        </w:rPr>
      </w:pPr>
      <w:r>
        <w:rPr>
          <w:szCs w:val="26"/>
        </w:rPr>
        <w:t xml:space="preserve">(602) 253-1536 </w:t>
      </w:r>
    </w:p>
    <w:p w14:paraId="56E4F219" w14:textId="77777777" w:rsidR="008D0262" w:rsidRDefault="008D0262" w:rsidP="008D0262">
      <w:pPr>
        <w:spacing w:line="240" w:lineRule="auto"/>
        <w:rPr>
          <w:szCs w:val="26"/>
        </w:rPr>
      </w:pPr>
      <w:r>
        <w:rPr>
          <w:szCs w:val="26"/>
        </w:rPr>
        <w:t xml:space="preserve">pbridge@clsaz.org </w:t>
      </w:r>
    </w:p>
    <w:p w14:paraId="28288792" w14:textId="77777777" w:rsidR="008D0262" w:rsidRDefault="008D0262" w:rsidP="008D0262">
      <w:pPr>
        <w:spacing w:line="240" w:lineRule="auto"/>
        <w:rPr>
          <w:szCs w:val="26"/>
        </w:rPr>
      </w:pPr>
    </w:p>
    <w:p w14:paraId="35E5A164" w14:textId="77777777" w:rsidR="008D0262" w:rsidRDefault="008D0262" w:rsidP="008D0262">
      <w:pPr>
        <w:spacing w:line="240" w:lineRule="auto"/>
        <w:rPr>
          <w:szCs w:val="26"/>
        </w:rPr>
      </w:pPr>
      <w:r>
        <w:rPr>
          <w:szCs w:val="26"/>
        </w:rPr>
        <w:t>CHARLES W. DOUGHTY, AZ Bar No. 027403</w:t>
      </w:r>
    </w:p>
    <w:p w14:paraId="456D3964" w14:textId="77777777" w:rsidR="008D0262" w:rsidRDefault="008D0262" w:rsidP="008D0262">
      <w:pPr>
        <w:spacing w:line="240" w:lineRule="auto"/>
        <w:rPr>
          <w:szCs w:val="26"/>
        </w:rPr>
      </w:pPr>
      <w:r>
        <w:rPr>
          <w:szCs w:val="26"/>
        </w:rPr>
        <w:t>DNA PEOPLE’S LEGAL SERVICES</w:t>
      </w:r>
    </w:p>
    <w:p w14:paraId="0A3F96C9" w14:textId="77777777" w:rsidR="008D0262" w:rsidRDefault="008D0262" w:rsidP="008D0262">
      <w:pPr>
        <w:spacing w:line="240" w:lineRule="auto"/>
        <w:rPr>
          <w:szCs w:val="26"/>
        </w:rPr>
      </w:pPr>
      <w:r>
        <w:rPr>
          <w:szCs w:val="26"/>
        </w:rPr>
        <w:t>2323 E. Greenlaw Ln., Ste. 1</w:t>
      </w:r>
    </w:p>
    <w:p w14:paraId="44884E3F" w14:textId="77777777" w:rsidR="008D0262" w:rsidRDefault="008D0262" w:rsidP="008D0262">
      <w:pPr>
        <w:spacing w:line="240" w:lineRule="auto"/>
        <w:rPr>
          <w:szCs w:val="26"/>
        </w:rPr>
      </w:pPr>
      <w:r>
        <w:rPr>
          <w:szCs w:val="26"/>
        </w:rPr>
        <w:t>Flagstaff, AZ 86004</w:t>
      </w:r>
    </w:p>
    <w:p w14:paraId="3C2EADB0" w14:textId="77777777" w:rsidR="008D0262" w:rsidRDefault="008D0262" w:rsidP="008D0262">
      <w:pPr>
        <w:spacing w:line="240" w:lineRule="auto"/>
        <w:rPr>
          <w:szCs w:val="26"/>
        </w:rPr>
      </w:pPr>
      <w:r>
        <w:rPr>
          <w:szCs w:val="26"/>
        </w:rPr>
        <w:t>(928) 774-0653</w:t>
      </w:r>
    </w:p>
    <w:p w14:paraId="65CA1ADE" w14:textId="77777777" w:rsidR="008D0262" w:rsidRDefault="008D0262" w:rsidP="008D0262">
      <w:pPr>
        <w:spacing w:line="240" w:lineRule="auto"/>
        <w:rPr>
          <w:szCs w:val="26"/>
        </w:rPr>
      </w:pPr>
      <w:r>
        <w:rPr>
          <w:szCs w:val="26"/>
        </w:rPr>
        <w:t>cwdoughty@dnalegalservices.org</w:t>
      </w:r>
    </w:p>
    <w:p w14:paraId="1575A000" w14:textId="77777777" w:rsidR="008D0262" w:rsidRDefault="008D0262" w:rsidP="008D0262">
      <w:pPr>
        <w:spacing w:line="240" w:lineRule="auto"/>
        <w:rPr>
          <w:szCs w:val="26"/>
        </w:rPr>
      </w:pPr>
    </w:p>
    <w:p w14:paraId="5C87E24F" w14:textId="77777777" w:rsidR="008D0262" w:rsidRDefault="008D0262" w:rsidP="008D0262">
      <w:pPr>
        <w:spacing w:line="240" w:lineRule="auto"/>
        <w:rPr>
          <w:szCs w:val="26"/>
        </w:rPr>
      </w:pPr>
      <w:r>
        <w:rPr>
          <w:szCs w:val="26"/>
        </w:rPr>
        <w:t>ALAN R. SOLOT, AZ Bar No. 006587</w:t>
      </w:r>
    </w:p>
    <w:p w14:paraId="6401E762" w14:textId="77777777" w:rsidR="008D0262" w:rsidRDefault="008D0262" w:rsidP="008D0262">
      <w:pPr>
        <w:spacing w:line="240" w:lineRule="auto"/>
        <w:rPr>
          <w:szCs w:val="26"/>
        </w:rPr>
      </w:pPr>
      <w:r>
        <w:rPr>
          <w:szCs w:val="26"/>
        </w:rPr>
        <w:t>SOUTHERN ARIZONA LEGAL AID</w:t>
      </w:r>
    </w:p>
    <w:p w14:paraId="38169004" w14:textId="77777777" w:rsidR="008D0262" w:rsidRDefault="008D0262" w:rsidP="008D0262">
      <w:pPr>
        <w:spacing w:line="240" w:lineRule="auto"/>
        <w:rPr>
          <w:szCs w:val="26"/>
        </w:rPr>
      </w:pPr>
      <w:r>
        <w:rPr>
          <w:szCs w:val="26"/>
        </w:rPr>
        <w:t xml:space="preserve">2343 E. Broadway </w:t>
      </w:r>
      <w:r w:rsidR="00745887">
        <w:rPr>
          <w:szCs w:val="26"/>
        </w:rPr>
        <w:t>Blvd.</w:t>
      </w:r>
      <w:r>
        <w:rPr>
          <w:szCs w:val="26"/>
        </w:rPr>
        <w:t xml:space="preserve">, #200 </w:t>
      </w:r>
    </w:p>
    <w:p w14:paraId="549FB521" w14:textId="77777777" w:rsidR="008D0262" w:rsidRDefault="008D0262" w:rsidP="008D0262">
      <w:pPr>
        <w:spacing w:line="240" w:lineRule="auto"/>
        <w:rPr>
          <w:szCs w:val="26"/>
        </w:rPr>
      </w:pPr>
      <w:r>
        <w:rPr>
          <w:szCs w:val="26"/>
        </w:rPr>
        <w:t xml:space="preserve">Tucson, Arizona </w:t>
      </w:r>
      <w:r w:rsidR="00745887">
        <w:rPr>
          <w:szCs w:val="26"/>
        </w:rPr>
        <w:t>85719</w:t>
      </w:r>
    </w:p>
    <w:p w14:paraId="0DF49E5D" w14:textId="77777777" w:rsidR="008D0262" w:rsidRDefault="008D0262" w:rsidP="008D0262">
      <w:pPr>
        <w:spacing w:line="240" w:lineRule="auto"/>
        <w:rPr>
          <w:szCs w:val="26"/>
        </w:rPr>
      </w:pPr>
      <w:r>
        <w:rPr>
          <w:szCs w:val="26"/>
        </w:rPr>
        <w:t xml:space="preserve">(520) 623-9461 </w:t>
      </w:r>
    </w:p>
    <w:p w14:paraId="7C6C146C" w14:textId="77777777" w:rsidR="008D0262" w:rsidRDefault="008D0262" w:rsidP="008D0262">
      <w:pPr>
        <w:spacing w:line="240" w:lineRule="auto"/>
        <w:rPr>
          <w:szCs w:val="26"/>
        </w:rPr>
      </w:pPr>
      <w:r>
        <w:rPr>
          <w:szCs w:val="26"/>
        </w:rPr>
        <w:t>asolot@sazlegalaid.org</w:t>
      </w:r>
    </w:p>
    <w:p w14:paraId="59586DBE" w14:textId="77777777" w:rsidR="008D0262" w:rsidRDefault="008D0262" w:rsidP="008D0262">
      <w:pPr>
        <w:spacing w:after="240" w:line="480" w:lineRule="auto"/>
        <w:rPr>
          <w:szCs w:val="26"/>
        </w:rPr>
      </w:pPr>
    </w:p>
    <w:p w14:paraId="3076EB44" w14:textId="77777777" w:rsidR="003B7FB5" w:rsidRPr="003B7FB5" w:rsidRDefault="003B7FB5" w:rsidP="008D0262">
      <w:pPr>
        <w:spacing w:after="240" w:line="480" w:lineRule="auto"/>
        <w:rPr>
          <w:szCs w:val="26"/>
          <w:u w:val="single"/>
        </w:rPr>
      </w:pPr>
      <w:r>
        <w:rPr>
          <w:szCs w:val="26"/>
          <w:u w:val="single"/>
        </w:rPr>
        <w:t>/s/ Scott A. Baluha</w:t>
      </w:r>
      <w:r>
        <w:rPr>
          <w:szCs w:val="26"/>
          <w:u w:val="single"/>
        </w:rPr>
        <w:tab/>
      </w:r>
      <w:r>
        <w:rPr>
          <w:szCs w:val="26"/>
          <w:u w:val="single"/>
        </w:rPr>
        <w:tab/>
      </w:r>
      <w:r>
        <w:rPr>
          <w:szCs w:val="26"/>
          <w:u w:val="single"/>
        </w:rPr>
        <w:tab/>
      </w:r>
      <w:r>
        <w:rPr>
          <w:szCs w:val="26"/>
          <w:u w:val="single"/>
        </w:rPr>
        <w:tab/>
      </w:r>
      <w:r>
        <w:rPr>
          <w:szCs w:val="26"/>
          <w:u w:val="single"/>
        </w:rPr>
        <w:tab/>
      </w:r>
    </w:p>
    <w:sectPr w:rsidR="003B7FB5" w:rsidRPr="003B7FB5" w:rsidSect="008509DE">
      <w:headerReference w:type="even" r:id="rId8"/>
      <w:headerReference w:type="default" r:id="rId9"/>
      <w:footerReference w:type="even" r:id="rId10"/>
      <w:footerReference w:type="default" r:id="rId11"/>
      <w:headerReference w:type="first" r:id="rId12"/>
      <w:footerReference w:type="first" r:id="rId13"/>
      <w:pgSz w:w="12240" w:h="15840" w:code="1"/>
      <w:pgMar w:top="-1080" w:right="864" w:bottom="720" w:left="1915" w:header="432" w:footer="360"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E9FBE" w14:textId="77777777" w:rsidR="008509DE" w:rsidRDefault="008509DE">
      <w:r>
        <w:separator/>
      </w:r>
    </w:p>
  </w:endnote>
  <w:endnote w:type="continuationSeparator" w:id="0">
    <w:p w14:paraId="1C5237D0" w14:textId="77777777" w:rsidR="008509DE" w:rsidRDefault="0085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 New 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udyOlSt BT">
    <w:altName w:val="Georgia"/>
    <w:charset w:val="00"/>
    <w:family w:val="roman"/>
    <w:pitch w:val="variable"/>
    <w:sig w:usb0="00000001" w:usb1="00000000" w:usb2="00000000" w:usb3="00000000" w:csb0="0000001B" w:csb1="00000000"/>
  </w:font>
  <w:font w:name="Goudy Old Style">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FA9B3" w14:textId="77777777" w:rsidR="003E6279" w:rsidRDefault="003E6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786" w:type="dxa"/>
      <w:tblLayout w:type="fixed"/>
      <w:tblLook w:val="0000" w:firstRow="0" w:lastRow="0" w:firstColumn="0" w:lastColumn="0" w:noHBand="0" w:noVBand="0"/>
    </w:tblPr>
    <w:tblGrid>
      <w:gridCol w:w="1890"/>
      <w:gridCol w:w="3600"/>
      <w:gridCol w:w="1350"/>
      <w:gridCol w:w="4590"/>
    </w:tblGrid>
    <w:tr w:rsidR="0015284F" w14:paraId="31E988F7" w14:textId="77777777">
      <w:tblPrEx>
        <w:tblCellMar>
          <w:top w:w="0" w:type="dxa"/>
          <w:bottom w:w="0" w:type="dxa"/>
        </w:tblCellMar>
      </w:tblPrEx>
      <w:trPr>
        <w:trHeight w:hRule="exact" w:val="620"/>
      </w:trPr>
      <w:tc>
        <w:tcPr>
          <w:tcW w:w="1890" w:type="dxa"/>
        </w:tcPr>
        <w:p w14:paraId="4DCED896" w14:textId="77777777" w:rsidR="0015284F" w:rsidRDefault="0015284F">
          <w:pPr>
            <w:pStyle w:val="Footer"/>
            <w:spacing w:line="160" w:lineRule="exact"/>
            <w:ind w:left="-58"/>
            <w:jc w:val="center"/>
            <w:rPr>
              <w:smallCaps/>
              <w:spacing w:val="10"/>
              <w:sz w:val="16"/>
            </w:rPr>
          </w:pPr>
        </w:p>
      </w:tc>
      <w:tc>
        <w:tcPr>
          <w:tcW w:w="3600" w:type="dxa"/>
        </w:tcPr>
        <w:p w14:paraId="1357CF2E" w14:textId="77777777" w:rsidR="0015284F" w:rsidRDefault="0015284F">
          <w:pPr>
            <w:pStyle w:val="Footer"/>
            <w:spacing w:before="220"/>
          </w:pPr>
        </w:p>
      </w:tc>
      <w:tc>
        <w:tcPr>
          <w:tcW w:w="1350" w:type="dxa"/>
        </w:tcPr>
        <w:p w14:paraId="2AB3E5A3" w14:textId="77777777" w:rsidR="0015284F" w:rsidRDefault="0015284F">
          <w:pPr>
            <w:pStyle w:val="Footer"/>
            <w:spacing w:before="400"/>
            <w:ind w:left="-86"/>
            <w:jc w:val="right"/>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sidR="007729E9">
            <w:rPr>
              <w:rStyle w:val="PageNumber"/>
              <w:noProof/>
            </w:rPr>
            <w:t>3</w:t>
          </w:r>
          <w:r>
            <w:rPr>
              <w:rStyle w:val="PageNumber"/>
            </w:rPr>
            <w:fldChar w:fldCharType="end"/>
          </w:r>
          <w:r>
            <w:rPr>
              <w:rStyle w:val="PageNumber"/>
            </w:rPr>
            <w:t xml:space="preserve"> -</w:t>
          </w:r>
        </w:p>
      </w:tc>
      <w:tc>
        <w:tcPr>
          <w:tcW w:w="4590" w:type="dxa"/>
        </w:tcPr>
        <w:p w14:paraId="527D7475" w14:textId="77777777" w:rsidR="0015284F" w:rsidRDefault="0015284F">
          <w:pPr>
            <w:pStyle w:val="Footer"/>
            <w:tabs>
              <w:tab w:val="right" w:pos="5014"/>
            </w:tabs>
            <w:spacing w:before="220"/>
            <w:ind w:right="144"/>
            <w:jc w:val="right"/>
            <w:rPr>
              <w:sz w:val="20"/>
            </w:rPr>
          </w:pPr>
        </w:p>
      </w:tc>
    </w:tr>
  </w:tbl>
  <w:p w14:paraId="67384B1D" w14:textId="77777777" w:rsidR="0015284F" w:rsidRDefault="001528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62DC5" w14:textId="77777777" w:rsidR="0015284F" w:rsidRDefault="0015284F">
    <w:pPr>
      <w:pStyle w:val="Footer"/>
      <w:jc w:val="center"/>
    </w:pPr>
    <w:r>
      <w:fldChar w:fldCharType="begin"/>
    </w:r>
    <w:r>
      <w:instrText xml:space="preserve"> PAGE   \* MERGEFORMAT </w:instrText>
    </w:r>
    <w:r>
      <w:fldChar w:fldCharType="separate"/>
    </w:r>
    <w:r w:rsidR="007729E9">
      <w:rPr>
        <w:noProof/>
      </w:rPr>
      <w:t>1</w:t>
    </w:r>
    <w:r>
      <w:fldChar w:fldCharType="end"/>
    </w:r>
  </w:p>
  <w:p w14:paraId="0E96B842" w14:textId="77777777" w:rsidR="0015284F" w:rsidRDefault="00152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59746" w14:textId="77777777" w:rsidR="008509DE" w:rsidRDefault="008509DE">
      <w:pPr>
        <w:spacing w:line="80" w:lineRule="exact"/>
      </w:pPr>
      <w:r>
        <w:separator/>
      </w:r>
    </w:p>
  </w:footnote>
  <w:footnote w:type="continuationSeparator" w:id="0">
    <w:p w14:paraId="776A0E2B" w14:textId="77777777" w:rsidR="008509DE" w:rsidRDefault="008509DE">
      <w:pPr>
        <w:spacing w:line="80" w:lineRule="exact"/>
      </w:pPr>
      <w:r>
        <w:continuationSeparator/>
      </w:r>
    </w:p>
  </w:footnote>
  <w:footnote w:id="1">
    <w:p w14:paraId="3C348779" w14:textId="77777777" w:rsidR="002144F1" w:rsidRDefault="002144F1">
      <w:pPr>
        <w:pStyle w:val="FootnoteText"/>
      </w:pPr>
      <w:r>
        <w:rPr>
          <w:rStyle w:val="FootnoteReference"/>
        </w:rPr>
        <w:footnoteRef/>
      </w:r>
      <w:r>
        <w:t xml:space="preserve"> Pet., at 4. </w:t>
      </w:r>
    </w:p>
  </w:footnote>
  <w:footnote w:id="2">
    <w:p w14:paraId="463E0A18" w14:textId="77777777" w:rsidR="00F1791F" w:rsidRDefault="00F1791F">
      <w:pPr>
        <w:pStyle w:val="FootnoteText"/>
      </w:pPr>
      <w:r>
        <w:rPr>
          <w:rStyle w:val="FootnoteReference"/>
        </w:rPr>
        <w:footnoteRef/>
      </w:r>
      <w:r>
        <w:t xml:space="preserve"> Pet., at 6–7.</w:t>
      </w:r>
    </w:p>
  </w:footnote>
  <w:footnote w:id="3">
    <w:p w14:paraId="55160C17" w14:textId="77777777" w:rsidR="00117B80" w:rsidRDefault="00117B80">
      <w:pPr>
        <w:pStyle w:val="FootnoteText"/>
      </w:pPr>
      <w:r>
        <w:rPr>
          <w:rStyle w:val="FootnoteReference"/>
        </w:rPr>
        <w:footnoteRef/>
      </w:r>
      <w:r>
        <w:t xml:space="preserve"> Pet., at </w:t>
      </w:r>
      <w:r w:rsidR="00EF2D04">
        <w:t>8</w:t>
      </w:r>
      <w:r w:rsidR="00450B80">
        <w:rPr>
          <w:szCs w:val="26"/>
        </w:rPr>
        <w:t>–</w:t>
      </w:r>
      <w:r w:rsidR="00EF2D04">
        <w:t>9</w:t>
      </w:r>
      <w:r>
        <w:t>.</w:t>
      </w:r>
    </w:p>
  </w:footnote>
  <w:footnote w:id="4">
    <w:p w14:paraId="49DAB23C" w14:textId="77777777" w:rsidR="00EF2D04" w:rsidRDefault="00EF2D04">
      <w:pPr>
        <w:pStyle w:val="FootnoteText"/>
      </w:pPr>
      <w:r>
        <w:rPr>
          <w:rStyle w:val="FootnoteReference"/>
        </w:rPr>
        <w:footnoteRef/>
      </w:r>
      <w:r>
        <w:t xml:space="preserve"> Pet., at 9.</w:t>
      </w:r>
    </w:p>
  </w:footnote>
  <w:footnote w:id="5">
    <w:p w14:paraId="65F48681" w14:textId="77777777" w:rsidR="005272B2" w:rsidRPr="00EF2D04" w:rsidRDefault="005272B2">
      <w:pPr>
        <w:pStyle w:val="FootnoteText"/>
        <w:rPr>
          <w:highlight w:val="yellow"/>
        </w:rPr>
      </w:pPr>
      <w:r w:rsidRPr="00BE481A">
        <w:rPr>
          <w:rStyle w:val="FootnoteReference"/>
        </w:rPr>
        <w:footnoteRef/>
      </w:r>
      <w:r w:rsidRPr="00BE481A">
        <w:t xml:space="preserve"> Pet., at </w:t>
      </w:r>
      <w:r w:rsidR="00BE481A" w:rsidRPr="00BE481A">
        <w:t>14</w:t>
      </w:r>
      <w:r w:rsidRPr="00BE481A">
        <w:t>.</w:t>
      </w:r>
    </w:p>
  </w:footnote>
  <w:footnote w:id="6">
    <w:p w14:paraId="70D8F37A" w14:textId="77777777" w:rsidR="00EC0588" w:rsidRDefault="00EC0588">
      <w:pPr>
        <w:pStyle w:val="FootnoteText"/>
      </w:pPr>
      <w:r>
        <w:rPr>
          <w:rStyle w:val="FootnoteReference"/>
        </w:rPr>
        <w:footnoteRef/>
      </w:r>
      <w:r>
        <w:t xml:space="preserve"> Pet., at 12.</w:t>
      </w:r>
    </w:p>
  </w:footnote>
  <w:footnote w:id="7">
    <w:p w14:paraId="4E018FBF" w14:textId="77777777" w:rsidR="00C50830" w:rsidRDefault="00C50830">
      <w:pPr>
        <w:pStyle w:val="FootnoteText"/>
      </w:pPr>
      <w:r>
        <w:rPr>
          <w:rStyle w:val="FootnoteReference"/>
        </w:rPr>
        <w:footnoteRef/>
      </w:r>
      <w:r>
        <w:t xml:space="preserve"> Pet., at 12. </w:t>
      </w:r>
    </w:p>
  </w:footnote>
  <w:footnote w:id="8">
    <w:p w14:paraId="2CF4791D" w14:textId="77777777" w:rsidR="00C05D46" w:rsidRDefault="00C05D46">
      <w:pPr>
        <w:pStyle w:val="FootnoteText"/>
      </w:pPr>
      <w:r>
        <w:rPr>
          <w:rStyle w:val="FootnoteReference"/>
        </w:rPr>
        <w:footnoteRef/>
      </w:r>
      <w:r>
        <w:t xml:space="preserve"> </w:t>
      </w:r>
      <w:r w:rsidRPr="005715BF">
        <w:rPr>
          <w:i/>
          <w:iCs/>
        </w:rPr>
        <w:t>State v. Hansen</w:t>
      </w:r>
      <w:r>
        <w:t xml:space="preserve">, 215 Ariz. 287, </w:t>
      </w:r>
      <w:r w:rsidR="005715BF">
        <w:t xml:space="preserve">289 (2007). </w:t>
      </w:r>
    </w:p>
  </w:footnote>
  <w:footnote w:id="9">
    <w:p w14:paraId="39D72880" w14:textId="77777777" w:rsidR="001730CE" w:rsidRDefault="001730CE">
      <w:pPr>
        <w:pStyle w:val="FootnoteText"/>
      </w:pPr>
      <w:r>
        <w:rPr>
          <w:rStyle w:val="FootnoteReference"/>
        </w:rPr>
        <w:footnoteRef/>
      </w:r>
      <w:r>
        <w:t xml:space="preserve"> </w:t>
      </w:r>
      <w:r w:rsidRPr="001730CE">
        <w:rPr>
          <w:i/>
          <w:iCs/>
        </w:rPr>
        <w:t>State v. Reed</w:t>
      </w:r>
      <w:r>
        <w:t xml:space="preserve">, 248 Ariz. 72, 76 (2020). </w:t>
      </w:r>
    </w:p>
  </w:footnote>
  <w:footnote w:id="10">
    <w:p w14:paraId="0E397D9C" w14:textId="77777777" w:rsidR="00A725A2" w:rsidRDefault="00A725A2">
      <w:pPr>
        <w:pStyle w:val="FootnoteText"/>
      </w:pPr>
      <w:r>
        <w:rPr>
          <w:rStyle w:val="FootnoteReference"/>
        </w:rPr>
        <w:footnoteRef/>
      </w:r>
      <w:r>
        <w:t xml:space="preserve"> </w:t>
      </w:r>
      <w:r w:rsidRPr="00CD2F08">
        <w:rPr>
          <w:i/>
          <w:iCs/>
        </w:rPr>
        <w:t>Marsin v. Udall</w:t>
      </w:r>
      <w:r>
        <w:t>, 78 Ariz. 309, 312 (1955).</w:t>
      </w:r>
    </w:p>
  </w:footnote>
  <w:footnote w:id="11">
    <w:p w14:paraId="4E948B9C" w14:textId="77777777" w:rsidR="00095E60" w:rsidRDefault="00095E60">
      <w:pPr>
        <w:pStyle w:val="FootnoteText"/>
      </w:pPr>
      <w:r>
        <w:rPr>
          <w:rStyle w:val="FootnoteReference"/>
        </w:rPr>
        <w:footnoteRef/>
      </w:r>
      <w:r>
        <w:t xml:space="preserve"> Pet., at 11.</w:t>
      </w:r>
    </w:p>
  </w:footnote>
  <w:footnote w:id="12">
    <w:p w14:paraId="33BCB385" w14:textId="77777777" w:rsidR="009A1798" w:rsidRDefault="009A1798">
      <w:pPr>
        <w:pStyle w:val="FootnoteText"/>
      </w:pPr>
      <w:r>
        <w:rPr>
          <w:rStyle w:val="FootnoteReference"/>
        </w:rPr>
        <w:footnoteRef/>
      </w:r>
      <w:r>
        <w:t xml:space="preserve"> Pet., at 8–9.</w:t>
      </w:r>
    </w:p>
  </w:footnote>
  <w:footnote w:id="13">
    <w:p w14:paraId="693FB29B" w14:textId="77777777" w:rsidR="000F4CD0" w:rsidRDefault="000F4CD0">
      <w:pPr>
        <w:pStyle w:val="FootnoteText"/>
      </w:pPr>
      <w:r>
        <w:rPr>
          <w:rStyle w:val="FootnoteReference"/>
        </w:rPr>
        <w:footnoteRef/>
      </w:r>
      <w:r>
        <w:t xml:space="preserve"> Pet., at 5–6.</w:t>
      </w:r>
    </w:p>
  </w:footnote>
  <w:footnote w:id="14">
    <w:p w14:paraId="4BB3D47A" w14:textId="77777777" w:rsidR="00D17DF7" w:rsidRDefault="00D17DF7">
      <w:pPr>
        <w:pStyle w:val="FootnoteText"/>
      </w:pPr>
      <w:r>
        <w:rPr>
          <w:rStyle w:val="FootnoteReference"/>
        </w:rPr>
        <w:footnoteRef/>
      </w:r>
      <w:r>
        <w:t xml:space="preserve"> </w:t>
      </w:r>
      <w:r w:rsidRPr="00D17DF7">
        <w:rPr>
          <w:i/>
          <w:iCs/>
        </w:rPr>
        <w:t>See</w:t>
      </w:r>
      <w:r>
        <w:t xml:space="preserve"> Admin. Order 2022-14. </w:t>
      </w:r>
    </w:p>
  </w:footnote>
  <w:footnote w:id="15">
    <w:p w14:paraId="4CEB22F0" w14:textId="77777777" w:rsidR="00EC680E" w:rsidRDefault="00EC680E">
      <w:pPr>
        <w:pStyle w:val="FootnoteText"/>
      </w:pPr>
      <w:r>
        <w:rPr>
          <w:rStyle w:val="FootnoteReference"/>
        </w:rPr>
        <w:footnoteRef/>
      </w:r>
      <w:r>
        <w:t xml:space="preserve"> 28 U.S.C.A. § 331 (2008). </w:t>
      </w:r>
    </w:p>
  </w:footnote>
  <w:footnote w:id="16">
    <w:p w14:paraId="73A82A20" w14:textId="77777777" w:rsidR="00E526F9" w:rsidRDefault="00E526F9">
      <w:pPr>
        <w:pStyle w:val="FootnoteText"/>
      </w:pPr>
      <w:r>
        <w:rPr>
          <w:rStyle w:val="FootnoteReference"/>
        </w:rPr>
        <w:footnoteRef/>
      </w:r>
      <w:r>
        <w:t xml:space="preserve"> </w:t>
      </w:r>
      <w:r w:rsidRPr="00E526F9">
        <w:rPr>
          <w:i/>
          <w:iCs/>
        </w:rPr>
        <w:t>Com</w:t>
      </w:r>
      <w:r>
        <w:rPr>
          <w:i/>
          <w:iCs/>
        </w:rPr>
        <w:t>.</w:t>
      </w:r>
      <w:r w:rsidRPr="00E526F9">
        <w:rPr>
          <w:i/>
          <w:iCs/>
        </w:rPr>
        <w:t xml:space="preserve"> Standards Ins. Co. v. Cleveland</w:t>
      </w:r>
      <w:r>
        <w:t xml:space="preserve">, 86 Ariz. 288, 293 (1959).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BC1AB" w14:textId="77777777" w:rsidR="003E6279" w:rsidRDefault="003E62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96" w:type="dxa"/>
      <w:tblInd w:w="-1440" w:type="dxa"/>
      <w:tblLayout w:type="fixed"/>
      <w:tblCellMar>
        <w:left w:w="0" w:type="dxa"/>
        <w:right w:w="0" w:type="dxa"/>
      </w:tblCellMar>
      <w:tblLook w:val="0000" w:firstRow="0" w:lastRow="0" w:firstColumn="0" w:lastColumn="0" w:noHBand="0" w:noVBand="0"/>
    </w:tblPr>
    <w:tblGrid>
      <w:gridCol w:w="900"/>
      <w:gridCol w:w="472"/>
      <w:gridCol w:w="9824"/>
    </w:tblGrid>
    <w:tr w:rsidR="0015284F" w14:paraId="787EAF5D" w14:textId="77777777">
      <w:tblPrEx>
        <w:tblCellMar>
          <w:top w:w="0" w:type="dxa"/>
          <w:left w:w="0" w:type="dxa"/>
          <w:bottom w:w="0" w:type="dxa"/>
          <w:right w:w="0" w:type="dxa"/>
        </w:tblCellMar>
      </w:tblPrEx>
      <w:trPr>
        <w:cantSplit/>
        <w:trHeight w:val="4960"/>
      </w:trPr>
      <w:tc>
        <w:tcPr>
          <w:tcW w:w="900" w:type="dxa"/>
          <w:textDirection w:val="btLr"/>
        </w:tcPr>
        <w:p w14:paraId="230822D1" w14:textId="77777777" w:rsidR="0015284F" w:rsidRDefault="0015284F">
          <w:pPr>
            <w:spacing w:line="120" w:lineRule="exact"/>
            <w:jc w:val="center"/>
          </w:pPr>
          <w:r>
            <w:t xml:space="preserve"> </w:t>
          </w:r>
        </w:p>
      </w:tc>
      <w:tc>
        <w:tcPr>
          <w:tcW w:w="472" w:type="dxa"/>
          <w:vMerge w:val="restart"/>
          <w:tcBorders>
            <w:left w:val="nil"/>
            <w:right w:val="double" w:sz="6" w:space="0" w:color="auto"/>
          </w:tcBorders>
        </w:tcPr>
        <w:p w14:paraId="0A2C79B4" w14:textId="77777777" w:rsidR="0015284F" w:rsidRDefault="0015284F" w:rsidP="004649D6">
          <w:pPr>
            <w:pStyle w:val="HeaderNumbers"/>
            <w:tabs>
              <w:tab w:val="left" w:pos="0"/>
            </w:tabs>
            <w:spacing w:before="700"/>
            <w:jc w:val="center"/>
          </w:pPr>
          <w: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t>23</w:t>
          </w:r>
          <w:r>
            <w:br/>
            <w:t>24</w:t>
          </w:r>
          <w:r>
            <w:br/>
            <w:t>25</w:t>
          </w:r>
          <w:r>
            <w:br/>
            <w:t>26</w:t>
          </w:r>
          <w:r>
            <w:br/>
            <w:t>27</w:t>
          </w:r>
          <w:r>
            <w:br/>
            <w:t xml:space="preserve">28 </w:t>
          </w:r>
        </w:p>
      </w:tc>
      <w:tc>
        <w:tcPr>
          <w:tcW w:w="9824" w:type="dxa"/>
          <w:vMerge w:val="restart"/>
          <w:tcBorders>
            <w:right w:val="single" w:sz="6" w:space="0" w:color="auto"/>
          </w:tcBorders>
        </w:tcPr>
        <w:p w14:paraId="6745B6B2" w14:textId="77777777" w:rsidR="0015284F" w:rsidRDefault="0015284F">
          <w:pPr>
            <w:tabs>
              <w:tab w:val="center" w:pos="4853"/>
              <w:tab w:val="right" w:pos="9547"/>
            </w:tabs>
            <w:ind w:left="115" w:right="115"/>
          </w:pPr>
        </w:p>
      </w:tc>
    </w:tr>
    <w:tr w:rsidR="0015284F" w14:paraId="280905DC" w14:textId="77777777">
      <w:tblPrEx>
        <w:tblCellMar>
          <w:top w:w="0" w:type="dxa"/>
          <w:left w:w="0" w:type="dxa"/>
          <w:bottom w:w="0" w:type="dxa"/>
          <w:right w:w="0" w:type="dxa"/>
        </w:tblCellMar>
      </w:tblPrEx>
      <w:trPr>
        <w:cantSplit/>
        <w:trHeight w:hRule="exact" w:val="4960"/>
      </w:trPr>
      <w:tc>
        <w:tcPr>
          <w:tcW w:w="900" w:type="dxa"/>
          <w:textDirection w:val="btLr"/>
        </w:tcPr>
        <w:p w14:paraId="2F1A87C9" w14:textId="77777777" w:rsidR="0015284F" w:rsidRPr="00F67DB1" w:rsidRDefault="00CA6ABE" w:rsidP="004649D6">
          <w:pPr>
            <w:ind w:left="115" w:right="115"/>
            <w:jc w:val="center"/>
            <w:rPr>
              <w:rFonts w:ascii="GoudyOlSt BT" w:hAnsi="GoudyOlSt BT"/>
              <w:caps/>
              <w:outline/>
              <w:position w:val="6"/>
              <w:sz w:val="28"/>
              <w14:textOutline w14:w="9525" w14:cap="flat" w14:cmpd="sng" w14:algn="ctr">
                <w14:solidFill>
                  <w14:srgbClr w14:val="000000"/>
                </w14:solidFill>
                <w14:prstDash w14:val="solid"/>
                <w14:round/>
              </w14:textOutline>
              <w14:textFill>
                <w14:noFill/>
              </w14:textFill>
            </w:rPr>
          </w:pPr>
          <w:r>
            <w:rPr>
              <w:rFonts w:ascii="GoudyOlSt BT" w:hAnsi="GoudyOlSt BT"/>
              <w:sz w:val="28"/>
            </w:rPr>
            <w:t>ZONA LAW GROUP</w:t>
          </w:r>
          <w:r w:rsidR="0015284F" w:rsidRPr="0044165A">
            <w:rPr>
              <w:rFonts w:ascii="GoudyOlSt BT" w:hAnsi="GoudyOlSt BT"/>
              <w:sz w:val="28"/>
            </w:rPr>
            <w:t xml:space="preserve"> P.C.</w:t>
          </w:r>
        </w:p>
        <w:p w14:paraId="27D7ED62" w14:textId="77777777" w:rsidR="0015284F" w:rsidRDefault="0015284F" w:rsidP="004649D6">
          <w:pPr>
            <w:spacing w:line="140" w:lineRule="exact"/>
            <w:ind w:left="115" w:right="115"/>
            <w:jc w:val="center"/>
            <w:rPr>
              <w:rFonts w:ascii="Goudy Old Style" w:hAnsi="Goudy Old Style"/>
              <w:sz w:val="12"/>
            </w:rPr>
          </w:pPr>
          <w:r w:rsidRPr="00F67DB1">
            <w:rPr>
              <w:rFonts w:ascii="Goudy Old Style" w:hAnsi="Goudy Old Style"/>
              <w:caps/>
              <w:outline/>
              <w:position w:val="8"/>
              <w:sz w:val="12"/>
              <w14:textOutline w14:w="9525" w14:cap="flat" w14:cmpd="sng" w14:algn="ctr">
                <w14:solidFill>
                  <w14:srgbClr w14:val="000000"/>
                </w14:solidFill>
                <w14:prstDash w14:val="solid"/>
                <w14:round/>
              </w14:textOutline>
              <w14:textFill>
                <w14:noFill/>
              </w14:textFill>
            </w:rPr>
            <w:t>______________________</w:t>
          </w:r>
        </w:p>
        <w:p w14:paraId="21BA8765" w14:textId="77777777" w:rsidR="0015284F" w:rsidRDefault="0015284F" w:rsidP="004649D6">
          <w:pPr>
            <w:spacing w:line="120" w:lineRule="exact"/>
            <w:jc w:val="center"/>
            <w:rPr>
              <w:rFonts w:ascii="Goudy Old Style" w:hAnsi="Goudy Old Style"/>
              <w:spacing w:val="10"/>
              <w:sz w:val="12"/>
            </w:rPr>
          </w:pPr>
          <w:r>
            <w:rPr>
              <w:rFonts w:ascii="Goudy Old Style" w:hAnsi="Goudy Old Style"/>
              <w:spacing w:val="10"/>
              <w:sz w:val="12"/>
            </w:rPr>
            <w:t>7701 E. Indian School Road, Suite J</w:t>
          </w:r>
        </w:p>
        <w:p w14:paraId="0BE8E96A" w14:textId="77777777" w:rsidR="0015284F" w:rsidRDefault="0015284F" w:rsidP="004649D6">
          <w:pPr>
            <w:spacing w:line="120" w:lineRule="exact"/>
            <w:jc w:val="center"/>
            <w:rPr>
              <w:rFonts w:ascii="Goudy Old Style" w:hAnsi="Goudy Old Style"/>
              <w:spacing w:val="10"/>
              <w:sz w:val="12"/>
            </w:rPr>
          </w:pPr>
          <w:r>
            <w:rPr>
              <w:rFonts w:ascii="Goudy Old Style" w:hAnsi="Goudy Old Style"/>
              <w:spacing w:val="10"/>
              <w:sz w:val="12"/>
            </w:rPr>
            <w:t>Scottsdale, AZ 85251</w:t>
          </w:r>
        </w:p>
        <w:p w14:paraId="014F3212" w14:textId="77777777" w:rsidR="0015284F" w:rsidRDefault="0015284F" w:rsidP="004649D6">
          <w:pPr>
            <w:ind w:left="115" w:right="115"/>
            <w:jc w:val="center"/>
            <w:rPr>
              <w:rFonts w:ascii="GoudyOlSt BT" w:hAnsi="GoudyOlSt BT"/>
              <w:sz w:val="28"/>
            </w:rPr>
          </w:pPr>
          <w:r>
            <w:rPr>
              <w:rFonts w:ascii="Goudy Old Style" w:hAnsi="Goudy Old Style"/>
              <w:spacing w:val="10"/>
              <w:sz w:val="12"/>
            </w:rPr>
            <w:t>(48</w:t>
          </w:r>
          <w:r w:rsidR="00CA6ABE">
            <w:rPr>
              <w:rFonts w:ascii="Goudy Old Style" w:hAnsi="Goudy Old Style"/>
              <w:spacing w:val="10"/>
              <w:sz w:val="12"/>
            </w:rPr>
            <w:t>0) 949-1400</w:t>
          </w:r>
        </w:p>
      </w:tc>
      <w:tc>
        <w:tcPr>
          <w:tcW w:w="472" w:type="dxa"/>
          <w:vMerge/>
          <w:tcBorders>
            <w:left w:val="nil"/>
            <w:right w:val="double" w:sz="6" w:space="0" w:color="auto"/>
          </w:tcBorders>
        </w:tcPr>
        <w:p w14:paraId="5640969C" w14:textId="77777777" w:rsidR="0015284F" w:rsidRDefault="0015284F">
          <w:pPr>
            <w:pStyle w:val="HeaderNumbers"/>
            <w:spacing w:before="700"/>
            <w:ind w:left="113"/>
          </w:pPr>
        </w:p>
      </w:tc>
      <w:tc>
        <w:tcPr>
          <w:tcW w:w="9824" w:type="dxa"/>
          <w:vMerge/>
          <w:tcBorders>
            <w:right w:val="single" w:sz="6" w:space="0" w:color="auto"/>
          </w:tcBorders>
        </w:tcPr>
        <w:p w14:paraId="06DEAFC0" w14:textId="77777777" w:rsidR="0015284F" w:rsidRDefault="0015284F">
          <w:pPr>
            <w:tabs>
              <w:tab w:val="center" w:pos="4853"/>
              <w:tab w:val="right" w:pos="9547"/>
            </w:tabs>
            <w:ind w:left="115" w:right="115"/>
          </w:pPr>
        </w:p>
      </w:tc>
    </w:tr>
    <w:tr w:rsidR="0015284F" w14:paraId="547B1DAF" w14:textId="77777777">
      <w:tblPrEx>
        <w:tblCellMar>
          <w:top w:w="0" w:type="dxa"/>
          <w:left w:w="0" w:type="dxa"/>
          <w:bottom w:w="0" w:type="dxa"/>
          <w:right w:w="0" w:type="dxa"/>
        </w:tblCellMar>
      </w:tblPrEx>
      <w:trPr>
        <w:cantSplit/>
        <w:trHeight w:hRule="exact" w:val="4960"/>
      </w:trPr>
      <w:tc>
        <w:tcPr>
          <w:tcW w:w="900" w:type="dxa"/>
          <w:textDirection w:val="btLr"/>
        </w:tcPr>
        <w:p w14:paraId="7D3289BB" w14:textId="77777777" w:rsidR="0015284F" w:rsidRDefault="0015284F">
          <w:pPr>
            <w:ind w:left="115" w:right="115"/>
            <w:jc w:val="center"/>
            <w:rPr>
              <w:rFonts w:ascii="GoudyOlSt BT" w:hAnsi="GoudyOlSt BT"/>
              <w:sz w:val="28"/>
            </w:rPr>
          </w:pPr>
        </w:p>
      </w:tc>
      <w:tc>
        <w:tcPr>
          <w:tcW w:w="472" w:type="dxa"/>
          <w:vMerge/>
          <w:tcBorders>
            <w:left w:val="nil"/>
            <w:right w:val="double" w:sz="6" w:space="0" w:color="auto"/>
          </w:tcBorders>
        </w:tcPr>
        <w:p w14:paraId="16DACFB6" w14:textId="77777777" w:rsidR="0015284F" w:rsidRDefault="0015284F">
          <w:pPr>
            <w:pStyle w:val="HeaderNumbers"/>
            <w:spacing w:before="700"/>
            <w:ind w:left="113"/>
          </w:pPr>
        </w:p>
      </w:tc>
      <w:tc>
        <w:tcPr>
          <w:tcW w:w="9824" w:type="dxa"/>
          <w:vMerge/>
          <w:tcBorders>
            <w:right w:val="single" w:sz="6" w:space="0" w:color="auto"/>
          </w:tcBorders>
        </w:tcPr>
        <w:p w14:paraId="635F277F" w14:textId="77777777" w:rsidR="0015284F" w:rsidRDefault="0015284F">
          <w:pPr>
            <w:tabs>
              <w:tab w:val="center" w:pos="4853"/>
              <w:tab w:val="right" w:pos="9547"/>
            </w:tabs>
            <w:ind w:left="115" w:right="115"/>
          </w:pPr>
        </w:p>
      </w:tc>
    </w:tr>
  </w:tbl>
  <w:p w14:paraId="122EA7A8" w14:textId="77777777" w:rsidR="0015284F" w:rsidRDefault="001528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74" w:type="dxa"/>
      <w:tblInd w:w="-1432" w:type="dxa"/>
      <w:tblLayout w:type="fixed"/>
      <w:tblCellMar>
        <w:left w:w="0" w:type="dxa"/>
        <w:right w:w="0" w:type="dxa"/>
      </w:tblCellMar>
      <w:tblLook w:val="0000" w:firstRow="0" w:lastRow="0" w:firstColumn="0" w:lastColumn="0" w:noHBand="0" w:noVBand="0"/>
    </w:tblPr>
    <w:tblGrid>
      <w:gridCol w:w="741"/>
      <w:gridCol w:w="607"/>
      <w:gridCol w:w="9826"/>
    </w:tblGrid>
    <w:tr w:rsidR="0015284F" w14:paraId="3E63192F" w14:textId="77777777" w:rsidTr="004A2B6C">
      <w:tblPrEx>
        <w:tblCellMar>
          <w:top w:w="0" w:type="dxa"/>
          <w:left w:w="0" w:type="dxa"/>
          <w:bottom w:w="0" w:type="dxa"/>
          <w:right w:w="0" w:type="dxa"/>
        </w:tblCellMar>
      </w:tblPrEx>
      <w:trPr>
        <w:cantSplit/>
        <w:trHeight w:val="4976"/>
      </w:trPr>
      <w:tc>
        <w:tcPr>
          <w:tcW w:w="741" w:type="dxa"/>
          <w:textDirection w:val="btLr"/>
        </w:tcPr>
        <w:p w14:paraId="0EA8926B" w14:textId="77777777" w:rsidR="0015284F" w:rsidRDefault="0015284F">
          <w:pPr>
            <w:spacing w:line="120" w:lineRule="exact"/>
            <w:jc w:val="center"/>
          </w:pPr>
        </w:p>
      </w:tc>
      <w:tc>
        <w:tcPr>
          <w:tcW w:w="607" w:type="dxa"/>
          <w:vMerge w:val="restart"/>
          <w:tcBorders>
            <w:left w:val="nil"/>
            <w:right w:val="double" w:sz="6" w:space="0" w:color="auto"/>
          </w:tcBorders>
        </w:tcPr>
        <w:p w14:paraId="7405D687" w14:textId="77777777" w:rsidR="0015284F" w:rsidRDefault="0015284F">
          <w:pPr>
            <w:pStyle w:val="HeaderNumbers"/>
            <w:spacing w:before="700"/>
            <w:ind w:left="113"/>
            <w:jc w:val="center"/>
          </w:pPr>
          <w:r>
            <w:br/>
          </w:r>
          <w:r>
            <w:b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t>23</w:t>
          </w:r>
          <w:r>
            <w:br/>
            <w:t>24</w:t>
          </w:r>
          <w:r>
            <w:br/>
            <w:t>25   26</w:t>
          </w:r>
        </w:p>
        <w:p w14:paraId="1F03FA12" w14:textId="77777777" w:rsidR="0015284F" w:rsidRDefault="0015284F">
          <w:pPr>
            <w:pStyle w:val="HeaderNumbers"/>
            <w:spacing w:before="700"/>
            <w:jc w:val="left"/>
          </w:pPr>
        </w:p>
        <w:p w14:paraId="769D5648" w14:textId="77777777" w:rsidR="0015284F" w:rsidRDefault="0015284F">
          <w:pPr>
            <w:pStyle w:val="HeaderNumbers"/>
            <w:spacing w:before="700"/>
            <w:ind w:left="113"/>
            <w:jc w:val="left"/>
          </w:pPr>
        </w:p>
        <w:p w14:paraId="0D040EE1" w14:textId="77777777" w:rsidR="0015284F" w:rsidRDefault="0015284F">
          <w:pPr>
            <w:pStyle w:val="HeaderNumbers"/>
            <w:spacing w:before="700"/>
            <w:ind w:left="113"/>
            <w:jc w:val="center"/>
          </w:pPr>
        </w:p>
      </w:tc>
      <w:tc>
        <w:tcPr>
          <w:tcW w:w="9826" w:type="dxa"/>
          <w:vMerge w:val="restart"/>
          <w:tcBorders>
            <w:right w:val="single" w:sz="6" w:space="0" w:color="auto"/>
          </w:tcBorders>
        </w:tcPr>
        <w:p w14:paraId="6FBB97FD" w14:textId="77777777" w:rsidR="0015284F" w:rsidRDefault="0015284F">
          <w:pPr>
            <w:tabs>
              <w:tab w:val="center" w:pos="4853"/>
              <w:tab w:val="right" w:pos="9547"/>
            </w:tabs>
            <w:ind w:left="115" w:right="115"/>
          </w:pPr>
        </w:p>
        <w:p w14:paraId="0AC2C557" w14:textId="77777777" w:rsidR="0015284F" w:rsidRDefault="0015284F">
          <w:pPr>
            <w:tabs>
              <w:tab w:val="center" w:pos="4853"/>
              <w:tab w:val="right" w:pos="9547"/>
            </w:tabs>
            <w:ind w:left="115" w:right="115"/>
          </w:pPr>
        </w:p>
        <w:p w14:paraId="6D195AF7" w14:textId="77777777" w:rsidR="0015284F" w:rsidRDefault="0015284F">
          <w:pPr>
            <w:tabs>
              <w:tab w:val="center" w:pos="4853"/>
              <w:tab w:val="right" w:pos="9547"/>
            </w:tabs>
            <w:ind w:left="115" w:right="115"/>
          </w:pPr>
        </w:p>
        <w:p w14:paraId="00C3B710" w14:textId="77777777" w:rsidR="0015284F" w:rsidRDefault="0015284F">
          <w:pPr>
            <w:tabs>
              <w:tab w:val="center" w:pos="4853"/>
              <w:tab w:val="right" w:pos="9547"/>
            </w:tabs>
            <w:ind w:left="115" w:right="115"/>
          </w:pPr>
        </w:p>
        <w:p w14:paraId="6F5281B4" w14:textId="77777777" w:rsidR="0015284F" w:rsidRDefault="0015284F">
          <w:pPr>
            <w:tabs>
              <w:tab w:val="center" w:pos="4853"/>
              <w:tab w:val="right" w:pos="9547"/>
            </w:tabs>
            <w:ind w:left="115" w:right="115"/>
          </w:pPr>
        </w:p>
        <w:p w14:paraId="4B46CCA1" w14:textId="77777777" w:rsidR="0015284F" w:rsidRDefault="0015284F">
          <w:pPr>
            <w:tabs>
              <w:tab w:val="center" w:pos="4853"/>
              <w:tab w:val="right" w:pos="9547"/>
            </w:tabs>
            <w:ind w:left="115" w:right="115"/>
          </w:pPr>
        </w:p>
        <w:p w14:paraId="762513A0" w14:textId="77777777" w:rsidR="0015284F" w:rsidRDefault="0015284F">
          <w:pPr>
            <w:tabs>
              <w:tab w:val="center" w:pos="4853"/>
              <w:tab w:val="right" w:pos="9547"/>
            </w:tabs>
            <w:ind w:left="115" w:right="115"/>
          </w:pPr>
        </w:p>
        <w:p w14:paraId="076EEAD9" w14:textId="77777777" w:rsidR="0015284F" w:rsidRDefault="0015284F" w:rsidP="004649D6">
          <w:pPr>
            <w:tabs>
              <w:tab w:val="left" w:pos="4093"/>
            </w:tabs>
            <w:rPr>
              <w:sz w:val="28"/>
              <w:szCs w:val="28"/>
            </w:rPr>
          </w:pPr>
        </w:p>
        <w:p w14:paraId="453434EA" w14:textId="77777777" w:rsidR="00CA6ABE" w:rsidRPr="0044165A" w:rsidRDefault="00CA6ABE" w:rsidP="00CA6ABE">
          <w:pPr>
            <w:tabs>
              <w:tab w:val="center" w:pos="4853"/>
              <w:tab w:val="right" w:pos="9547"/>
            </w:tabs>
            <w:ind w:right="115"/>
            <w:rPr>
              <w:rFonts w:ascii="Goudy Old Style" w:hAnsi="Goudy Old Style"/>
              <w:b/>
              <w:sz w:val="32"/>
              <w:szCs w:val="32"/>
            </w:rPr>
          </w:pPr>
          <w:r>
            <w:rPr>
              <w:rFonts w:ascii="Goudy Old Style" w:hAnsi="Goudy Old Style"/>
              <w:b/>
              <w:sz w:val="32"/>
              <w:szCs w:val="32"/>
            </w:rPr>
            <w:t xml:space="preserve"> ZONA LAW GROUP</w:t>
          </w:r>
          <w:r w:rsidRPr="0044165A">
            <w:rPr>
              <w:rFonts w:ascii="Goudy Old Style" w:hAnsi="Goudy Old Style"/>
              <w:b/>
              <w:sz w:val="32"/>
              <w:szCs w:val="32"/>
            </w:rPr>
            <w:t xml:space="preserve"> P.C.</w:t>
          </w:r>
        </w:p>
        <w:p w14:paraId="7EDEC3AE" w14:textId="77777777" w:rsidR="00CA6ABE" w:rsidRPr="0044165A" w:rsidRDefault="00CA6ABE" w:rsidP="00CA6ABE">
          <w:pPr>
            <w:tabs>
              <w:tab w:val="center" w:pos="4853"/>
              <w:tab w:val="right" w:pos="9547"/>
            </w:tabs>
            <w:ind w:left="115" w:right="115"/>
            <w:rPr>
              <w:rFonts w:ascii="Goudy Old Style" w:hAnsi="Goudy Old Style"/>
              <w:b/>
              <w:sz w:val="24"/>
              <w:szCs w:val="24"/>
            </w:rPr>
          </w:pPr>
          <w:r w:rsidRPr="0044165A">
            <w:rPr>
              <w:rFonts w:ascii="Goudy Old Style" w:hAnsi="Goudy Old Style"/>
              <w:b/>
              <w:sz w:val="24"/>
              <w:szCs w:val="24"/>
            </w:rPr>
            <w:t>Attorneys at Law</w:t>
          </w:r>
        </w:p>
        <w:p w14:paraId="4305DFC6" w14:textId="77777777" w:rsidR="00CA6ABE" w:rsidRPr="0044165A" w:rsidRDefault="00CA6ABE" w:rsidP="00CA6ABE">
          <w:pPr>
            <w:tabs>
              <w:tab w:val="center" w:pos="4853"/>
              <w:tab w:val="right" w:pos="9547"/>
            </w:tabs>
            <w:ind w:left="115" w:right="115"/>
            <w:rPr>
              <w:rFonts w:ascii="Goudy Old Style" w:hAnsi="Goudy Old Style"/>
              <w:b/>
              <w:sz w:val="24"/>
              <w:szCs w:val="24"/>
            </w:rPr>
          </w:pPr>
          <w:r w:rsidRPr="0044165A">
            <w:rPr>
              <w:rFonts w:ascii="Goudy Old Style" w:hAnsi="Goudy Old Style"/>
              <w:b/>
              <w:sz w:val="24"/>
              <w:szCs w:val="24"/>
            </w:rPr>
            <w:t>7701 East Indian School Road</w:t>
          </w:r>
        </w:p>
        <w:p w14:paraId="5366889E" w14:textId="77777777" w:rsidR="00CA6ABE" w:rsidRPr="0044165A" w:rsidRDefault="00CA6ABE" w:rsidP="00CA6ABE">
          <w:pPr>
            <w:tabs>
              <w:tab w:val="center" w:pos="4853"/>
              <w:tab w:val="right" w:pos="9547"/>
            </w:tabs>
            <w:ind w:left="115" w:right="115"/>
            <w:rPr>
              <w:rFonts w:ascii="Goudy Old Style" w:hAnsi="Goudy Old Style"/>
              <w:b/>
              <w:sz w:val="24"/>
              <w:szCs w:val="24"/>
            </w:rPr>
          </w:pPr>
          <w:r w:rsidRPr="0044165A">
            <w:rPr>
              <w:rFonts w:ascii="Goudy Old Style" w:hAnsi="Goudy Old Style"/>
              <w:b/>
              <w:sz w:val="24"/>
              <w:szCs w:val="24"/>
            </w:rPr>
            <w:t xml:space="preserve">Suite J </w:t>
          </w:r>
        </w:p>
        <w:p w14:paraId="1F93FF80" w14:textId="77777777" w:rsidR="00CA6ABE" w:rsidRPr="0044165A" w:rsidRDefault="00CA6ABE" w:rsidP="00CA6ABE">
          <w:pPr>
            <w:tabs>
              <w:tab w:val="center" w:pos="4853"/>
              <w:tab w:val="right" w:pos="9547"/>
            </w:tabs>
            <w:ind w:left="115" w:right="115"/>
            <w:rPr>
              <w:rFonts w:ascii="Goudy Old Style" w:hAnsi="Goudy Old Style"/>
              <w:b/>
              <w:sz w:val="24"/>
              <w:szCs w:val="24"/>
            </w:rPr>
          </w:pPr>
          <w:r w:rsidRPr="0044165A">
            <w:rPr>
              <w:rFonts w:ascii="Goudy Old Style" w:hAnsi="Goudy Old Style"/>
              <w:b/>
              <w:sz w:val="24"/>
              <w:szCs w:val="24"/>
            </w:rPr>
            <w:t>Scottsdale, Arizona 85251</w:t>
          </w:r>
        </w:p>
        <w:p w14:paraId="0BBD8CC6" w14:textId="77777777" w:rsidR="00CA6ABE" w:rsidRDefault="00CA6ABE" w:rsidP="00CA6ABE">
          <w:pPr>
            <w:tabs>
              <w:tab w:val="center" w:pos="4853"/>
              <w:tab w:val="right" w:pos="9547"/>
            </w:tabs>
            <w:ind w:left="115" w:right="115"/>
            <w:rPr>
              <w:rFonts w:ascii="Goudy Old Style" w:hAnsi="Goudy Old Style"/>
              <w:b/>
              <w:sz w:val="24"/>
              <w:szCs w:val="24"/>
            </w:rPr>
          </w:pPr>
          <w:r>
            <w:rPr>
              <w:rFonts w:ascii="Goudy Old Style" w:hAnsi="Goudy Old Style"/>
              <w:b/>
              <w:sz w:val="24"/>
              <w:szCs w:val="24"/>
            </w:rPr>
            <w:t>(480) 949-1400</w:t>
          </w:r>
        </w:p>
        <w:p w14:paraId="01CE2F0C" w14:textId="77777777" w:rsidR="00BD5662" w:rsidRDefault="00BD5662" w:rsidP="00CA6ABE">
          <w:pPr>
            <w:tabs>
              <w:tab w:val="center" w:pos="4853"/>
              <w:tab w:val="right" w:pos="9547"/>
            </w:tabs>
            <w:ind w:left="115" w:right="115"/>
            <w:rPr>
              <w:rFonts w:ascii="Goudy Old Style" w:hAnsi="Goudy Old Style"/>
              <w:b/>
              <w:sz w:val="24"/>
              <w:szCs w:val="24"/>
            </w:rPr>
          </w:pPr>
          <w:r>
            <w:rPr>
              <w:rFonts w:ascii="Goudy Old Style" w:hAnsi="Goudy Old Style"/>
              <w:b/>
              <w:sz w:val="24"/>
              <w:szCs w:val="24"/>
            </w:rPr>
            <w:t>Scott A. Baluha, #029957</w:t>
          </w:r>
        </w:p>
        <w:p w14:paraId="5DEF8BCA" w14:textId="77777777" w:rsidR="00D902AC" w:rsidRDefault="00D902AC" w:rsidP="00CA6ABE">
          <w:pPr>
            <w:tabs>
              <w:tab w:val="center" w:pos="4853"/>
              <w:tab w:val="right" w:pos="9547"/>
            </w:tabs>
            <w:ind w:left="115" w:right="115"/>
            <w:rPr>
              <w:rFonts w:ascii="Goudy Old Style" w:hAnsi="Goudy Old Style"/>
              <w:b/>
              <w:sz w:val="24"/>
              <w:szCs w:val="24"/>
            </w:rPr>
          </w:pPr>
          <w:r>
            <w:rPr>
              <w:rFonts w:ascii="Goudy Old Style" w:hAnsi="Goudy Old Style"/>
              <w:b/>
              <w:sz w:val="24"/>
              <w:szCs w:val="24"/>
            </w:rPr>
            <w:t>Tatianna Dunne</w:t>
          </w:r>
          <w:r w:rsidR="006B102A">
            <w:rPr>
              <w:rFonts w:ascii="Goudy Old Style" w:hAnsi="Goudy Old Style"/>
              <w:b/>
              <w:sz w:val="24"/>
              <w:szCs w:val="24"/>
            </w:rPr>
            <w:t>,</w:t>
          </w:r>
          <w:r w:rsidR="00B10222">
            <w:rPr>
              <w:rFonts w:ascii="Goudy Old Style" w:hAnsi="Goudy Old Style"/>
              <w:b/>
              <w:sz w:val="24"/>
              <w:szCs w:val="24"/>
            </w:rPr>
            <w:t xml:space="preserve"> </w:t>
          </w:r>
          <w:r>
            <w:rPr>
              <w:rFonts w:ascii="Goudy Old Style" w:hAnsi="Goudy Old Style"/>
              <w:b/>
              <w:sz w:val="24"/>
              <w:szCs w:val="24"/>
            </w:rPr>
            <w:t>#</w:t>
          </w:r>
          <w:r w:rsidR="006B102A" w:rsidRPr="006B102A">
            <w:rPr>
              <w:rFonts w:ascii="Goudy Old Style" w:hAnsi="Goudy Old Style"/>
              <w:b/>
              <w:sz w:val="24"/>
              <w:szCs w:val="24"/>
            </w:rPr>
            <w:t>036776</w:t>
          </w:r>
        </w:p>
        <w:p w14:paraId="49D2B993" w14:textId="77777777" w:rsidR="00CA6ABE" w:rsidRDefault="00CB209E" w:rsidP="00CB209E">
          <w:pPr>
            <w:tabs>
              <w:tab w:val="center" w:pos="4853"/>
              <w:tab w:val="right" w:pos="9547"/>
            </w:tabs>
            <w:ind w:right="115"/>
            <w:rPr>
              <w:rFonts w:ascii="Goudy Old Style" w:hAnsi="Goudy Old Style"/>
              <w:b/>
              <w:sz w:val="24"/>
              <w:szCs w:val="24"/>
            </w:rPr>
          </w:pPr>
          <w:r>
            <w:rPr>
              <w:rFonts w:ascii="Goudy Old Style" w:hAnsi="Goudy Old Style"/>
              <w:b/>
              <w:sz w:val="24"/>
              <w:szCs w:val="24"/>
            </w:rPr>
            <w:t xml:space="preserve">  </w:t>
          </w:r>
          <w:hyperlink r:id="rId1" w:history="1">
            <w:r w:rsidR="00CA6ABE">
              <w:rPr>
                <w:rStyle w:val="Hyperlink"/>
                <w:rFonts w:ascii="Goudy Old Style" w:hAnsi="Goudy Old Style"/>
                <w:b/>
                <w:sz w:val="24"/>
                <w:szCs w:val="24"/>
              </w:rPr>
              <w:t>attorneys@zona.law</w:t>
            </w:r>
          </w:hyperlink>
        </w:p>
        <w:p w14:paraId="34260A2E" w14:textId="77777777" w:rsidR="00CA6ABE" w:rsidRDefault="00CA6ABE" w:rsidP="00CA6ABE">
          <w:pPr>
            <w:tabs>
              <w:tab w:val="center" w:pos="4853"/>
              <w:tab w:val="right" w:pos="9547"/>
            </w:tabs>
            <w:ind w:left="115" w:right="115"/>
            <w:rPr>
              <w:rFonts w:ascii="Goudy Old Style" w:hAnsi="Goudy Old Style"/>
              <w:b/>
              <w:sz w:val="24"/>
              <w:szCs w:val="24"/>
            </w:rPr>
          </w:pPr>
          <w:r>
            <w:rPr>
              <w:rFonts w:ascii="Goudy Old Style" w:hAnsi="Goudy Old Style"/>
              <w:b/>
              <w:sz w:val="24"/>
              <w:szCs w:val="24"/>
            </w:rPr>
            <w:t xml:space="preserve">Attorneys for </w:t>
          </w:r>
          <w:r w:rsidR="007149CC">
            <w:rPr>
              <w:rFonts w:ascii="Goudy Old Style" w:hAnsi="Goudy Old Style"/>
              <w:b/>
              <w:sz w:val="24"/>
              <w:szCs w:val="24"/>
            </w:rPr>
            <w:t>Commenting Party Manufactured Housing Communities of Arizona</w:t>
          </w:r>
        </w:p>
        <w:p w14:paraId="32614F05" w14:textId="77777777" w:rsidR="003F6D06" w:rsidRDefault="003F6D06" w:rsidP="004649D6">
          <w:pPr>
            <w:tabs>
              <w:tab w:val="left" w:pos="4093"/>
            </w:tabs>
            <w:rPr>
              <w:sz w:val="28"/>
              <w:szCs w:val="28"/>
            </w:rPr>
          </w:pPr>
        </w:p>
        <w:p w14:paraId="5A213128" w14:textId="77777777" w:rsidR="003F6D06" w:rsidRDefault="003F6D06" w:rsidP="004649D6">
          <w:pPr>
            <w:tabs>
              <w:tab w:val="left" w:pos="4093"/>
            </w:tabs>
            <w:rPr>
              <w:sz w:val="28"/>
              <w:szCs w:val="28"/>
            </w:rPr>
          </w:pPr>
        </w:p>
        <w:p w14:paraId="4667AA2A" w14:textId="77777777" w:rsidR="003F6D06" w:rsidRDefault="003F6D06" w:rsidP="004649D6">
          <w:pPr>
            <w:tabs>
              <w:tab w:val="left" w:pos="4093"/>
            </w:tabs>
            <w:rPr>
              <w:sz w:val="28"/>
              <w:szCs w:val="28"/>
            </w:rPr>
          </w:pPr>
        </w:p>
        <w:p w14:paraId="11F7F6E9" w14:textId="77777777" w:rsidR="003F6D06" w:rsidRDefault="003F6D06" w:rsidP="004649D6">
          <w:pPr>
            <w:tabs>
              <w:tab w:val="left" w:pos="4093"/>
            </w:tabs>
            <w:rPr>
              <w:sz w:val="28"/>
              <w:szCs w:val="28"/>
            </w:rPr>
          </w:pPr>
        </w:p>
        <w:p w14:paraId="70C80077" w14:textId="77777777" w:rsidR="003F6D06" w:rsidRDefault="003F6D06" w:rsidP="004649D6">
          <w:pPr>
            <w:tabs>
              <w:tab w:val="left" w:pos="4093"/>
            </w:tabs>
            <w:rPr>
              <w:sz w:val="28"/>
              <w:szCs w:val="28"/>
            </w:rPr>
          </w:pPr>
        </w:p>
        <w:p w14:paraId="43C6BB6F" w14:textId="77777777" w:rsidR="003F6D06" w:rsidRDefault="003F6D06" w:rsidP="004649D6">
          <w:pPr>
            <w:tabs>
              <w:tab w:val="left" w:pos="4093"/>
            </w:tabs>
            <w:rPr>
              <w:sz w:val="28"/>
              <w:szCs w:val="28"/>
            </w:rPr>
          </w:pPr>
        </w:p>
        <w:p w14:paraId="3A1161DF" w14:textId="77777777" w:rsidR="003F6D06" w:rsidRDefault="003F6D06" w:rsidP="004649D6">
          <w:pPr>
            <w:tabs>
              <w:tab w:val="left" w:pos="4093"/>
            </w:tabs>
            <w:rPr>
              <w:sz w:val="28"/>
              <w:szCs w:val="28"/>
            </w:rPr>
          </w:pPr>
        </w:p>
        <w:p w14:paraId="47E48BF7" w14:textId="77777777" w:rsidR="003F6D06" w:rsidRDefault="003F6D06" w:rsidP="004649D6">
          <w:pPr>
            <w:tabs>
              <w:tab w:val="left" w:pos="4093"/>
            </w:tabs>
            <w:rPr>
              <w:sz w:val="28"/>
              <w:szCs w:val="28"/>
            </w:rPr>
          </w:pPr>
        </w:p>
        <w:p w14:paraId="25DA6869" w14:textId="77777777" w:rsidR="00CA6ABE" w:rsidRPr="00CA6ABE" w:rsidRDefault="00CA6ABE" w:rsidP="00CA6ABE">
          <w:pPr>
            <w:rPr>
              <w:sz w:val="28"/>
              <w:szCs w:val="28"/>
            </w:rPr>
          </w:pPr>
        </w:p>
        <w:p w14:paraId="46E44A47" w14:textId="77777777" w:rsidR="00CA6ABE" w:rsidRPr="00CA6ABE" w:rsidRDefault="00CA6ABE" w:rsidP="00CA6ABE">
          <w:pPr>
            <w:rPr>
              <w:sz w:val="28"/>
              <w:szCs w:val="28"/>
            </w:rPr>
          </w:pPr>
        </w:p>
        <w:p w14:paraId="3F02603B" w14:textId="77777777" w:rsidR="00CA6ABE" w:rsidRPr="00CA6ABE" w:rsidRDefault="00CA6ABE" w:rsidP="00CA6ABE">
          <w:pPr>
            <w:rPr>
              <w:sz w:val="28"/>
              <w:szCs w:val="28"/>
            </w:rPr>
          </w:pPr>
        </w:p>
        <w:p w14:paraId="59329A7D" w14:textId="77777777" w:rsidR="00CA6ABE" w:rsidRPr="00CA6ABE" w:rsidRDefault="00CA6ABE" w:rsidP="00CA6ABE">
          <w:pPr>
            <w:rPr>
              <w:sz w:val="28"/>
              <w:szCs w:val="28"/>
            </w:rPr>
          </w:pPr>
        </w:p>
        <w:p w14:paraId="055D8C33" w14:textId="77777777" w:rsidR="00CA6ABE" w:rsidRPr="00CA6ABE" w:rsidRDefault="00CA6ABE" w:rsidP="00CA6ABE">
          <w:pPr>
            <w:rPr>
              <w:sz w:val="28"/>
              <w:szCs w:val="28"/>
            </w:rPr>
          </w:pPr>
        </w:p>
        <w:p w14:paraId="70D82B62" w14:textId="77777777" w:rsidR="00CA6ABE" w:rsidRPr="00CA6ABE" w:rsidRDefault="00CA6ABE" w:rsidP="00CA6ABE">
          <w:pPr>
            <w:rPr>
              <w:sz w:val="28"/>
              <w:szCs w:val="28"/>
            </w:rPr>
          </w:pPr>
        </w:p>
        <w:p w14:paraId="30054AE9" w14:textId="77777777" w:rsidR="00CA6ABE" w:rsidRPr="00CA6ABE" w:rsidRDefault="00CA6ABE" w:rsidP="00CA6ABE">
          <w:pPr>
            <w:rPr>
              <w:sz w:val="28"/>
              <w:szCs w:val="28"/>
            </w:rPr>
          </w:pPr>
        </w:p>
        <w:p w14:paraId="56178D4E" w14:textId="77777777" w:rsidR="00CA6ABE" w:rsidRPr="00CA6ABE" w:rsidRDefault="00CA6ABE" w:rsidP="00CA6ABE">
          <w:pPr>
            <w:rPr>
              <w:sz w:val="28"/>
              <w:szCs w:val="28"/>
            </w:rPr>
          </w:pPr>
        </w:p>
        <w:p w14:paraId="6094E02C" w14:textId="77777777" w:rsidR="00CA6ABE" w:rsidRPr="00CA6ABE" w:rsidRDefault="00CA6ABE" w:rsidP="00CA6ABE">
          <w:pPr>
            <w:rPr>
              <w:sz w:val="28"/>
              <w:szCs w:val="28"/>
            </w:rPr>
          </w:pPr>
        </w:p>
        <w:p w14:paraId="4A68D4F8" w14:textId="77777777" w:rsidR="00CA6ABE" w:rsidRPr="00CA6ABE" w:rsidRDefault="00CA6ABE" w:rsidP="00CA6ABE">
          <w:pPr>
            <w:rPr>
              <w:sz w:val="28"/>
              <w:szCs w:val="28"/>
            </w:rPr>
          </w:pPr>
        </w:p>
        <w:p w14:paraId="32BF17E5" w14:textId="77777777" w:rsidR="00CA6ABE" w:rsidRPr="00CA6ABE" w:rsidRDefault="00CA6ABE" w:rsidP="00CA6ABE">
          <w:pPr>
            <w:rPr>
              <w:sz w:val="28"/>
              <w:szCs w:val="28"/>
            </w:rPr>
          </w:pPr>
        </w:p>
        <w:p w14:paraId="680471F3" w14:textId="77777777" w:rsidR="00CA6ABE" w:rsidRPr="00CA6ABE" w:rsidRDefault="00CA6ABE" w:rsidP="00CA6ABE">
          <w:pPr>
            <w:rPr>
              <w:sz w:val="28"/>
              <w:szCs w:val="28"/>
            </w:rPr>
          </w:pPr>
        </w:p>
        <w:p w14:paraId="0D94553E" w14:textId="77777777" w:rsidR="00CA6ABE" w:rsidRPr="00CA6ABE" w:rsidRDefault="00CA6ABE" w:rsidP="00CA6ABE">
          <w:pPr>
            <w:rPr>
              <w:sz w:val="28"/>
              <w:szCs w:val="28"/>
            </w:rPr>
          </w:pPr>
        </w:p>
        <w:p w14:paraId="0E96D676" w14:textId="77777777" w:rsidR="00CA6ABE" w:rsidRPr="00CA6ABE" w:rsidRDefault="00CA6ABE" w:rsidP="00CA6ABE">
          <w:pPr>
            <w:rPr>
              <w:sz w:val="28"/>
              <w:szCs w:val="28"/>
            </w:rPr>
          </w:pPr>
        </w:p>
        <w:p w14:paraId="4BAE236A" w14:textId="77777777" w:rsidR="00CA6ABE" w:rsidRPr="00CA6ABE" w:rsidRDefault="00CA6ABE" w:rsidP="00CA6ABE">
          <w:pPr>
            <w:rPr>
              <w:sz w:val="28"/>
              <w:szCs w:val="28"/>
            </w:rPr>
          </w:pPr>
        </w:p>
        <w:p w14:paraId="72917C56" w14:textId="77777777" w:rsidR="00CA6ABE" w:rsidRPr="00CA6ABE" w:rsidRDefault="00CA6ABE" w:rsidP="00CA6ABE">
          <w:pPr>
            <w:rPr>
              <w:sz w:val="28"/>
              <w:szCs w:val="28"/>
            </w:rPr>
          </w:pPr>
        </w:p>
        <w:p w14:paraId="525BDF7C" w14:textId="77777777" w:rsidR="00CA6ABE" w:rsidRPr="00CA6ABE" w:rsidRDefault="00CA6ABE" w:rsidP="00CA6ABE">
          <w:pPr>
            <w:rPr>
              <w:sz w:val="28"/>
              <w:szCs w:val="28"/>
            </w:rPr>
          </w:pPr>
        </w:p>
        <w:p w14:paraId="299975C9" w14:textId="77777777" w:rsidR="00CA6ABE" w:rsidRPr="00CA6ABE" w:rsidRDefault="00CA6ABE" w:rsidP="00CA6ABE">
          <w:pPr>
            <w:rPr>
              <w:sz w:val="28"/>
              <w:szCs w:val="28"/>
            </w:rPr>
          </w:pPr>
        </w:p>
        <w:p w14:paraId="7F485C68" w14:textId="77777777" w:rsidR="00CA6ABE" w:rsidRPr="00CA6ABE" w:rsidRDefault="00CA6ABE" w:rsidP="00CA6ABE">
          <w:pPr>
            <w:rPr>
              <w:sz w:val="28"/>
              <w:szCs w:val="28"/>
            </w:rPr>
          </w:pPr>
        </w:p>
        <w:p w14:paraId="160E116C" w14:textId="77777777" w:rsidR="00CA6ABE" w:rsidRDefault="00CA6ABE" w:rsidP="00CA6ABE">
          <w:pPr>
            <w:rPr>
              <w:sz w:val="28"/>
              <w:szCs w:val="28"/>
            </w:rPr>
          </w:pPr>
        </w:p>
        <w:p w14:paraId="34BF17A7" w14:textId="77777777" w:rsidR="00CA6ABE" w:rsidRDefault="00CA6ABE" w:rsidP="00CA6ABE">
          <w:pPr>
            <w:rPr>
              <w:sz w:val="28"/>
              <w:szCs w:val="28"/>
            </w:rPr>
          </w:pPr>
        </w:p>
        <w:p w14:paraId="21FB3D15" w14:textId="77777777" w:rsidR="00CA6ABE" w:rsidRPr="00CA6ABE" w:rsidRDefault="00CA6ABE" w:rsidP="00CA6ABE">
          <w:pPr>
            <w:jc w:val="center"/>
            <w:rPr>
              <w:sz w:val="28"/>
              <w:szCs w:val="28"/>
            </w:rPr>
          </w:pPr>
        </w:p>
      </w:tc>
    </w:tr>
    <w:tr w:rsidR="0015284F" w14:paraId="3767E143" w14:textId="77777777" w:rsidTr="004A2B6C">
      <w:tblPrEx>
        <w:tblCellMar>
          <w:top w:w="0" w:type="dxa"/>
          <w:left w:w="0" w:type="dxa"/>
          <w:bottom w:w="0" w:type="dxa"/>
          <w:right w:w="0" w:type="dxa"/>
        </w:tblCellMar>
      </w:tblPrEx>
      <w:trPr>
        <w:cantSplit/>
        <w:trHeight w:hRule="exact" w:val="4976"/>
      </w:trPr>
      <w:tc>
        <w:tcPr>
          <w:tcW w:w="741" w:type="dxa"/>
          <w:textDirection w:val="btLr"/>
        </w:tcPr>
        <w:p w14:paraId="7AC9EFA5" w14:textId="6259F50A" w:rsidR="0015284F" w:rsidRDefault="00F67DB1">
          <w:pPr>
            <w:spacing w:line="120" w:lineRule="exact"/>
            <w:jc w:val="center"/>
            <w:rPr>
              <w:rFonts w:ascii="GoudyOlSt BT" w:hAnsi="GoudyOlSt BT"/>
              <w:sz w:val="28"/>
            </w:rPr>
          </w:pPr>
          <w:r>
            <w:rPr>
              <w:noProof/>
              <w:sz w:val="28"/>
              <w:szCs w:val="28"/>
            </w:rPr>
            <w:drawing>
              <wp:inline distT="0" distB="0" distL="0" distR="0" wp14:anchorId="364F753A" wp14:editId="0B05389F">
                <wp:extent cx="454025" cy="84518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4025" cy="845185"/>
                        </a:xfrm>
                        <a:prstGeom prst="rect">
                          <a:avLst/>
                        </a:prstGeom>
                        <a:noFill/>
                      </pic:spPr>
                    </pic:pic>
                  </a:graphicData>
                </a:graphic>
              </wp:inline>
            </w:drawing>
          </w:r>
        </w:p>
      </w:tc>
      <w:tc>
        <w:tcPr>
          <w:tcW w:w="607" w:type="dxa"/>
          <w:vMerge/>
          <w:tcBorders>
            <w:left w:val="nil"/>
            <w:right w:val="double" w:sz="6" w:space="0" w:color="auto"/>
          </w:tcBorders>
        </w:tcPr>
        <w:p w14:paraId="2FFB8966" w14:textId="77777777" w:rsidR="0015284F" w:rsidRDefault="0015284F">
          <w:pPr>
            <w:pStyle w:val="HeaderNumbers"/>
            <w:spacing w:before="700"/>
            <w:ind w:left="113"/>
          </w:pPr>
        </w:p>
      </w:tc>
      <w:tc>
        <w:tcPr>
          <w:tcW w:w="9826" w:type="dxa"/>
          <w:vMerge/>
          <w:tcBorders>
            <w:right w:val="single" w:sz="6" w:space="0" w:color="auto"/>
          </w:tcBorders>
        </w:tcPr>
        <w:p w14:paraId="5FD2DCA7" w14:textId="77777777" w:rsidR="0015284F" w:rsidRDefault="0015284F">
          <w:pPr>
            <w:tabs>
              <w:tab w:val="center" w:pos="4853"/>
              <w:tab w:val="right" w:pos="9547"/>
            </w:tabs>
            <w:ind w:left="115" w:right="115"/>
          </w:pPr>
        </w:p>
      </w:tc>
    </w:tr>
    <w:tr w:rsidR="0015284F" w14:paraId="4CA39C0B" w14:textId="77777777" w:rsidTr="004A2B6C">
      <w:tblPrEx>
        <w:tblCellMar>
          <w:top w:w="0" w:type="dxa"/>
          <w:left w:w="0" w:type="dxa"/>
          <w:bottom w:w="0" w:type="dxa"/>
          <w:right w:w="0" w:type="dxa"/>
        </w:tblCellMar>
      </w:tblPrEx>
      <w:trPr>
        <w:cantSplit/>
        <w:trHeight w:hRule="exact" w:val="4502"/>
      </w:trPr>
      <w:tc>
        <w:tcPr>
          <w:tcW w:w="741" w:type="dxa"/>
          <w:textDirection w:val="btLr"/>
        </w:tcPr>
        <w:p w14:paraId="2739A514" w14:textId="77777777" w:rsidR="0015284F" w:rsidRDefault="0015284F">
          <w:pPr>
            <w:ind w:left="115" w:right="115"/>
            <w:jc w:val="center"/>
            <w:rPr>
              <w:rFonts w:ascii="GoudyOlSt BT" w:hAnsi="GoudyOlSt BT"/>
              <w:sz w:val="28"/>
            </w:rPr>
          </w:pPr>
        </w:p>
      </w:tc>
      <w:tc>
        <w:tcPr>
          <w:tcW w:w="607" w:type="dxa"/>
          <w:vMerge/>
          <w:tcBorders>
            <w:left w:val="nil"/>
            <w:right w:val="double" w:sz="6" w:space="0" w:color="auto"/>
          </w:tcBorders>
        </w:tcPr>
        <w:p w14:paraId="697EACA8" w14:textId="77777777" w:rsidR="0015284F" w:rsidRDefault="0015284F">
          <w:pPr>
            <w:pStyle w:val="HeaderNumbers"/>
            <w:spacing w:before="700"/>
            <w:ind w:left="113"/>
          </w:pPr>
        </w:p>
      </w:tc>
      <w:tc>
        <w:tcPr>
          <w:tcW w:w="9826" w:type="dxa"/>
          <w:vMerge/>
          <w:tcBorders>
            <w:right w:val="single" w:sz="6" w:space="0" w:color="auto"/>
          </w:tcBorders>
        </w:tcPr>
        <w:p w14:paraId="3BB2924E" w14:textId="77777777" w:rsidR="0015284F" w:rsidRDefault="0015284F">
          <w:pPr>
            <w:tabs>
              <w:tab w:val="center" w:pos="4853"/>
              <w:tab w:val="right" w:pos="9547"/>
            </w:tabs>
            <w:ind w:left="115" w:right="115"/>
          </w:pPr>
        </w:p>
      </w:tc>
    </w:tr>
  </w:tbl>
  <w:p w14:paraId="3BA62671" w14:textId="77777777" w:rsidR="0015284F" w:rsidRDefault="00152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C7F5C"/>
    <w:multiLevelType w:val="hybridMultilevel"/>
    <w:tmpl w:val="F2262D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21C653C"/>
    <w:multiLevelType w:val="hybridMultilevel"/>
    <w:tmpl w:val="559A8758"/>
    <w:lvl w:ilvl="0" w:tplc="825680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974A37"/>
    <w:multiLevelType w:val="hybridMultilevel"/>
    <w:tmpl w:val="4228836C"/>
    <w:lvl w:ilvl="0" w:tplc="5EC414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3B4B90"/>
    <w:multiLevelType w:val="multilevel"/>
    <w:tmpl w:val="7F963FB8"/>
    <w:name w:val="zzmpTabbed||Tabbed|2|4|1|1|4|9||1|4|1||1|4|1||1|4|1||1|4|0||1|4|0||1|4|0||1|4|0||1|4|0||"/>
    <w:lvl w:ilvl="0">
      <w:start w:val="1"/>
      <w:numFmt w:val="decimal"/>
      <w:pStyle w:val="TabbedL1"/>
      <w:lvlText w:val="%1."/>
      <w:lvlJc w:val="left"/>
      <w:pPr>
        <w:tabs>
          <w:tab w:val="num" w:pos="1440"/>
        </w:tabs>
        <w:ind w:left="0" w:firstLine="720"/>
      </w:pPr>
      <w:rPr>
        <w:b w:val="0"/>
        <w:i w:val="0"/>
        <w:caps w:val="0"/>
        <w:u w:val="none"/>
      </w:rPr>
    </w:lvl>
    <w:lvl w:ilvl="1">
      <w:start w:val="1"/>
      <w:numFmt w:val="lowerLetter"/>
      <w:pStyle w:val="TabbedL2"/>
      <w:lvlText w:val="(%2)"/>
      <w:lvlJc w:val="left"/>
      <w:pPr>
        <w:tabs>
          <w:tab w:val="num" w:pos="2160"/>
        </w:tabs>
        <w:ind w:left="0" w:firstLine="1440"/>
      </w:pPr>
      <w:rPr>
        <w:b w:val="0"/>
        <w:i w:val="0"/>
        <w:caps w:val="0"/>
        <w:u w:val="none"/>
      </w:rPr>
    </w:lvl>
    <w:lvl w:ilvl="2">
      <w:start w:val="1"/>
      <w:numFmt w:val="lowerRoman"/>
      <w:pStyle w:val="TabbedL3"/>
      <w:lvlText w:val="(%3)"/>
      <w:lvlJc w:val="left"/>
      <w:pPr>
        <w:tabs>
          <w:tab w:val="num" w:pos="2880"/>
        </w:tabs>
        <w:ind w:left="0" w:firstLine="2160"/>
      </w:pPr>
      <w:rPr>
        <w:b w:val="0"/>
        <w:i w:val="0"/>
        <w:caps w:val="0"/>
        <w:u w:val="none"/>
      </w:rPr>
    </w:lvl>
    <w:lvl w:ilvl="3">
      <w:start w:val="1"/>
      <w:numFmt w:val="decimal"/>
      <w:pStyle w:val="TabbedL4"/>
      <w:lvlText w:val="(%4)"/>
      <w:lvlJc w:val="left"/>
      <w:pPr>
        <w:tabs>
          <w:tab w:val="num" w:pos="3600"/>
        </w:tabs>
        <w:ind w:left="0" w:firstLine="2880"/>
      </w:pPr>
      <w:rPr>
        <w:b w:val="0"/>
        <w:i w:val="0"/>
        <w:caps w:val="0"/>
        <w:u w:val="none"/>
      </w:rPr>
    </w:lvl>
    <w:lvl w:ilvl="4">
      <w:start w:val="1"/>
      <w:numFmt w:val="lowerLetter"/>
      <w:pStyle w:val="TabbedL5"/>
      <w:lvlText w:val="%5."/>
      <w:lvlJc w:val="left"/>
      <w:pPr>
        <w:tabs>
          <w:tab w:val="num" w:pos="4320"/>
        </w:tabs>
        <w:ind w:left="0" w:firstLine="3600"/>
      </w:pPr>
      <w:rPr>
        <w:b w:val="0"/>
        <w:i w:val="0"/>
        <w:caps w:val="0"/>
        <w:u w:val="none"/>
      </w:rPr>
    </w:lvl>
    <w:lvl w:ilvl="5">
      <w:start w:val="1"/>
      <w:numFmt w:val="lowerRoman"/>
      <w:pStyle w:val="TabbedL6"/>
      <w:lvlText w:val="%6."/>
      <w:lvlJc w:val="left"/>
      <w:pPr>
        <w:tabs>
          <w:tab w:val="num" w:pos="5040"/>
        </w:tabs>
        <w:ind w:left="0" w:firstLine="4320"/>
      </w:pPr>
      <w:rPr>
        <w:b w:val="0"/>
        <w:i w:val="0"/>
        <w:caps w:val="0"/>
        <w:u w:val="none"/>
      </w:rPr>
    </w:lvl>
    <w:lvl w:ilvl="6">
      <w:start w:val="1"/>
      <w:numFmt w:val="decimal"/>
      <w:pStyle w:val="TabbedL7"/>
      <w:lvlText w:val="%7)"/>
      <w:lvlJc w:val="left"/>
      <w:pPr>
        <w:tabs>
          <w:tab w:val="num" w:pos="5760"/>
        </w:tabs>
        <w:ind w:left="0" w:firstLine="5040"/>
      </w:pPr>
      <w:rPr>
        <w:b w:val="0"/>
        <w:i w:val="0"/>
        <w:caps w:val="0"/>
        <w:u w:val="none"/>
      </w:rPr>
    </w:lvl>
    <w:lvl w:ilvl="7">
      <w:start w:val="1"/>
      <w:numFmt w:val="lowerLetter"/>
      <w:pStyle w:val="TabbedL8"/>
      <w:lvlText w:val="%8)"/>
      <w:lvlJc w:val="left"/>
      <w:pPr>
        <w:tabs>
          <w:tab w:val="num" w:pos="6480"/>
        </w:tabs>
        <w:ind w:left="0" w:firstLine="5760"/>
      </w:pPr>
      <w:rPr>
        <w:b w:val="0"/>
        <w:i w:val="0"/>
        <w:caps w:val="0"/>
        <w:u w:val="none"/>
      </w:rPr>
    </w:lvl>
    <w:lvl w:ilvl="8">
      <w:start w:val="1"/>
      <w:numFmt w:val="lowerRoman"/>
      <w:pStyle w:val="TabbedL9"/>
      <w:lvlText w:val="%9)"/>
      <w:lvlJc w:val="left"/>
      <w:pPr>
        <w:tabs>
          <w:tab w:val="num" w:pos="7200"/>
        </w:tabs>
        <w:ind w:left="0" w:firstLine="6480"/>
      </w:pPr>
      <w:rPr>
        <w:b w:val="0"/>
        <w:i w:val="0"/>
        <w:caps w:val="0"/>
        <w:u w:val="none"/>
      </w:rPr>
    </w:lvl>
  </w:abstractNum>
  <w:abstractNum w:abstractNumId="4" w15:restartNumberingAfterBreak="0">
    <w:nsid w:val="1BD275BA"/>
    <w:multiLevelType w:val="hybridMultilevel"/>
    <w:tmpl w:val="611A917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BC97370"/>
    <w:multiLevelType w:val="hybridMultilevel"/>
    <w:tmpl w:val="E94A3DF4"/>
    <w:lvl w:ilvl="0" w:tplc="35B27EC6">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01E1DF9"/>
    <w:multiLevelType w:val="multilevel"/>
    <w:tmpl w:val="223CE3FA"/>
    <w:name w:val="zzmpPleading1||Pleading1|2|4|1|1|4|45||1|4|37||1|4|32||1|4|32||1|4|32||1|4|32||1|4|32||1|4|32||1|4|32||"/>
    <w:lvl w:ilvl="0">
      <w:start w:val="1"/>
      <w:numFmt w:val="upperRoman"/>
      <w:pStyle w:val="Pleading1L1"/>
      <w:lvlText w:val="%1."/>
      <w:lvlJc w:val="left"/>
      <w:pPr>
        <w:tabs>
          <w:tab w:val="num" w:pos="720"/>
        </w:tabs>
        <w:ind w:left="720" w:hanging="720"/>
      </w:pPr>
      <w:rPr>
        <w:b/>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upperLetter"/>
      <w:pStyle w:val="Pleading1L2"/>
      <w:lvlText w:val="%2."/>
      <w:lvlJc w:val="left"/>
      <w:pPr>
        <w:tabs>
          <w:tab w:val="num" w:pos="1440"/>
        </w:tabs>
        <w:ind w:left="1440" w:hanging="720"/>
      </w:pPr>
      <w:rPr>
        <w:b/>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Pleading1L3"/>
      <w:lvlText w:val="%3."/>
      <w:lvlJc w:val="left"/>
      <w:pPr>
        <w:tabs>
          <w:tab w:val="num" w:pos="2160"/>
        </w:tabs>
        <w:ind w:left="2160" w:hanging="72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Letter"/>
      <w:pStyle w:val="Pleading1L4"/>
      <w:lvlText w:val="%4."/>
      <w:lvlJc w:val="left"/>
      <w:pPr>
        <w:tabs>
          <w:tab w:val="num" w:pos="2880"/>
        </w:tabs>
        <w:ind w:left="2880" w:hanging="72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pStyle w:val="Pleading1L5"/>
      <w:lvlText w:val="(%5)"/>
      <w:lvlJc w:val="left"/>
      <w:pPr>
        <w:tabs>
          <w:tab w:val="num" w:pos="3600"/>
        </w:tabs>
        <w:ind w:left="3600" w:hanging="72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Letter"/>
      <w:pStyle w:val="Pleading1L6"/>
      <w:lvlText w:val="(%6)"/>
      <w:lvlJc w:val="left"/>
      <w:pPr>
        <w:tabs>
          <w:tab w:val="num" w:pos="4320"/>
        </w:tabs>
        <w:ind w:left="4320" w:hanging="72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lowerRoman"/>
      <w:pStyle w:val="Pleading1L7"/>
      <w:lvlText w:val="(%7)"/>
      <w:lvlJc w:val="left"/>
      <w:pPr>
        <w:tabs>
          <w:tab w:val="num" w:pos="5040"/>
        </w:tabs>
        <w:ind w:left="5040" w:hanging="72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pStyle w:val="Pleading1L8"/>
      <w:lvlText w:val="%8)"/>
      <w:lvlJc w:val="left"/>
      <w:pPr>
        <w:tabs>
          <w:tab w:val="num" w:pos="5760"/>
        </w:tabs>
        <w:ind w:left="5760" w:hanging="72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pStyle w:val="Pleading1L9"/>
      <w:lvlText w:val="%9)"/>
      <w:lvlJc w:val="left"/>
      <w:pPr>
        <w:tabs>
          <w:tab w:val="num" w:pos="6480"/>
        </w:tabs>
        <w:ind w:left="6480" w:hanging="72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7" w15:restartNumberingAfterBreak="0">
    <w:nsid w:val="5B2A33A9"/>
    <w:multiLevelType w:val="multilevel"/>
    <w:tmpl w:val="BC8E0FD0"/>
    <w:lvl w:ilvl="0">
      <w:start w:val="1"/>
      <w:numFmt w:val="upperRoman"/>
      <w:lvlRestart w:val="0"/>
      <w:pStyle w:val="Style25"/>
      <w:lvlText w:val="%1."/>
      <w:lvlJc w:val="left"/>
      <w:pPr>
        <w:tabs>
          <w:tab w:val="num" w:pos="850"/>
        </w:tabs>
        <w:ind w:left="850" w:hanging="720"/>
      </w:pPr>
      <w:rPr>
        <w:rFonts w:cs="Times New Roman"/>
        <w:i w:val="0"/>
        <w:iCs w:val="0"/>
        <w:caps/>
        <w:smallCaps w:val="0"/>
        <w:u w:val="none"/>
      </w:rPr>
    </w:lvl>
    <w:lvl w:ilvl="1">
      <w:start w:val="1"/>
      <w:numFmt w:val="upperLetter"/>
      <w:pStyle w:val="Style26"/>
      <w:lvlText w:val="%2."/>
      <w:lvlJc w:val="left"/>
      <w:pPr>
        <w:tabs>
          <w:tab w:val="num" w:pos="1440"/>
        </w:tabs>
        <w:ind w:left="1440" w:hanging="720"/>
      </w:pPr>
      <w:rPr>
        <w:rFonts w:cs="Times New Roman"/>
        <w:b/>
        <w:bCs/>
        <w:i w:val="0"/>
        <w:iCs w:val="0"/>
        <w:u w:val="none"/>
      </w:rPr>
    </w:lvl>
    <w:lvl w:ilvl="2">
      <w:start w:val="1"/>
      <w:numFmt w:val="decimal"/>
      <w:pStyle w:val="Style27"/>
      <w:lvlText w:val="%3."/>
      <w:lvlJc w:val="left"/>
      <w:pPr>
        <w:tabs>
          <w:tab w:val="num" w:pos="2160"/>
        </w:tabs>
        <w:ind w:left="2160" w:hanging="720"/>
      </w:pPr>
      <w:rPr>
        <w:rFonts w:cs="Times New Roman"/>
        <w:i w:val="0"/>
        <w:iCs w:val="0"/>
        <w:caps w:val="0"/>
        <w:u w:val="none"/>
      </w:rPr>
    </w:lvl>
    <w:lvl w:ilvl="3">
      <w:start w:val="1"/>
      <w:numFmt w:val="decimal"/>
      <w:pStyle w:val="Style28"/>
      <w:lvlText w:val="%4."/>
      <w:lvlJc w:val="left"/>
      <w:pPr>
        <w:tabs>
          <w:tab w:val="num" w:pos="2160"/>
        </w:tabs>
        <w:ind w:left="1440"/>
      </w:pPr>
      <w:rPr>
        <w:rFonts w:cs="Times New Roman"/>
        <w:b w:val="0"/>
        <w:bCs w:val="0"/>
        <w:i w:val="0"/>
        <w:iCs w:val="0"/>
        <w:caps w:val="0"/>
        <w:u w:val="none"/>
      </w:rPr>
    </w:lvl>
    <w:lvl w:ilvl="4">
      <w:start w:val="1"/>
      <w:numFmt w:val="lowerLetter"/>
      <w:pStyle w:val="Style29"/>
      <w:lvlText w:val="(%5)"/>
      <w:lvlJc w:val="left"/>
      <w:pPr>
        <w:tabs>
          <w:tab w:val="num" w:pos="2160"/>
        </w:tabs>
        <w:ind w:left="2160" w:hanging="720"/>
      </w:pPr>
      <w:rPr>
        <w:rFonts w:cs="Times New Roman"/>
        <w:b w:val="0"/>
        <w:bCs w:val="0"/>
        <w:i w:val="0"/>
        <w:iCs w:val="0"/>
        <w:caps w:val="0"/>
        <w:u w:val="none"/>
      </w:rPr>
    </w:lvl>
    <w:lvl w:ilvl="5">
      <w:start w:val="1"/>
      <w:numFmt w:val="lowerLetter"/>
      <w:pStyle w:val="Style30"/>
      <w:lvlText w:val="(%6)"/>
      <w:lvlJc w:val="left"/>
      <w:pPr>
        <w:tabs>
          <w:tab w:val="num" w:pos="3960"/>
        </w:tabs>
        <w:ind w:left="3600"/>
      </w:pPr>
      <w:rPr>
        <w:rFonts w:cs="Times New Roman"/>
      </w:rPr>
    </w:lvl>
    <w:lvl w:ilvl="6">
      <w:start w:val="1"/>
      <w:numFmt w:val="lowerRoman"/>
      <w:pStyle w:val="Style31"/>
      <w:lvlText w:val="(%7)"/>
      <w:lvlJc w:val="left"/>
      <w:pPr>
        <w:tabs>
          <w:tab w:val="num" w:pos="4680"/>
        </w:tabs>
        <w:ind w:left="4320"/>
      </w:pPr>
      <w:rPr>
        <w:rFonts w:cs="Times New Roman"/>
      </w:rPr>
    </w:lvl>
    <w:lvl w:ilvl="7">
      <w:start w:val="1"/>
      <w:numFmt w:val="lowerLetter"/>
      <w:pStyle w:val="Style32"/>
      <w:lvlText w:val="(%8)"/>
      <w:lvlJc w:val="left"/>
      <w:pPr>
        <w:tabs>
          <w:tab w:val="num" w:pos="5400"/>
        </w:tabs>
        <w:ind w:left="5040"/>
      </w:pPr>
      <w:rPr>
        <w:rFonts w:cs="Times New Roman"/>
      </w:rPr>
    </w:lvl>
    <w:lvl w:ilvl="8">
      <w:start w:val="1"/>
      <w:numFmt w:val="lowerRoman"/>
      <w:pStyle w:val="Style33"/>
      <w:lvlText w:val="(%9)"/>
      <w:lvlJc w:val="left"/>
      <w:pPr>
        <w:tabs>
          <w:tab w:val="num" w:pos="6120"/>
        </w:tabs>
        <w:ind w:left="5760"/>
      </w:pPr>
      <w:rPr>
        <w:rFonts w:cs="Times New Roman"/>
      </w:rPr>
    </w:lvl>
  </w:abstractNum>
  <w:abstractNum w:abstractNumId="8" w15:restartNumberingAfterBreak="0">
    <w:nsid w:val="65A83447"/>
    <w:multiLevelType w:val="hybridMultilevel"/>
    <w:tmpl w:val="D910BC34"/>
    <w:lvl w:ilvl="0" w:tplc="EC5E9586">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63491A"/>
    <w:multiLevelType w:val="hybridMultilevel"/>
    <w:tmpl w:val="D6BC85B2"/>
    <w:lvl w:ilvl="0" w:tplc="50C897B0">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B56FE9"/>
    <w:multiLevelType w:val="multilevel"/>
    <w:tmpl w:val="9044F7F8"/>
    <w:name w:val="zzmpStandard||Standard|2|4|1|1|4|9||1|4|1||1|4|1||1|4|1||1|4|0||1|4|0||1|4|0||1|4|0||1|4|0||"/>
    <w:lvl w:ilvl="0">
      <w:start w:val="1"/>
      <w:numFmt w:val="decimal"/>
      <w:pStyle w:val="StandardL1"/>
      <w:lvlText w:val="%1."/>
      <w:lvlJc w:val="left"/>
      <w:pPr>
        <w:tabs>
          <w:tab w:val="num" w:pos="720"/>
        </w:tabs>
        <w:ind w:left="720" w:hanging="720"/>
      </w:pPr>
      <w:rPr>
        <w:rFonts w:ascii="Times New Roman" w:hAnsi="Times New Roman" w:cs="Times New Roman"/>
        <w:b w:val="0"/>
        <w:i w:val="0"/>
        <w:caps w:val="0"/>
        <w:u w:val="none"/>
      </w:rPr>
    </w:lvl>
    <w:lvl w:ilvl="1">
      <w:start w:val="1"/>
      <w:numFmt w:val="lowerLetter"/>
      <w:pStyle w:val="StandardL2"/>
      <w:lvlText w:val="(%2)"/>
      <w:lvlJc w:val="left"/>
      <w:pPr>
        <w:tabs>
          <w:tab w:val="num" w:pos="1440"/>
        </w:tabs>
        <w:ind w:left="1440" w:hanging="720"/>
      </w:pPr>
      <w:rPr>
        <w:rFonts w:ascii="Times New Roman" w:hAnsi="Times New Roman" w:cs="Times New Roman"/>
        <w:b w:val="0"/>
        <w:i w:val="0"/>
        <w:caps w:val="0"/>
        <w:u w:val="none"/>
      </w:rPr>
    </w:lvl>
    <w:lvl w:ilvl="2">
      <w:start w:val="1"/>
      <w:numFmt w:val="lowerRoman"/>
      <w:pStyle w:val="StandardL3"/>
      <w:lvlText w:val="(%3)"/>
      <w:lvlJc w:val="left"/>
      <w:pPr>
        <w:tabs>
          <w:tab w:val="num" w:pos="2160"/>
        </w:tabs>
        <w:ind w:left="2160" w:hanging="720"/>
      </w:pPr>
      <w:rPr>
        <w:rFonts w:ascii="Times New Roman" w:hAnsi="Times New Roman" w:cs="Times New Roman"/>
        <w:b w:val="0"/>
        <w:i w:val="0"/>
        <w:caps w:val="0"/>
        <w:u w:val="none"/>
      </w:rPr>
    </w:lvl>
    <w:lvl w:ilvl="3">
      <w:start w:val="1"/>
      <w:numFmt w:val="decimal"/>
      <w:pStyle w:val="StandardL4"/>
      <w:lvlText w:val="(%4)"/>
      <w:lvlJc w:val="left"/>
      <w:pPr>
        <w:tabs>
          <w:tab w:val="num" w:pos="2880"/>
        </w:tabs>
        <w:ind w:left="2880" w:hanging="720"/>
      </w:pPr>
      <w:rPr>
        <w:rFonts w:ascii="Times New Roman" w:hAnsi="Times New Roman" w:cs="Times New Roman"/>
        <w:b w:val="0"/>
        <w:i w:val="0"/>
        <w:caps w:val="0"/>
        <w:u w:val="none"/>
      </w:rPr>
    </w:lvl>
    <w:lvl w:ilvl="4">
      <w:start w:val="1"/>
      <w:numFmt w:val="lowerLetter"/>
      <w:pStyle w:val="StandardL5"/>
      <w:lvlText w:val="%5."/>
      <w:lvlJc w:val="left"/>
      <w:pPr>
        <w:tabs>
          <w:tab w:val="num" w:pos="3600"/>
        </w:tabs>
        <w:ind w:left="3600" w:hanging="720"/>
      </w:pPr>
      <w:rPr>
        <w:rFonts w:ascii="Times New Roman" w:hAnsi="Times New Roman" w:cs="Times New Roman"/>
        <w:b w:val="0"/>
        <w:i w:val="0"/>
        <w:caps w:val="0"/>
        <w:u w:val="none"/>
      </w:rPr>
    </w:lvl>
    <w:lvl w:ilvl="5">
      <w:start w:val="1"/>
      <w:numFmt w:val="lowerRoman"/>
      <w:pStyle w:val="StandardL6"/>
      <w:lvlText w:val="%6."/>
      <w:lvlJc w:val="left"/>
      <w:pPr>
        <w:tabs>
          <w:tab w:val="num" w:pos="4320"/>
        </w:tabs>
        <w:ind w:left="4320" w:hanging="720"/>
      </w:pPr>
      <w:rPr>
        <w:rFonts w:ascii="Times New Roman" w:hAnsi="Times New Roman" w:cs="Times New Roman"/>
        <w:b w:val="0"/>
        <w:i w:val="0"/>
        <w:caps w:val="0"/>
        <w:u w:val="none"/>
      </w:rPr>
    </w:lvl>
    <w:lvl w:ilvl="6">
      <w:start w:val="1"/>
      <w:numFmt w:val="decimal"/>
      <w:pStyle w:val="StandardL7"/>
      <w:lvlText w:val="%7)"/>
      <w:lvlJc w:val="left"/>
      <w:pPr>
        <w:tabs>
          <w:tab w:val="num" w:pos="5040"/>
        </w:tabs>
        <w:ind w:left="5040" w:hanging="720"/>
      </w:pPr>
      <w:rPr>
        <w:rFonts w:ascii="Times New Roman" w:hAnsi="Times New Roman" w:cs="Times New Roman"/>
        <w:b w:val="0"/>
        <w:i w:val="0"/>
        <w:caps w:val="0"/>
        <w:u w:val="none"/>
      </w:rPr>
    </w:lvl>
    <w:lvl w:ilvl="7">
      <w:start w:val="1"/>
      <w:numFmt w:val="lowerLetter"/>
      <w:pStyle w:val="StandardL8"/>
      <w:lvlText w:val="%8)"/>
      <w:lvlJc w:val="left"/>
      <w:pPr>
        <w:tabs>
          <w:tab w:val="num" w:pos="5760"/>
        </w:tabs>
        <w:ind w:left="5760" w:hanging="720"/>
      </w:pPr>
      <w:rPr>
        <w:rFonts w:ascii="Times New Roman" w:hAnsi="Times New Roman" w:cs="Times New Roman"/>
        <w:b w:val="0"/>
        <w:i w:val="0"/>
        <w:caps w:val="0"/>
        <w:u w:val="none"/>
      </w:rPr>
    </w:lvl>
    <w:lvl w:ilvl="8">
      <w:start w:val="1"/>
      <w:numFmt w:val="lowerRoman"/>
      <w:pStyle w:val="StandardL9"/>
      <w:lvlText w:val="%9)"/>
      <w:lvlJc w:val="left"/>
      <w:pPr>
        <w:tabs>
          <w:tab w:val="num" w:pos="6480"/>
        </w:tabs>
        <w:ind w:left="6480" w:hanging="720"/>
      </w:pPr>
      <w:rPr>
        <w:rFonts w:ascii="Times New Roman" w:hAnsi="Times New Roman" w:cs="Times New Roman"/>
        <w:b w:val="0"/>
        <w:i w:val="0"/>
        <w:caps w:val="0"/>
        <w:u w:val="none"/>
      </w:rPr>
    </w:lvl>
  </w:abstractNum>
  <w:num w:numId="1" w16cid:durableId="695039603">
    <w:abstractNumId w:val="6"/>
  </w:num>
  <w:num w:numId="2" w16cid:durableId="1747611970">
    <w:abstractNumId w:val="7"/>
  </w:num>
  <w:num w:numId="3" w16cid:durableId="1051611401">
    <w:abstractNumId w:val="3"/>
  </w:num>
  <w:num w:numId="4" w16cid:durableId="265237366">
    <w:abstractNumId w:val="10"/>
  </w:num>
  <w:num w:numId="5" w16cid:durableId="1819807413">
    <w:abstractNumId w:val="9"/>
  </w:num>
  <w:num w:numId="6" w16cid:durableId="1896550785">
    <w:abstractNumId w:val="8"/>
  </w:num>
  <w:num w:numId="7" w16cid:durableId="1089043357">
    <w:abstractNumId w:val="5"/>
  </w:num>
  <w:num w:numId="8" w16cid:durableId="268397265">
    <w:abstractNumId w:val="2"/>
  </w:num>
  <w:num w:numId="9" w16cid:durableId="353531543">
    <w:abstractNumId w:val="1"/>
  </w:num>
  <w:num w:numId="10" w16cid:durableId="1542476605">
    <w:abstractNumId w:val="4"/>
  </w:num>
  <w:num w:numId="11" w16cid:durableId="3807887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762320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Date" w:val="~}£Þl"/>
    <w:docVar w:name="85TrailerDateField" w:val="~}£Þl"/>
    <w:docVar w:name="85TrailerDraft" w:val="~}™Þv"/>
    <w:docVar w:name="85TrailerTime" w:val="~}žÞq"/>
    <w:docVar w:name="85TrailerType" w:val="~}–Þzz|"/>
    <w:docVar w:name="bWasHeadingSet" w:val="False"/>
    <w:docVar w:name="cbxChapter" w:val="7"/>
    <w:docVar w:name="chkBarId" w:val="False"/>
    <w:docVar w:name="chkCopyTitle" w:val="False"/>
    <w:docVar w:name="chkFederal" w:val="False"/>
    <w:docVar w:name="chkFirmFax" w:val="False"/>
    <w:docVar w:name="chkIncludeFirmAddress" w:val="True"/>
    <w:docVar w:name="chkOptFName" w:val="True"/>
    <w:docVar w:name="chkState" w:val="False"/>
    <w:docVar w:name="cmbAttyName" w:val="33776"/>
    <w:docVar w:name="cmbAttysFor" w:val="Plaintiff"/>
    <w:docVar w:name="cmbAuthorLists" w:val="-100"/>
    <w:docVar w:name="cmbCrossActions" w:val="none"/>
    <w:docVar w:name="cmbDated" w:val="2"/>
    <w:docVar w:name="cmbDPartyTitle" w:val="Defendants"/>
    <w:docVar w:name="cmbOptBodyTextAlignment" w:val="0"/>
    <w:docVar w:name="cmbOptDated" w:val="2"/>
    <w:docVar w:name="cmbOptFonts" w:val="Times New Roman"/>
    <w:docVar w:name="cmbOptOffices" w:val="1"/>
    <w:docVar w:name="cmbOptPPaper" w:val="28-line"/>
    <w:docVar w:name="cmbOptSigType" w:val="Standard"/>
    <w:docVar w:name="cmbPPartyTitle" w:val="Plaintiff"/>
    <w:docVar w:name="cmbPrefLists" w:val="-100"/>
    <w:docVar w:name="cmbSetAuthorPref" w:val="33748"/>
    <w:docVar w:name="iTrailerType" w:val="0"/>
    <w:docVar w:name="lstAttyList" w:val="206684"/>
    <w:docVar w:name="lstCourts" w:val="U.S. District"/>
    <w:docVar w:name="lstSigType" w:val="Standard"/>
    <w:docVar w:name="MPDocID" w:val="~}¡Þotruorxwk"/>
    <w:docVar w:name="NewDocStampType" w:val="~}£Þn"/>
    <w:docVar w:name="optDirectLine" w:val="False"/>
    <w:docVar w:name="optFirmPhone" w:val="True"/>
    <w:docVar w:name="OtherCaptionItems" w:val="†"/>
    <w:docVar w:name="packedarray" w:val="Michael K. Dana†241109|Jennifer Nore†206684"/>
    <w:docVar w:name="Restarted" w:val="True"/>
    <w:docVar w:name="tglUseFirmDefaults" w:val="True"/>
    <w:docVar w:name="txtAttyName" w:val="Jennifer P. Nore"/>
    <w:docVar w:name="txtAttysFor" w:val="Plaintiff"/>
    <w:docVar w:name="txtCaseNo" w:val="No. "/>
    <w:docVar w:name="txtCAttyNames" w:val="Adam D. Kamenstein (No. 225921) (pro hac vice application pending)"/>
    <w:docVar w:name="txtCAttysFor" w:val="Plaintiff"/>
    <w:docVar w:name="txtCFax" w:val="310.277.4730"/>
    <w:docVar w:name="txtCFirmAddress" w:val="2049 Century Park East, 34th Floor_x000d__x000a_Los Angeles, CA 90067-3208_x000d__x000a_"/>
    <w:docVar w:name="txtCFirmName" w:val="McDERMOTT WILL &amp; EMERY LLP"/>
    <w:docVar w:name="TxtCTelephone" w:val="310.551.9338"/>
    <w:docVar w:name="txtDPartyNames" w:val="Turbine Alloys,LLC, an Arizona corporation; Robert Jay Medgal, an individual; Steven Lance Quick, an individual; Jerry Williams, an individual; and ABC Metals, Inc., d/b/a A-1 Alloys, a California corporation"/>
    <w:docVar w:name="txtDPartyTitle" w:val="Defendants"/>
    <w:docVar w:name="txtJurisdiction" w:val="Arizona"/>
    <w:docVar w:name="txtOptFirstLine" w:val="0.5"/>
    <w:docVar w:name="txtOptFSize" w:val="12"/>
    <w:docVar w:name="txtOptLeftMargin" w:val="1.45"/>
    <w:docVar w:name="txtOptRightMargin" w:val="0.5"/>
    <w:docVar w:name="txtPPNames" w:val="Heraeus, Inc., a Delaware corporation"/>
    <w:docVar w:name="txtPPTitle" w:val="Plaintiff"/>
    <w:docVar w:name="zzmpFixed_PleadingPaperType" w:val="PP28FNLandscaped"/>
    <w:docVar w:name="zzmpFixedCurScheme" w:val="Standard"/>
    <w:docVar w:name="zzmpFixedCurScheme_9.0" w:val="2zzmpStandard"/>
    <w:docVar w:name="zzmpFixedDOC_ID" w:val="PHX\1986817.1"/>
    <w:docVar w:name="zzmpLastEditMSWordVer" w:val="8"/>
    <w:docVar w:name="zzmpnSession" w:val="8.298892E-02"/>
    <w:docVar w:name="zzmpPleading1" w:val="||Pleading1|2|4|1|1|4|45||1|4|37||1|4|32||1|4|32||1|4|32||1|4|32||1|4|32||1|4|32||1|4|32||"/>
    <w:docVar w:name="zzmpStandard" w:val="||Standard|2|4|1|1|4|9||1|4|1||1|4|1||1|4|1||1|4|0||1|4|0||1|4|0||1|4|0||1|4|0||"/>
    <w:docVar w:name="zzmpTabbed" w:val="||Tabbed|2|4|1|1|4|9||1|4|1||1|4|1||1|4|1||1|4|0||1|4|0||1|4|0||1|4|0||1|4|0||"/>
  </w:docVars>
  <w:rsids>
    <w:rsidRoot w:val="008F73E7"/>
    <w:rsid w:val="00002A19"/>
    <w:rsid w:val="00007EDE"/>
    <w:rsid w:val="000117D7"/>
    <w:rsid w:val="0001595E"/>
    <w:rsid w:val="00020577"/>
    <w:rsid w:val="000266A3"/>
    <w:rsid w:val="0003348C"/>
    <w:rsid w:val="0003731C"/>
    <w:rsid w:val="00037A25"/>
    <w:rsid w:val="00037B12"/>
    <w:rsid w:val="00041419"/>
    <w:rsid w:val="000444F6"/>
    <w:rsid w:val="00050D00"/>
    <w:rsid w:val="00056674"/>
    <w:rsid w:val="00060C87"/>
    <w:rsid w:val="000618A3"/>
    <w:rsid w:val="00062BC5"/>
    <w:rsid w:val="00064A50"/>
    <w:rsid w:val="00064B93"/>
    <w:rsid w:val="000725D0"/>
    <w:rsid w:val="00076D38"/>
    <w:rsid w:val="00083AE1"/>
    <w:rsid w:val="00083E0E"/>
    <w:rsid w:val="000878CC"/>
    <w:rsid w:val="00090CF8"/>
    <w:rsid w:val="00095BDA"/>
    <w:rsid w:val="00095E60"/>
    <w:rsid w:val="00097509"/>
    <w:rsid w:val="000A21F4"/>
    <w:rsid w:val="000A2280"/>
    <w:rsid w:val="000A7FB9"/>
    <w:rsid w:val="000B1CB6"/>
    <w:rsid w:val="000B3172"/>
    <w:rsid w:val="000C2A3B"/>
    <w:rsid w:val="000C470A"/>
    <w:rsid w:val="000C4C76"/>
    <w:rsid w:val="000C558C"/>
    <w:rsid w:val="000C6EE6"/>
    <w:rsid w:val="000C6F05"/>
    <w:rsid w:val="000D0ECD"/>
    <w:rsid w:val="000D5DC3"/>
    <w:rsid w:val="000D7005"/>
    <w:rsid w:val="000E0553"/>
    <w:rsid w:val="000E2FF4"/>
    <w:rsid w:val="000E7B77"/>
    <w:rsid w:val="000F0CA5"/>
    <w:rsid w:val="000F4CD0"/>
    <w:rsid w:val="000F7427"/>
    <w:rsid w:val="000F7736"/>
    <w:rsid w:val="001009F6"/>
    <w:rsid w:val="0010476A"/>
    <w:rsid w:val="00106721"/>
    <w:rsid w:val="0010751C"/>
    <w:rsid w:val="00107EEE"/>
    <w:rsid w:val="00112FBC"/>
    <w:rsid w:val="00113E17"/>
    <w:rsid w:val="0011731E"/>
    <w:rsid w:val="00117B80"/>
    <w:rsid w:val="00121E9A"/>
    <w:rsid w:val="00123789"/>
    <w:rsid w:val="00125925"/>
    <w:rsid w:val="00133354"/>
    <w:rsid w:val="00136494"/>
    <w:rsid w:val="00140E3A"/>
    <w:rsid w:val="00141F78"/>
    <w:rsid w:val="001422F9"/>
    <w:rsid w:val="001466C9"/>
    <w:rsid w:val="00150E01"/>
    <w:rsid w:val="0015284F"/>
    <w:rsid w:val="00153A04"/>
    <w:rsid w:val="001544B1"/>
    <w:rsid w:val="0015487D"/>
    <w:rsid w:val="001619A4"/>
    <w:rsid w:val="00162620"/>
    <w:rsid w:val="00163710"/>
    <w:rsid w:val="00165041"/>
    <w:rsid w:val="00167F37"/>
    <w:rsid w:val="001730CE"/>
    <w:rsid w:val="00173CD3"/>
    <w:rsid w:val="00181A19"/>
    <w:rsid w:val="00182F38"/>
    <w:rsid w:val="00183013"/>
    <w:rsid w:val="00184F5F"/>
    <w:rsid w:val="00191C06"/>
    <w:rsid w:val="001A3116"/>
    <w:rsid w:val="001A4A83"/>
    <w:rsid w:val="001A7019"/>
    <w:rsid w:val="001B61C0"/>
    <w:rsid w:val="001B6A4D"/>
    <w:rsid w:val="001B7C7F"/>
    <w:rsid w:val="001C084F"/>
    <w:rsid w:val="001C20DF"/>
    <w:rsid w:val="001C243C"/>
    <w:rsid w:val="001C25A6"/>
    <w:rsid w:val="001C339B"/>
    <w:rsid w:val="001D1360"/>
    <w:rsid w:val="001D14B3"/>
    <w:rsid w:val="001D2E77"/>
    <w:rsid w:val="001D5569"/>
    <w:rsid w:val="001D55E8"/>
    <w:rsid w:val="001E3392"/>
    <w:rsid w:val="001E4A1B"/>
    <w:rsid w:val="001E51DF"/>
    <w:rsid w:val="001E69DF"/>
    <w:rsid w:val="001E72E1"/>
    <w:rsid w:val="001E7C57"/>
    <w:rsid w:val="001F0617"/>
    <w:rsid w:val="001F2E53"/>
    <w:rsid w:val="001F42FF"/>
    <w:rsid w:val="001F565C"/>
    <w:rsid w:val="001F62ED"/>
    <w:rsid w:val="001F6431"/>
    <w:rsid w:val="001F78A9"/>
    <w:rsid w:val="002032CB"/>
    <w:rsid w:val="0021273B"/>
    <w:rsid w:val="002144F1"/>
    <w:rsid w:val="00215FFC"/>
    <w:rsid w:val="0021766D"/>
    <w:rsid w:val="00221496"/>
    <w:rsid w:val="002266D9"/>
    <w:rsid w:val="00226D9A"/>
    <w:rsid w:val="00233614"/>
    <w:rsid w:val="00234BE7"/>
    <w:rsid w:val="002366F8"/>
    <w:rsid w:val="002375F6"/>
    <w:rsid w:val="002443C2"/>
    <w:rsid w:val="0024511F"/>
    <w:rsid w:val="0025350F"/>
    <w:rsid w:val="00256E76"/>
    <w:rsid w:val="0026205C"/>
    <w:rsid w:val="0026206B"/>
    <w:rsid w:val="002623BA"/>
    <w:rsid w:val="00262B94"/>
    <w:rsid w:val="00270092"/>
    <w:rsid w:val="00271A5D"/>
    <w:rsid w:val="002736DA"/>
    <w:rsid w:val="00273DE4"/>
    <w:rsid w:val="00276D76"/>
    <w:rsid w:val="00277D20"/>
    <w:rsid w:val="00277D26"/>
    <w:rsid w:val="002814D9"/>
    <w:rsid w:val="00283001"/>
    <w:rsid w:val="002831C5"/>
    <w:rsid w:val="00285EF8"/>
    <w:rsid w:val="00287AC1"/>
    <w:rsid w:val="0029433F"/>
    <w:rsid w:val="002963EF"/>
    <w:rsid w:val="002A03FB"/>
    <w:rsid w:val="002A3F04"/>
    <w:rsid w:val="002B0EB8"/>
    <w:rsid w:val="002B17AC"/>
    <w:rsid w:val="002B1D80"/>
    <w:rsid w:val="002B333A"/>
    <w:rsid w:val="002B5D35"/>
    <w:rsid w:val="002B6EC2"/>
    <w:rsid w:val="002C0B9F"/>
    <w:rsid w:val="002C1808"/>
    <w:rsid w:val="002C7A2F"/>
    <w:rsid w:val="002D0612"/>
    <w:rsid w:val="002D1143"/>
    <w:rsid w:val="002D392B"/>
    <w:rsid w:val="002D4463"/>
    <w:rsid w:val="002D46FA"/>
    <w:rsid w:val="002E16A8"/>
    <w:rsid w:val="002E23E4"/>
    <w:rsid w:val="002E2A11"/>
    <w:rsid w:val="002E31D8"/>
    <w:rsid w:val="002E627D"/>
    <w:rsid w:val="002E734D"/>
    <w:rsid w:val="002F2759"/>
    <w:rsid w:val="002F3001"/>
    <w:rsid w:val="002F3183"/>
    <w:rsid w:val="002F4E30"/>
    <w:rsid w:val="002F53F3"/>
    <w:rsid w:val="00302B89"/>
    <w:rsid w:val="003052FA"/>
    <w:rsid w:val="00310538"/>
    <w:rsid w:val="00312647"/>
    <w:rsid w:val="003144F6"/>
    <w:rsid w:val="00317425"/>
    <w:rsid w:val="003278FF"/>
    <w:rsid w:val="003315EF"/>
    <w:rsid w:val="00336AC6"/>
    <w:rsid w:val="00337198"/>
    <w:rsid w:val="003378AB"/>
    <w:rsid w:val="00341354"/>
    <w:rsid w:val="003415EA"/>
    <w:rsid w:val="0034212E"/>
    <w:rsid w:val="0034674D"/>
    <w:rsid w:val="003536D1"/>
    <w:rsid w:val="0035446B"/>
    <w:rsid w:val="00357AA1"/>
    <w:rsid w:val="00357BED"/>
    <w:rsid w:val="0036045A"/>
    <w:rsid w:val="003611D1"/>
    <w:rsid w:val="00361666"/>
    <w:rsid w:val="003703CB"/>
    <w:rsid w:val="003724A7"/>
    <w:rsid w:val="0037375D"/>
    <w:rsid w:val="00376E8C"/>
    <w:rsid w:val="0038172B"/>
    <w:rsid w:val="003877B5"/>
    <w:rsid w:val="0039223F"/>
    <w:rsid w:val="003940AD"/>
    <w:rsid w:val="00396476"/>
    <w:rsid w:val="00397A30"/>
    <w:rsid w:val="003A1EED"/>
    <w:rsid w:val="003A4EBF"/>
    <w:rsid w:val="003A5D14"/>
    <w:rsid w:val="003B7FB5"/>
    <w:rsid w:val="003C0665"/>
    <w:rsid w:val="003C3BD1"/>
    <w:rsid w:val="003C4A25"/>
    <w:rsid w:val="003D138A"/>
    <w:rsid w:val="003D29A8"/>
    <w:rsid w:val="003D29F1"/>
    <w:rsid w:val="003D2ABC"/>
    <w:rsid w:val="003D396D"/>
    <w:rsid w:val="003D458C"/>
    <w:rsid w:val="003D47ED"/>
    <w:rsid w:val="003D5630"/>
    <w:rsid w:val="003E2049"/>
    <w:rsid w:val="003E3711"/>
    <w:rsid w:val="003E4528"/>
    <w:rsid w:val="003E4582"/>
    <w:rsid w:val="003E6279"/>
    <w:rsid w:val="003E699E"/>
    <w:rsid w:val="003E6D77"/>
    <w:rsid w:val="003F26B0"/>
    <w:rsid w:val="003F36EA"/>
    <w:rsid w:val="003F6D06"/>
    <w:rsid w:val="00400EEE"/>
    <w:rsid w:val="0040123D"/>
    <w:rsid w:val="00401646"/>
    <w:rsid w:val="00401BAD"/>
    <w:rsid w:val="00407067"/>
    <w:rsid w:val="00410CE8"/>
    <w:rsid w:val="004115FA"/>
    <w:rsid w:val="004148C5"/>
    <w:rsid w:val="00414C6F"/>
    <w:rsid w:val="00421002"/>
    <w:rsid w:val="004210E6"/>
    <w:rsid w:val="00421ACC"/>
    <w:rsid w:val="00430276"/>
    <w:rsid w:val="004304B8"/>
    <w:rsid w:val="004310ED"/>
    <w:rsid w:val="00432006"/>
    <w:rsid w:val="0043421F"/>
    <w:rsid w:val="00435289"/>
    <w:rsid w:val="004356A1"/>
    <w:rsid w:val="004401FB"/>
    <w:rsid w:val="00440261"/>
    <w:rsid w:val="00445952"/>
    <w:rsid w:val="00446163"/>
    <w:rsid w:val="00450494"/>
    <w:rsid w:val="00450B80"/>
    <w:rsid w:val="00451274"/>
    <w:rsid w:val="00453B00"/>
    <w:rsid w:val="004562F1"/>
    <w:rsid w:val="00457BA0"/>
    <w:rsid w:val="0046182C"/>
    <w:rsid w:val="004649D6"/>
    <w:rsid w:val="00466213"/>
    <w:rsid w:val="00467C61"/>
    <w:rsid w:val="00470C4E"/>
    <w:rsid w:val="00474544"/>
    <w:rsid w:val="00476D79"/>
    <w:rsid w:val="0047767D"/>
    <w:rsid w:val="004801EF"/>
    <w:rsid w:val="00480406"/>
    <w:rsid w:val="00480C5B"/>
    <w:rsid w:val="00480E94"/>
    <w:rsid w:val="00481090"/>
    <w:rsid w:val="00483440"/>
    <w:rsid w:val="004841BD"/>
    <w:rsid w:val="00484E0B"/>
    <w:rsid w:val="00486FD2"/>
    <w:rsid w:val="0049103B"/>
    <w:rsid w:val="00495CC3"/>
    <w:rsid w:val="004969E8"/>
    <w:rsid w:val="00497341"/>
    <w:rsid w:val="004A2B6C"/>
    <w:rsid w:val="004A651D"/>
    <w:rsid w:val="004B6D0F"/>
    <w:rsid w:val="004C3DC5"/>
    <w:rsid w:val="004C6230"/>
    <w:rsid w:val="004C7724"/>
    <w:rsid w:val="004D088E"/>
    <w:rsid w:val="004D145B"/>
    <w:rsid w:val="004D20B3"/>
    <w:rsid w:val="004D22C0"/>
    <w:rsid w:val="004D2E98"/>
    <w:rsid w:val="004D5D80"/>
    <w:rsid w:val="004E0165"/>
    <w:rsid w:val="004E0F09"/>
    <w:rsid w:val="004E19FF"/>
    <w:rsid w:val="004E54CB"/>
    <w:rsid w:val="004E75D8"/>
    <w:rsid w:val="004F0C53"/>
    <w:rsid w:val="004F114F"/>
    <w:rsid w:val="004F43CC"/>
    <w:rsid w:val="004F47FD"/>
    <w:rsid w:val="004F579A"/>
    <w:rsid w:val="004F6A68"/>
    <w:rsid w:val="00501037"/>
    <w:rsid w:val="005024CE"/>
    <w:rsid w:val="00503023"/>
    <w:rsid w:val="0050601F"/>
    <w:rsid w:val="00506932"/>
    <w:rsid w:val="00510A83"/>
    <w:rsid w:val="00511C9E"/>
    <w:rsid w:val="005127C9"/>
    <w:rsid w:val="005128EE"/>
    <w:rsid w:val="005272B2"/>
    <w:rsid w:val="0053120F"/>
    <w:rsid w:val="0053223B"/>
    <w:rsid w:val="00533274"/>
    <w:rsid w:val="0053370F"/>
    <w:rsid w:val="005341D2"/>
    <w:rsid w:val="00540C6C"/>
    <w:rsid w:val="00541044"/>
    <w:rsid w:val="00543562"/>
    <w:rsid w:val="00545828"/>
    <w:rsid w:val="0055085D"/>
    <w:rsid w:val="005571AA"/>
    <w:rsid w:val="00561850"/>
    <w:rsid w:val="00567007"/>
    <w:rsid w:val="00570E18"/>
    <w:rsid w:val="005715BF"/>
    <w:rsid w:val="00572814"/>
    <w:rsid w:val="00572AE1"/>
    <w:rsid w:val="005804AE"/>
    <w:rsid w:val="00580CA0"/>
    <w:rsid w:val="0058519B"/>
    <w:rsid w:val="005853B5"/>
    <w:rsid w:val="00592BEE"/>
    <w:rsid w:val="005943A3"/>
    <w:rsid w:val="00596D9C"/>
    <w:rsid w:val="00597929"/>
    <w:rsid w:val="005A14E0"/>
    <w:rsid w:val="005A6ECF"/>
    <w:rsid w:val="005B0FD1"/>
    <w:rsid w:val="005B1CDB"/>
    <w:rsid w:val="005B630A"/>
    <w:rsid w:val="005C262D"/>
    <w:rsid w:val="005C689E"/>
    <w:rsid w:val="005D0E8F"/>
    <w:rsid w:val="005E0231"/>
    <w:rsid w:val="005E0B88"/>
    <w:rsid w:val="005E1E88"/>
    <w:rsid w:val="005E5CD1"/>
    <w:rsid w:val="005E649D"/>
    <w:rsid w:val="005E7524"/>
    <w:rsid w:val="005F1282"/>
    <w:rsid w:val="00603580"/>
    <w:rsid w:val="00604C9E"/>
    <w:rsid w:val="006053B7"/>
    <w:rsid w:val="00607E61"/>
    <w:rsid w:val="00613DC5"/>
    <w:rsid w:val="00624729"/>
    <w:rsid w:val="00624F4B"/>
    <w:rsid w:val="00625533"/>
    <w:rsid w:val="0062777A"/>
    <w:rsid w:val="006307F6"/>
    <w:rsid w:val="00631B35"/>
    <w:rsid w:val="006332C4"/>
    <w:rsid w:val="00634E58"/>
    <w:rsid w:val="00642A86"/>
    <w:rsid w:val="00643546"/>
    <w:rsid w:val="00643EF4"/>
    <w:rsid w:val="00645C25"/>
    <w:rsid w:val="00645DE1"/>
    <w:rsid w:val="006466CF"/>
    <w:rsid w:val="00653E88"/>
    <w:rsid w:val="00656DAF"/>
    <w:rsid w:val="0066169A"/>
    <w:rsid w:val="006617F7"/>
    <w:rsid w:val="00663F4A"/>
    <w:rsid w:val="0066530E"/>
    <w:rsid w:val="00666647"/>
    <w:rsid w:val="006704E9"/>
    <w:rsid w:val="0067290B"/>
    <w:rsid w:val="006735ED"/>
    <w:rsid w:val="00681BB0"/>
    <w:rsid w:val="00684800"/>
    <w:rsid w:val="006919BA"/>
    <w:rsid w:val="00691B02"/>
    <w:rsid w:val="00691B41"/>
    <w:rsid w:val="0069379E"/>
    <w:rsid w:val="006A2F16"/>
    <w:rsid w:val="006A4BEE"/>
    <w:rsid w:val="006B0B6B"/>
    <w:rsid w:val="006B102A"/>
    <w:rsid w:val="006B55C1"/>
    <w:rsid w:val="006B5A31"/>
    <w:rsid w:val="006B76E9"/>
    <w:rsid w:val="006C2137"/>
    <w:rsid w:val="006C44C2"/>
    <w:rsid w:val="006C4FEE"/>
    <w:rsid w:val="006C7D53"/>
    <w:rsid w:val="006D2FC9"/>
    <w:rsid w:val="006E01FC"/>
    <w:rsid w:val="006F3F21"/>
    <w:rsid w:val="006F4367"/>
    <w:rsid w:val="0070085E"/>
    <w:rsid w:val="00700D84"/>
    <w:rsid w:val="007140F3"/>
    <w:rsid w:val="007147E5"/>
    <w:rsid w:val="007149CC"/>
    <w:rsid w:val="0071621A"/>
    <w:rsid w:val="00716ACE"/>
    <w:rsid w:val="007345C5"/>
    <w:rsid w:val="00736E4C"/>
    <w:rsid w:val="00737914"/>
    <w:rsid w:val="00737F51"/>
    <w:rsid w:val="007405B1"/>
    <w:rsid w:val="0074202D"/>
    <w:rsid w:val="00742EDF"/>
    <w:rsid w:val="00745887"/>
    <w:rsid w:val="00747B78"/>
    <w:rsid w:val="00750343"/>
    <w:rsid w:val="00750682"/>
    <w:rsid w:val="00751E4A"/>
    <w:rsid w:val="00756560"/>
    <w:rsid w:val="007610F7"/>
    <w:rsid w:val="00766A58"/>
    <w:rsid w:val="007675FE"/>
    <w:rsid w:val="007720A8"/>
    <w:rsid w:val="007729E9"/>
    <w:rsid w:val="00774E04"/>
    <w:rsid w:val="00775450"/>
    <w:rsid w:val="00775CB8"/>
    <w:rsid w:val="0077654D"/>
    <w:rsid w:val="00777ABF"/>
    <w:rsid w:val="00777FBC"/>
    <w:rsid w:val="00782271"/>
    <w:rsid w:val="00785185"/>
    <w:rsid w:val="00786493"/>
    <w:rsid w:val="00790553"/>
    <w:rsid w:val="00793F4A"/>
    <w:rsid w:val="007949ED"/>
    <w:rsid w:val="007956FB"/>
    <w:rsid w:val="00796F33"/>
    <w:rsid w:val="00797955"/>
    <w:rsid w:val="007A60AD"/>
    <w:rsid w:val="007A6382"/>
    <w:rsid w:val="007B2778"/>
    <w:rsid w:val="007B3846"/>
    <w:rsid w:val="007B45FE"/>
    <w:rsid w:val="007C3021"/>
    <w:rsid w:val="007C4A09"/>
    <w:rsid w:val="007C582B"/>
    <w:rsid w:val="007C6AFA"/>
    <w:rsid w:val="007C7C10"/>
    <w:rsid w:val="007C7F3E"/>
    <w:rsid w:val="007D2976"/>
    <w:rsid w:val="007D39B5"/>
    <w:rsid w:val="007D796F"/>
    <w:rsid w:val="007F110D"/>
    <w:rsid w:val="007F2BDB"/>
    <w:rsid w:val="007F365F"/>
    <w:rsid w:val="007F51C5"/>
    <w:rsid w:val="007F6C25"/>
    <w:rsid w:val="008006BA"/>
    <w:rsid w:val="0080141D"/>
    <w:rsid w:val="00803372"/>
    <w:rsid w:val="00810B3D"/>
    <w:rsid w:val="00810CC9"/>
    <w:rsid w:val="008122C5"/>
    <w:rsid w:val="0081350B"/>
    <w:rsid w:val="0081493F"/>
    <w:rsid w:val="008207A9"/>
    <w:rsid w:val="00820EDC"/>
    <w:rsid w:val="00822EF0"/>
    <w:rsid w:val="0082417B"/>
    <w:rsid w:val="00824694"/>
    <w:rsid w:val="008258DC"/>
    <w:rsid w:val="00830653"/>
    <w:rsid w:val="00830748"/>
    <w:rsid w:val="0083110D"/>
    <w:rsid w:val="0083225F"/>
    <w:rsid w:val="008323E4"/>
    <w:rsid w:val="008333CC"/>
    <w:rsid w:val="0083358D"/>
    <w:rsid w:val="0083489E"/>
    <w:rsid w:val="00840758"/>
    <w:rsid w:val="00840863"/>
    <w:rsid w:val="008432B0"/>
    <w:rsid w:val="008507E3"/>
    <w:rsid w:val="008509DE"/>
    <w:rsid w:val="0085439F"/>
    <w:rsid w:val="00857421"/>
    <w:rsid w:val="00863EDB"/>
    <w:rsid w:val="0086408D"/>
    <w:rsid w:val="00867A2E"/>
    <w:rsid w:val="00867B45"/>
    <w:rsid w:val="008766DA"/>
    <w:rsid w:val="00876857"/>
    <w:rsid w:val="008833A3"/>
    <w:rsid w:val="00885CD0"/>
    <w:rsid w:val="008863F5"/>
    <w:rsid w:val="00886EDC"/>
    <w:rsid w:val="00887393"/>
    <w:rsid w:val="008934EC"/>
    <w:rsid w:val="008A14D3"/>
    <w:rsid w:val="008A2A6B"/>
    <w:rsid w:val="008A3809"/>
    <w:rsid w:val="008A3DF8"/>
    <w:rsid w:val="008A5A49"/>
    <w:rsid w:val="008A6424"/>
    <w:rsid w:val="008B2DCC"/>
    <w:rsid w:val="008B3EF5"/>
    <w:rsid w:val="008B7396"/>
    <w:rsid w:val="008B7834"/>
    <w:rsid w:val="008B7DD7"/>
    <w:rsid w:val="008B7FD6"/>
    <w:rsid w:val="008C4353"/>
    <w:rsid w:val="008C721C"/>
    <w:rsid w:val="008D0262"/>
    <w:rsid w:val="008D4920"/>
    <w:rsid w:val="008D510B"/>
    <w:rsid w:val="008E2DB4"/>
    <w:rsid w:val="008E6672"/>
    <w:rsid w:val="008F05C2"/>
    <w:rsid w:val="008F1060"/>
    <w:rsid w:val="008F1E2D"/>
    <w:rsid w:val="008F3758"/>
    <w:rsid w:val="008F60FF"/>
    <w:rsid w:val="008F72FF"/>
    <w:rsid w:val="009055EE"/>
    <w:rsid w:val="00905C5C"/>
    <w:rsid w:val="00906E41"/>
    <w:rsid w:val="00910300"/>
    <w:rsid w:val="00912905"/>
    <w:rsid w:val="00913474"/>
    <w:rsid w:val="00914B74"/>
    <w:rsid w:val="00914EF8"/>
    <w:rsid w:val="00917F5D"/>
    <w:rsid w:val="00920D77"/>
    <w:rsid w:val="00921B28"/>
    <w:rsid w:val="009255C5"/>
    <w:rsid w:val="009309DE"/>
    <w:rsid w:val="009331B0"/>
    <w:rsid w:val="00942031"/>
    <w:rsid w:val="00943C96"/>
    <w:rsid w:val="00944381"/>
    <w:rsid w:val="00953D20"/>
    <w:rsid w:val="009544A3"/>
    <w:rsid w:val="00956844"/>
    <w:rsid w:val="0095725E"/>
    <w:rsid w:val="009577B9"/>
    <w:rsid w:val="0096434B"/>
    <w:rsid w:val="00970462"/>
    <w:rsid w:val="009706D8"/>
    <w:rsid w:val="00971B61"/>
    <w:rsid w:val="00972A9C"/>
    <w:rsid w:val="009733AF"/>
    <w:rsid w:val="00973F3F"/>
    <w:rsid w:val="00974183"/>
    <w:rsid w:val="00982B3B"/>
    <w:rsid w:val="00983D3D"/>
    <w:rsid w:val="009853DB"/>
    <w:rsid w:val="0099224C"/>
    <w:rsid w:val="00993016"/>
    <w:rsid w:val="00996529"/>
    <w:rsid w:val="009A1798"/>
    <w:rsid w:val="009A19A7"/>
    <w:rsid w:val="009A7FE0"/>
    <w:rsid w:val="009B2672"/>
    <w:rsid w:val="009B2C25"/>
    <w:rsid w:val="009B4BE5"/>
    <w:rsid w:val="009C0273"/>
    <w:rsid w:val="009C1FB9"/>
    <w:rsid w:val="009C366E"/>
    <w:rsid w:val="009C5E57"/>
    <w:rsid w:val="009D52C4"/>
    <w:rsid w:val="009D6A9B"/>
    <w:rsid w:val="009D7121"/>
    <w:rsid w:val="009D7A41"/>
    <w:rsid w:val="009E4481"/>
    <w:rsid w:val="009E514F"/>
    <w:rsid w:val="009E54D7"/>
    <w:rsid w:val="009E6808"/>
    <w:rsid w:val="009F0095"/>
    <w:rsid w:val="009F06B9"/>
    <w:rsid w:val="009F3F64"/>
    <w:rsid w:val="009F4A13"/>
    <w:rsid w:val="009F716C"/>
    <w:rsid w:val="00A04D22"/>
    <w:rsid w:val="00A04EF9"/>
    <w:rsid w:val="00A056FC"/>
    <w:rsid w:val="00A0740B"/>
    <w:rsid w:val="00A103F5"/>
    <w:rsid w:val="00A113E7"/>
    <w:rsid w:val="00A1189B"/>
    <w:rsid w:val="00A1338D"/>
    <w:rsid w:val="00A201FD"/>
    <w:rsid w:val="00A21B9D"/>
    <w:rsid w:val="00A230B1"/>
    <w:rsid w:val="00A23412"/>
    <w:rsid w:val="00A2436F"/>
    <w:rsid w:val="00A24DA3"/>
    <w:rsid w:val="00A26F08"/>
    <w:rsid w:val="00A317D4"/>
    <w:rsid w:val="00A3198E"/>
    <w:rsid w:val="00A32AD0"/>
    <w:rsid w:val="00A36886"/>
    <w:rsid w:val="00A4214C"/>
    <w:rsid w:val="00A42FEA"/>
    <w:rsid w:val="00A43B6E"/>
    <w:rsid w:val="00A457D3"/>
    <w:rsid w:val="00A52503"/>
    <w:rsid w:val="00A533D2"/>
    <w:rsid w:val="00A54BB4"/>
    <w:rsid w:val="00A570D0"/>
    <w:rsid w:val="00A60FB5"/>
    <w:rsid w:val="00A61945"/>
    <w:rsid w:val="00A62940"/>
    <w:rsid w:val="00A636B4"/>
    <w:rsid w:val="00A6498F"/>
    <w:rsid w:val="00A64F44"/>
    <w:rsid w:val="00A660A8"/>
    <w:rsid w:val="00A725A2"/>
    <w:rsid w:val="00A745BD"/>
    <w:rsid w:val="00A77F7F"/>
    <w:rsid w:val="00A80E56"/>
    <w:rsid w:val="00A81399"/>
    <w:rsid w:val="00A91E00"/>
    <w:rsid w:val="00A9787B"/>
    <w:rsid w:val="00A978E0"/>
    <w:rsid w:val="00AA2C26"/>
    <w:rsid w:val="00AA3030"/>
    <w:rsid w:val="00AA48F0"/>
    <w:rsid w:val="00AA6B2C"/>
    <w:rsid w:val="00AB49DA"/>
    <w:rsid w:val="00AB6E7E"/>
    <w:rsid w:val="00AB725F"/>
    <w:rsid w:val="00AC4A00"/>
    <w:rsid w:val="00AC4BC0"/>
    <w:rsid w:val="00AC698E"/>
    <w:rsid w:val="00AD144A"/>
    <w:rsid w:val="00AD472C"/>
    <w:rsid w:val="00AD4E24"/>
    <w:rsid w:val="00AE00A7"/>
    <w:rsid w:val="00AE124F"/>
    <w:rsid w:val="00AE23C9"/>
    <w:rsid w:val="00AE5C75"/>
    <w:rsid w:val="00AE68CC"/>
    <w:rsid w:val="00AE7EC4"/>
    <w:rsid w:val="00AF4485"/>
    <w:rsid w:val="00AF4504"/>
    <w:rsid w:val="00AF50DA"/>
    <w:rsid w:val="00B064F9"/>
    <w:rsid w:val="00B101E4"/>
    <w:rsid w:val="00B10222"/>
    <w:rsid w:val="00B1055D"/>
    <w:rsid w:val="00B11268"/>
    <w:rsid w:val="00B12F9A"/>
    <w:rsid w:val="00B154F8"/>
    <w:rsid w:val="00B20297"/>
    <w:rsid w:val="00B22070"/>
    <w:rsid w:val="00B26A2C"/>
    <w:rsid w:val="00B27D3F"/>
    <w:rsid w:val="00B309EF"/>
    <w:rsid w:val="00B31F7B"/>
    <w:rsid w:val="00B32460"/>
    <w:rsid w:val="00B35041"/>
    <w:rsid w:val="00B37070"/>
    <w:rsid w:val="00B40836"/>
    <w:rsid w:val="00B411DA"/>
    <w:rsid w:val="00B44165"/>
    <w:rsid w:val="00B460F1"/>
    <w:rsid w:val="00B462EB"/>
    <w:rsid w:val="00B46D23"/>
    <w:rsid w:val="00B471ED"/>
    <w:rsid w:val="00B47C0A"/>
    <w:rsid w:val="00B518A7"/>
    <w:rsid w:val="00B52379"/>
    <w:rsid w:val="00B53012"/>
    <w:rsid w:val="00B622E7"/>
    <w:rsid w:val="00B65FB6"/>
    <w:rsid w:val="00B70A5E"/>
    <w:rsid w:val="00B7488B"/>
    <w:rsid w:val="00B76B24"/>
    <w:rsid w:val="00B81BDC"/>
    <w:rsid w:val="00B84ED5"/>
    <w:rsid w:val="00B86EF3"/>
    <w:rsid w:val="00B94393"/>
    <w:rsid w:val="00B95CA9"/>
    <w:rsid w:val="00B9778F"/>
    <w:rsid w:val="00BA07BA"/>
    <w:rsid w:val="00BA6965"/>
    <w:rsid w:val="00BA6D38"/>
    <w:rsid w:val="00BB1B5B"/>
    <w:rsid w:val="00BB5535"/>
    <w:rsid w:val="00BB6960"/>
    <w:rsid w:val="00BB7595"/>
    <w:rsid w:val="00BC1887"/>
    <w:rsid w:val="00BC57E5"/>
    <w:rsid w:val="00BD03DD"/>
    <w:rsid w:val="00BD4425"/>
    <w:rsid w:val="00BD44EF"/>
    <w:rsid w:val="00BD5662"/>
    <w:rsid w:val="00BE1146"/>
    <w:rsid w:val="00BE2AE0"/>
    <w:rsid w:val="00BE2EE1"/>
    <w:rsid w:val="00BE481A"/>
    <w:rsid w:val="00BE5AAF"/>
    <w:rsid w:val="00BE7EA6"/>
    <w:rsid w:val="00BF3B7A"/>
    <w:rsid w:val="00BF7914"/>
    <w:rsid w:val="00C003A9"/>
    <w:rsid w:val="00C00BA9"/>
    <w:rsid w:val="00C01D87"/>
    <w:rsid w:val="00C035BF"/>
    <w:rsid w:val="00C0583E"/>
    <w:rsid w:val="00C05D46"/>
    <w:rsid w:val="00C067BA"/>
    <w:rsid w:val="00C10FB5"/>
    <w:rsid w:val="00C113CD"/>
    <w:rsid w:val="00C121D8"/>
    <w:rsid w:val="00C12538"/>
    <w:rsid w:val="00C12704"/>
    <w:rsid w:val="00C12D07"/>
    <w:rsid w:val="00C13134"/>
    <w:rsid w:val="00C152C6"/>
    <w:rsid w:val="00C155A4"/>
    <w:rsid w:val="00C15ED0"/>
    <w:rsid w:val="00C24529"/>
    <w:rsid w:val="00C24ED2"/>
    <w:rsid w:val="00C258C4"/>
    <w:rsid w:val="00C25ED2"/>
    <w:rsid w:val="00C35BFB"/>
    <w:rsid w:val="00C362B9"/>
    <w:rsid w:val="00C3673A"/>
    <w:rsid w:val="00C37B40"/>
    <w:rsid w:val="00C43029"/>
    <w:rsid w:val="00C436EC"/>
    <w:rsid w:val="00C46443"/>
    <w:rsid w:val="00C46757"/>
    <w:rsid w:val="00C50830"/>
    <w:rsid w:val="00C509C9"/>
    <w:rsid w:val="00C50F6F"/>
    <w:rsid w:val="00C517E5"/>
    <w:rsid w:val="00C56152"/>
    <w:rsid w:val="00C5685B"/>
    <w:rsid w:val="00C57B45"/>
    <w:rsid w:val="00C600FE"/>
    <w:rsid w:val="00C60BC3"/>
    <w:rsid w:val="00C6435A"/>
    <w:rsid w:val="00C64A21"/>
    <w:rsid w:val="00C70701"/>
    <w:rsid w:val="00C713A9"/>
    <w:rsid w:val="00C74F4B"/>
    <w:rsid w:val="00C7538E"/>
    <w:rsid w:val="00C76060"/>
    <w:rsid w:val="00C7662F"/>
    <w:rsid w:val="00C82A25"/>
    <w:rsid w:val="00C901B7"/>
    <w:rsid w:val="00C90FF9"/>
    <w:rsid w:val="00C922E4"/>
    <w:rsid w:val="00C92F09"/>
    <w:rsid w:val="00C94F52"/>
    <w:rsid w:val="00C973F2"/>
    <w:rsid w:val="00CA194D"/>
    <w:rsid w:val="00CA6ABE"/>
    <w:rsid w:val="00CA6D51"/>
    <w:rsid w:val="00CB209E"/>
    <w:rsid w:val="00CB56A6"/>
    <w:rsid w:val="00CB5A2C"/>
    <w:rsid w:val="00CC0205"/>
    <w:rsid w:val="00CC1B1F"/>
    <w:rsid w:val="00CC2A15"/>
    <w:rsid w:val="00CC30C0"/>
    <w:rsid w:val="00CC3F72"/>
    <w:rsid w:val="00CC65F6"/>
    <w:rsid w:val="00CD058A"/>
    <w:rsid w:val="00CD153B"/>
    <w:rsid w:val="00CD2D61"/>
    <w:rsid w:val="00CD2F08"/>
    <w:rsid w:val="00CD3FB8"/>
    <w:rsid w:val="00CD4037"/>
    <w:rsid w:val="00CD670F"/>
    <w:rsid w:val="00CD7474"/>
    <w:rsid w:val="00CD753D"/>
    <w:rsid w:val="00CE25D9"/>
    <w:rsid w:val="00CE4A62"/>
    <w:rsid w:val="00CE68EA"/>
    <w:rsid w:val="00CF1A70"/>
    <w:rsid w:val="00CF3906"/>
    <w:rsid w:val="00CF44D2"/>
    <w:rsid w:val="00CF4508"/>
    <w:rsid w:val="00CF7CD9"/>
    <w:rsid w:val="00D03DB1"/>
    <w:rsid w:val="00D0539E"/>
    <w:rsid w:val="00D0797A"/>
    <w:rsid w:val="00D100A1"/>
    <w:rsid w:val="00D104D7"/>
    <w:rsid w:val="00D1064A"/>
    <w:rsid w:val="00D10CDE"/>
    <w:rsid w:val="00D11C93"/>
    <w:rsid w:val="00D131A6"/>
    <w:rsid w:val="00D14BE8"/>
    <w:rsid w:val="00D17DF7"/>
    <w:rsid w:val="00D24D78"/>
    <w:rsid w:val="00D24E00"/>
    <w:rsid w:val="00D26D00"/>
    <w:rsid w:val="00D277B7"/>
    <w:rsid w:val="00D30882"/>
    <w:rsid w:val="00D30F69"/>
    <w:rsid w:val="00D316FB"/>
    <w:rsid w:val="00D325BC"/>
    <w:rsid w:val="00D32802"/>
    <w:rsid w:val="00D33149"/>
    <w:rsid w:val="00D34A21"/>
    <w:rsid w:val="00D36578"/>
    <w:rsid w:val="00D36DEA"/>
    <w:rsid w:val="00D40445"/>
    <w:rsid w:val="00D43404"/>
    <w:rsid w:val="00D509DD"/>
    <w:rsid w:val="00D526A5"/>
    <w:rsid w:val="00D53451"/>
    <w:rsid w:val="00D63873"/>
    <w:rsid w:val="00D638C8"/>
    <w:rsid w:val="00D65FDD"/>
    <w:rsid w:val="00D8074B"/>
    <w:rsid w:val="00D830CF"/>
    <w:rsid w:val="00D902AC"/>
    <w:rsid w:val="00D9227E"/>
    <w:rsid w:val="00D94E9A"/>
    <w:rsid w:val="00D961F0"/>
    <w:rsid w:val="00D975C4"/>
    <w:rsid w:val="00D97949"/>
    <w:rsid w:val="00D97AC6"/>
    <w:rsid w:val="00DA11D2"/>
    <w:rsid w:val="00DA2AF2"/>
    <w:rsid w:val="00DA4589"/>
    <w:rsid w:val="00DA559A"/>
    <w:rsid w:val="00DA682D"/>
    <w:rsid w:val="00DA6D50"/>
    <w:rsid w:val="00DB1A08"/>
    <w:rsid w:val="00DB3CF1"/>
    <w:rsid w:val="00DC1117"/>
    <w:rsid w:val="00DC5AA9"/>
    <w:rsid w:val="00DC76F5"/>
    <w:rsid w:val="00DC7B96"/>
    <w:rsid w:val="00DC7C6D"/>
    <w:rsid w:val="00DD4500"/>
    <w:rsid w:val="00DD543E"/>
    <w:rsid w:val="00DD5EDD"/>
    <w:rsid w:val="00DD7554"/>
    <w:rsid w:val="00DE76E2"/>
    <w:rsid w:val="00DF0928"/>
    <w:rsid w:val="00DF2F8D"/>
    <w:rsid w:val="00E02751"/>
    <w:rsid w:val="00E05270"/>
    <w:rsid w:val="00E06602"/>
    <w:rsid w:val="00E06A37"/>
    <w:rsid w:val="00E06D9D"/>
    <w:rsid w:val="00E07621"/>
    <w:rsid w:val="00E172D6"/>
    <w:rsid w:val="00E20242"/>
    <w:rsid w:val="00E30576"/>
    <w:rsid w:val="00E3069C"/>
    <w:rsid w:val="00E30FBE"/>
    <w:rsid w:val="00E3470E"/>
    <w:rsid w:val="00E35175"/>
    <w:rsid w:val="00E372C6"/>
    <w:rsid w:val="00E4252E"/>
    <w:rsid w:val="00E42CC7"/>
    <w:rsid w:val="00E474C3"/>
    <w:rsid w:val="00E526F9"/>
    <w:rsid w:val="00E52CE0"/>
    <w:rsid w:val="00E60243"/>
    <w:rsid w:val="00E62FF8"/>
    <w:rsid w:val="00E65130"/>
    <w:rsid w:val="00E662A0"/>
    <w:rsid w:val="00E66FFB"/>
    <w:rsid w:val="00E70AA7"/>
    <w:rsid w:val="00E7146C"/>
    <w:rsid w:val="00E716F1"/>
    <w:rsid w:val="00E725BF"/>
    <w:rsid w:val="00E73CDC"/>
    <w:rsid w:val="00E76A06"/>
    <w:rsid w:val="00E76E9B"/>
    <w:rsid w:val="00E77D02"/>
    <w:rsid w:val="00E83860"/>
    <w:rsid w:val="00E9123F"/>
    <w:rsid w:val="00E9264B"/>
    <w:rsid w:val="00E942C6"/>
    <w:rsid w:val="00E96E18"/>
    <w:rsid w:val="00E9736A"/>
    <w:rsid w:val="00EA30C4"/>
    <w:rsid w:val="00EA515D"/>
    <w:rsid w:val="00EA5E32"/>
    <w:rsid w:val="00EA7F16"/>
    <w:rsid w:val="00EB05F5"/>
    <w:rsid w:val="00EB1685"/>
    <w:rsid w:val="00EB28B2"/>
    <w:rsid w:val="00EB4DDC"/>
    <w:rsid w:val="00EB58E4"/>
    <w:rsid w:val="00EB5D76"/>
    <w:rsid w:val="00EB697D"/>
    <w:rsid w:val="00EC0588"/>
    <w:rsid w:val="00EC0C95"/>
    <w:rsid w:val="00EC137D"/>
    <w:rsid w:val="00EC2EA3"/>
    <w:rsid w:val="00EC5C02"/>
    <w:rsid w:val="00EC680E"/>
    <w:rsid w:val="00EC7B83"/>
    <w:rsid w:val="00ED13EF"/>
    <w:rsid w:val="00ED2B57"/>
    <w:rsid w:val="00ED316D"/>
    <w:rsid w:val="00ED4BB1"/>
    <w:rsid w:val="00EE0695"/>
    <w:rsid w:val="00EE0F30"/>
    <w:rsid w:val="00EE10F1"/>
    <w:rsid w:val="00EF2D04"/>
    <w:rsid w:val="00EF5157"/>
    <w:rsid w:val="00EF5A9C"/>
    <w:rsid w:val="00F00B5F"/>
    <w:rsid w:val="00F02478"/>
    <w:rsid w:val="00F04039"/>
    <w:rsid w:val="00F04431"/>
    <w:rsid w:val="00F10FFF"/>
    <w:rsid w:val="00F12623"/>
    <w:rsid w:val="00F14D2A"/>
    <w:rsid w:val="00F169B4"/>
    <w:rsid w:val="00F1791F"/>
    <w:rsid w:val="00F26BE6"/>
    <w:rsid w:val="00F30F13"/>
    <w:rsid w:val="00F316A7"/>
    <w:rsid w:val="00F3302A"/>
    <w:rsid w:val="00F341F0"/>
    <w:rsid w:val="00F34939"/>
    <w:rsid w:val="00F35E85"/>
    <w:rsid w:val="00F364B1"/>
    <w:rsid w:val="00F366B3"/>
    <w:rsid w:val="00F40067"/>
    <w:rsid w:val="00F4052A"/>
    <w:rsid w:val="00F433FD"/>
    <w:rsid w:val="00F45649"/>
    <w:rsid w:val="00F460F5"/>
    <w:rsid w:val="00F5350E"/>
    <w:rsid w:val="00F55582"/>
    <w:rsid w:val="00F55F34"/>
    <w:rsid w:val="00F67DB1"/>
    <w:rsid w:val="00F71898"/>
    <w:rsid w:val="00F71F69"/>
    <w:rsid w:val="00F720D0"/>
    <w:rsid w:val="00F749AA"/>
    <w:rsid w:val="00F75A04"/>
    <w:rsid w:val="00F81D29"/>
    <w:rsid w:val="00F82472"/>
    <w:rsid w:val="00F828FD"/>
    <w:rsid w:val="00F84613"/>
    <w:rsid w:val="00F945D0"/>
    <w:rsid w:val="00F952B2"/>
    <w:rsid w:val="00FA0A97"/>
    <w:rsid w:val="00FA2B60"/>
    <w:rsid w:val="00FA56A9"/>
    <w:rsid w:val="00FA59C4"/>
    <w:rsid w:val="00FB37A8"/>
    <w:rsid w:val="00FB3C0C"/>
    <w:rsid w:val="00FB47AB"/>
    <w:rsid w:val="00FB48E0"/>
    <w:rsid w:val="00FB7252"/>
    <w:rsid w:val="00FB7BE2"/>
    <w:rsid w:val="00FC5C21"/>
    <w:rsid w:val="00FC6950"/>
    <w:rsid w:val="00FD23B4"/>
    <w:rsid w:val="00FD5568"/>
    <w:rsid w:val="00FD63CC"/>
    <w:rsid w:val="00FD6E86"/>
    <w:rsid w:val="00FD75A4"/>
    <w:rsid w:val="00FD78A0"/>
    <w:rsid w:val="00FE150E"/>
    <w:rsid w:val="00FE1ABC"/>
    <w:rsid w:val="00FE268C"/>
    <w:rsid w:val="00FE7E31"/>
    <w:rsid w:val="00FF21F5"/>
    <w:rsid w:val="00FF2915"/>
    <w:rsid w:val="00FF29F1"/>
    <w:rsid w:val="00FF3302"/>
    <w:rsid w:val="00FF63A7"/>
    <w:rsid w:val="00FF6BCD"/>
    <w:rsid w:val="00FF7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D4A880C"/>
  <w15:chartTrackingRefBased/>
  <w15:docId w15:val="{EEDCD259-918E-44A7-96BD-659D2143F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240" w:lineRule="exact"/>
    </w:pPr>
    <w:rPr>
      <w:sz w:val="26"/>
    </w:rPr>
  </w:style>
  <w:style w:type="paragraph" w:styleId="Heading1">
    <w:name w:val="heading 1"/>
    <w:basedOn w:val="Normal"/>
    <w:next w:val="Normal"/>
    <w:qFormat/>
    <w:pPr>
      <w:keepNext/>
      <w:widowControl/>
      <w:spacing w:before="240" w:after="60" w:line="240" w:lineRule="auto"/>
      <w:outlineLvl w:val="0"/>
    </w:pPr>
    <w:rPr>
      <w:rFonts w:ascii="Time New Roman" w:hAnsi="Time New Roman"/>
      <w:b/>
      <w:kern w:val="28"/>
      <w:sz w:val="28"/>
    </w:rPr>
  </w:style>
  <w:style w:type="paragraph" w:styleId="Heading2">
    <w:name w:val="heading 2"/>
    <w:basedOn w:val="Normal"/>
    <w:next w:val="Normal"/>
    <w:qFormat/>
    <w:pPr>
      <w:keepNext/>
      <w:widowControl/>
      <w:spacing w:before="240" w:after="60" w:line="240" w:lineRule="auto"/>
      <w:outlineLvl w:val="1"/>
    </w:pPr>
    <w:rPr>
      <w:rFonts w:ascii="Time New Roman" w:hAnsi="Time New Roman"/>
      <w:b/>
      <w:i/>
    </w:rPr>
  </w:style>
  <w:style w:type="paragraph" w:styleId="Heading3">
    <w:name w:val="heading 3"/>
    <w:basedOn w:val="Normal"/>
    <w:next w:val="Normal"/>
    <w:qFormat/>
    <w:pPr>
      <w:keepNext/>
      <w:widowControl/>
      <w:spacing w:before="240" w:after="60" w:line="240" w:lineRule="auto"/>
      <w:outlineLvl w:val="2"/>
    </w:pPr>
    <w:rPr>
      <w:rFonts w:ascii="Time New Roman" w:hAnsi="Time New Roman"/>
    </w:rPr>
  </w:style>
  <w:style w:type="paragraph" w:styleId="Heading4">
    <w:name w:val="heading 4"/>
    <w:basedOn w:val="Normal"/>
    <w:next w:val="Normal"/>
    <w:link w:val="Heading4Char"/>
    <w:qFormat/>
    <w:pPr>
      <w:keepNext/>
      <w:widowControl/>
      <w:spacing w:before="240" w:after="60" w:line="240" w:lineRule="auto"/>
      <w:outlineLvl w:val="3"/>
    </w:pPr>
    <w:rPr>
      <w:rFonts w:ascii="Time New Roman" w:hAnsi="Time New Roman"/>
      <w:b/>
    </w:rPr>
  </w:style>
  <w:style w:type="paragraph" w:styleId="Heading5">
    <w:name w:val="heading 5"/>
    <w:basedOn w:val="Normal"/>
    <w:next w:val="Normal"/>
    <w:qFormat/>
    <w:pPr>
      <w:widowControl/>
      <w:spacing w:before="240" w:after="60" w:line="240" w:lineRule="auto"/>
      <w:outlineLvl w:val="4"/>
    </w:pPr>
    <w:rPr>
      <w:rFonts w:ascii="Time New Roman" w:hAnsi="Time New Roman"/>
    </w:rPr>
  </w:style>
  <w:style w:type="paragraph" w:styleId="Heading6">
    <w:name w:val="heading 6"/>
    <w:basedOn w:val="Normal"/>
    <w:next w:val="Normal"/>
    <w:link w:val="Heading6Char"/>
    <w:qFormat/>
    <w:pPr>
      <w:widowControl/>
      <w:spacing w:before="240" w:after="60" w:line="240" w:lineRule="auto"/>
      <w:outlineLvl w:val="5"/>
    </w:pPr>
    <w:rPr>
      <w:rFonts w:ascii="Time New Roman" w:hAnsi="Time New Roman"/>
      <w:i/>
    </w:rPr>
  </w:style>
  <w:style w:type="paragraph" w:styleId="Heading7">
    <w:name w:val="heading 7"/>
    <w:basedOn w:val="Normal"/>
    <w:next w:val="Normal"/>
    <w:qFormat/>
    <w:pPr>
      <w:widowControl/>
      <w:spacing w:before="240" w:after="60" w:line="240" w:lineRule="auto"/>
      <w:outlineLvl w:val="6"/>
    </w:pPr>
    <w:rPr>
      <w:rFonts w:ascii="Arial" w:hAnsi="Arial"/>
      <w:b/>
    </w:rPr>
  </w:style>
  <w:style w:type="paragraph" w:styleId="Heading8">
    <w:name w:val="heading 8"/>
    <w:basedOn w:val="Normal"/>
    <w:next w:val="Normal"/>
    <w:qFormat/>
    <w:pPr>
      <w:widowControl/>
      <w:spacing w:before="240" w:after="60" w:line="240" w:lineRule="auto"/>
      <w:outlineLvl w:val="7"/>
    </w:pPr>
    <w:rPr>
      <w:rFonts w:ascii="Arial" w:hAnsi="Arial"/>
      <w:i/>
    </w:rPr>
  </w:style>
  <w:style w:type="paragraph" w:styleId="Heading9">
    <w:name w:val="heading 9"/>
    <w:basedOn w:val="Normal"/>
    <w:next w:val="Normal"/>
    <w:qFormat/>
    <w:pPr>
      <w:widowControl/>
      <w:spacing w:before="240" w:after="60" w:line="240" w:lineRule="auto"/>
      <w:outlineLvl w:val="8"/>
    </w:pPr>
    <w:rPr>
      <w:rFonts w:ascii="Arial" w:hAnsi="Arial"/>
      <w:b/>
      <w:i/>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Quote">
    <w:name w:val="Quote"/>
    <w:basedOn w:val="Normal"/>
    <w:next w:val="BodyTextContinued"/>
    <w:qFormat/>
    <w:pPr>
      <w:spacing w:before="240" w:after="240"/>
      <w:ind w:left="1440" w:right="1440"/>
      <w:jc w:val="both"/>
    </w:pPr>
  </w:style>
  <w:style w:type="paragraph" w:styleId="BodyText">
    <w:name w:val="Body Text"/>
    <w:basedOn w:val="Normal"/>
    <w:pPr>
      <w:spacing w:line="480" w:lineRule="exact"/>
      <w:ind w:firstLine="720"/>
    </w:pPr>
  </w:style>
  <w:style w:type="paragraph" w:customStyle="1" w:styleId="BodyTextContinued">
    <w:name w:val="Body Text Continued"/>
    <w:basedOn w:val="BodyText"/>
    <w:next w:val="BodyText"/>
    <w:pPr>
      <w:ind w:firstLine="0"/>
    </w:pPr>
  </w:style>
  <w:style w:type="paragraph" w:customStyle="1" w:styleId="Centered">
    <w:name w:val="Centered"/>
    <w:basedOn w:val="Normal"/>
    <w:next w:val="BodyText"/>
    <w:pPr>
      <w:spacing w:after="240"/>
      <w:jc w:val="center"/>
    </w:pPr>
  </w:style>
  <w:style w:type="paragraph" w:styleId="EnvelopeAddress">
    <w:name w:val="envelope address"/>
    <w:basedOn w:val="Normal"/>
    <w:pPr>
      <w:framePr w:w="5760" w:h="2160" w:hRule="exact" w:wrap="around" w:vAnchor="page" w:hAnchor="page" w:x="6481" w:y="3061"/>
    </w:pPr>
  </w:style>
  <w:style w:type="paragraph" w:styleId="Footer">
    <w:name w:val="footer"/>
    <w:basedOn w:val="Normal"/>
    <w:link w:val="FooterChar"/>
    <w:uiPriority w:val="99"/>
    <w:pPr>
      <w:tabs>
        <w:tab w:val="center" w:pos="4320"/>
        <w:tab w:val="right" w:pos="9360"/>
      </w:tabs>
      <w:spacing w:line="200" w:lineRule="exact"/>
    </w:pPr>
  </w:style>
  <w:style w:type="character" w:styleId="FootnoteReference">
    <w:name w:val="footnote reference"/>
    <w:semiHidden/>
    <w:rPr>
      <w:vertAlign w:val="superscript"/>
    </w:rPr>
  </w:style>
  <w:style w:type="paragraph" w:styleId="FootnoteText">
    <w:name w:val="footnote text"/>
    <w:basedOn w:val="Normal"/>
    <w:semiHidden/>
    <w:pPr>
      <w:keepLines/>
    </w:pPr>
  </w:style>
  <w:style w:type="paragraph" w:styleId="Header">
    <w:name w:val="header"/>
    <w:basedOn w:val="Normal"/>
    <w:pPr>
      <w:tabs>
        <w:tab w:val="center" w:pos="4320"/>
        <w:tab w:val="right" w:pos="9360"/>
      </w:tabs>
    </w:pPr>
  </w:style>
  <w:style w:type="paragraph" w:customStyle="1" w:styleId="HeaderNumbers">
    <w:name w:val="HeaderNumbers"/>
    <w:basedOn w:val="Normal"/>
    <w:pPr>
      <w:spacing w:before="720" w:line="480" w:lineRule="exact"/>
      <w:ind w:right="144"/>
      <w:jc w:val="right"/>
    </w:pPr>
  </w:style>
  <w:style w:type="paragraph" w:styleId="NormalIndent">
    <w:name w:val="Normal Indent"/>
    <w:basedOn w:val="Normal"/>
    <w:pPr>
      <w:ind w:left="720" w:right="720"/>
    </w:pPr>
  </w:style>
  <w:style w:type="character" w:styleId="PageNumber">
    <w:name w:val="page number"/>
    <w:rPr>
      <w:sz w:val="24"/>
    </w:rPr>
  </w:style>
  <w:style w:type="paragraph" w:customStyle="1" w:styleId="PleadingSignature">
    <w:name w:val="Pleading Signature"/>
    <w:basedOn w:val="Normal"/>
    <w:pPr>
      <w:keepNext/>
      <w:keepLines/>
      <w:ind w:left="3240"/>
    </w:pPr>
  </w:style>
  <w:style w:type="paragraph" w:styleId="TableofAuthorities">
    <w:name w:val="table of authorities"/>
    <w:basedOn w:val="Normal"/>
    <w:next w:val="Normal"/>
    <w:semiHidden/>
    <w:pPr>
      <w:tabs>
        <w:tab w:val="right" w:leader="dot" w:pos="9389"/>
      </w:tabs>
      <w:spacing w:after="240"/>
      <w:ind w:left="360" w:right="1440" w:hanging="360"/>
    </w:pPr>
  </w:style>
  <w:style w:type="paragraph" w:styleId="TOAHeading">
    <w:name w:val="toa heading"/>
    <w:basedOn w:val="Normal"/>
    <w:next w:val="TableofAuthorities"/>
    <w:semiHidden/>
    <w:pPr>
      <w:keepNext/>
      <w:spacing w:before="240" w:after="240"/>
    </w:pPr>
    <w:rPr>
      <w:b/>
      <w:caps/>
      <w:u w:val="single"/>
    </w:rPr>
  </w:style>
  <w:style w:type="paragraph" w:styleId="TOC1">
    <w:name w:val="toc 1"/>
    <w:basedOn w:val="Normal"/>
    <w:next w:val="Normal"/>
    <w:autoRedefine/>
    <w:semiHidden/>
    <w:pPr>
      <w:keepLines/>
      <w:widowControl/>
      <w:tabs>
        <w:tab w:val="right" w:leader="dot" w:pos="9389"/>
      </w:tabs>
      <w:spacing w:after="240"/>
      <w:ind w:left="720" w:right="720" w:hanging="720"/>
    </w:pPr>
    <w:rPr>
      <w:caps/>
    </w:rPr>
  </w:style>
  <w:style w:type="paragraph" w:styleId="TOC2">
    <w:name w:val="toc 2"/>
    <w:basedOn w:val="Normal"/>
    <w:next w:val="Normal"/>
    <w:autoRedefine/>
    <w:semiHidden/>
    <w:pPr>
      <w:keepLines/>
      <w:widowControl/>
      <w:tabs>
        <w:tab w:val="right" w:leader="dot" w:pos="9389"/>
      </w:tabs>
      <w:spacing w:after="240"/>
      <w:ind w:left="1440" w:right="720" w:hanging="720"/>
    </w:pPr>
  </w:style>
  <w:style w:type="paragraph" w:styleId="TOC3">
    <w:name w:val="toc 3"/>
    <w:basedOn w:val="Normal"/>
    <w:next w:val="Normal"/>
    <w:autoRedefine/>
    <w:semiHidden/>
    <w:pPr>
      <w:keepLines/>
      <w:widowControl/>
      <w:tabs>
        <w:tab w:val="right" w:leader="dot" w:pos="9389"/>
      </w:tabs>
      <w:spacing w:after="240"/>
      <w:ind w:left="2160" w:right="720" w:hanging="720"/>
    </w:pPr>
  </w:style>
  <w:style w:type="paragraph" w:styleId="TOC4">
    <w:name w:val="toc 4"/>
    <w:basedOn w:val="Normal"/>
    <w:next w:val="Normal"/>
    <w:autoRedefine/>
    <w:semiHidden/>
    <w:pPr>
      <w:keepLines/>
      <w:widowControl/>
      <w:tabs>
        <w:tab w:val="right" w:leader="dot" w:pos="9389"/>
      </w:tabs>
      <w:spacing w:after="240"/>
      <w:ind w:left="2880" w:right="720" w:hanging="720"/>
    </w:pPr>
  </w:style>
  <w:style w:type="paragraph" w:styleId="TOC5">
    <w:name w:val="toc 5"/>
    <w:basedOn w:val="Normal"/>
    <w:next w:val="Normal"/>
    <w:autoRedefine/>
    <w:semiHidden/>
    <w:pPr>
      <w:keepLines/>
      <w:widowControl/>
      <w:tabs>
        <w:tab w:val="right" w:leader="dot" w:pos="9389"/>
      </w:tabs>
      <w:spacing w:after="240"/>
      <w:ind w:left="3600" w:right="720" w:hanging="720"/>
    </w:pPr>
  </w:style>
  <w:style w:type="paragraph" w:styleId="TOC6">
    <w:name w:val="toc 6"/>
    <w:basedOn w:val="Normal"/>
    <w:next w:val="Normal"/>
    <w:autoRedefine/>
    <w:semiHidden/>
    <w:pPr>
      <w:keepLines/>
      <w:widowControl/>
      <w:tabs>
        <w:tab w:val="right" w:leader="dot" w:pos="9389"/>
      </w:tabs>
      <w:spacing w:after="240"/>
      <w:ind w:left="4320" w:right="720" w:hanging="720"/>
    </w:pPr>
  </w:style>
  <w:style w:type="paragraph" w:styleId="TOC7">
    <w:name w:val="toc 7"/>
    <w:basedOn w:val="Normal"/>
    <w:next w:val="Normal"/>
    <w:autoRedefine/>
    <w:semiHidden/>
    <w:pPr>
      <w:keepLines/>
      <w:widowControl/>
      <w:tabs>
        <w:tab w:val="right" w:leader="dot" w:pos="9389"/>
      </w:tabs>
      <w:spacing w:after="240"/>
      <w:ind w:left="5040" w:right="720" w:hanging="720"/>
    </w:pPr>
  </w:style>
  <w:style w:type="paragraph" w:styleId="TOC8">
    <w:name w:val="toc 8"/>
    <w:basedOn w:val="Normal"/>
    <w:next w:val="Normal"/>
    <w:autoRedefine/>
    <w:semiHidden/>
    <w:pPr>
      <w:keepLines/>
      <w:widowControl/>
      <w:tabs>
        <w:tab w:val="right" w:leader="dot" w:pos="9389"/>
      </w:tabs>
      <w:spacing w:after="240"/>
      <w:ind w:left="5760" w:right="720" w:hanging="720"/>
    </w:pPr>
  </w:style>
  <w:style w:type="paragraph" w:styleId="TOC9">
    <w:name w:val="toc 9"/>
    <w:basedOn w:val="Normal"/>
    <w:next w:val="Normal"/>
    <w:autoRedefine/>
    <w:semiHidden/>
    <w:pPr>
      <w:keepLines/>
      <w:widowControl/>
      <w:tabs>
        <w:tab w:val="right" w:leader="dot" w:pos="9389"/>
      </w:tabs>
      <w:spacing w:after="240"/>
      <w:ind w:left="6480" w:right="720" w:hanging="720"/>
    </w:pPr>
  </w:style>
  <w:style w:type="character" w:customStyle="1" w:styleId="zzmpTrailerItem">
    <w:name w:val="zzmpTrailerItem"/>
    <w:rPr>
      <w:rFonts w:ascii="Times New Roman" w:hAnsi="Times New Roman" w:cs="Times New Roman"/>
      <w:b w:val="0"/>
      <w:i w:val="0"/>
      <w:caps w:val="0"/>
      <w:smallCaps w:val="0"/>
      <w:dstrike w:val="0"/>
      <w:noProof/>
      <w:vanish w:val="0"/>
      <w:color w:val="auto"/>
      <w:spacing w:val="0"/>
      <w:position w:val="0"/>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after="120" w:line="480" w:lineRule="auto"/>
    </w:pPr>
  </w:style>
  <w:style w:type="paragraph" w:customStyle="1" w:styleId="Pleading1L1">
    <w:name w:val="Pleading1_L1"/>
    <w:basedOn w:val="Normal"/>
    <w:next w:val="BodyText"/>
    <w:pPr>
      <w:keepNext/>
      <w:keepLines/>
      <w:numPr>
        <w:numId w:val="1"/>
      </w:numPr>
      <w:spacing w:before="240"/>
      <w:outlineLvl w:val="0"/>
    </w:pPr>
    <w:rPr>
      <w:b/>
      <w:caps/>
      <w:u w:val="single"/>
    </w:rPr>
  </w:style>
  <w:style w:type="paragraph" w:customStyle="1" w:styleId="Pleading1L2">
    <w:name w:val="Pleading1_L2"/>
    <w:basedOn w:val="Pleading1L1"/>
    <w:next w:val="BodyText"/>
    <w:pPr>
      <w:numPr>
        <w:ilvl w:val="1"/>
      </w:numPr>
      <w:outlineLvl w:val="1"/>
    </w:pPr>
    <w:rPr>
      <w:caps w:val="0"/>
    </w:rPr>
  </w:style>
  <w:style w:type="paragraph" w:customStyle="1" w:styleId="Pleading1L3">
    <w:name w:val="Pleading1_L3"/>
    <w:basedOn w:val="Pleading1L2"/>
    <w:next w:val="BodyText"/>
    <w:pPr>
      <w:numPr>
        <w:ilvl w:val="2"/>
      </w:numPr>
      <w:outlineLvl w:val="2"/>
    </w:pPr>
    <w:rPr>
      <w:b w:val="0"/>
      <w:u w:val="none"/>
    </w:rPr>
  </w:style>
  <w:style w:type="paragraph" w:customStyle="1" w:styleId="Pleading1L4">
    <w:name w:val="Pleading1_L4"/>
    <w:basedOn w:val="Pleading1L3"/>
    <w:next w:val="BodyText"/>
    <w:pPr>
      <w:numPr>
        <w:ilvl w:val="3"/>
      </w:numPr>
      <w:outlineLvl w:val="3"/>
    </w:pPr>
  </w:style>
  <w:style w:type="paragraph" w:customStyle="1" w:styleId="Pleading1L5">
    <w:name w:val="Pleading1_L5"/>
    <w:basedOn w:val="Pleading1L4"/>
    <w:next w:val="BodyText"/>
    <w:pPr>
      <w:numPr>
        <w:ilvl w:val="4"/>
      </w:numPr>
      <w:outlineLvl w:val="4"/>
    </w:pPr>
  </w:style>
  <w:style w:type="paragraph" w:customStyle="1" w:styleId="Pleading1L6">
    <w:name w:val="Pleading1_L6"/>
    <w:basedOn w:val="Pleading1L5"/>
    <w:next w:val="BodyText"/>
    <w:pPr>
      <w:numPr>
        <w:ilvl w:val="5"/>
      </w:numPr>
      <w:outlineLvl w:val="5"/>
    </w:pPr>
  </w:style>
  <w:style w:type="paragraph" w:customStyle="1" w:styleId="Pleading1L7">
    <w:name w:val="Pleading1_L7"/>
    <w:basedOn w:val="Pleading1L6"/>
    <w:next w:val="BodyText"/>
    <w:pPr>
      <w:numPr>
        <w:ilvl w:val="6"/>
      </w:numPr>
      <w:outlineLvl w:val="6"/>
    </w:pPr>
  </w:style>
  <w:style w:type="paragraph" w:customStyle="1" w:styleId="Pleading1L8">
    <w:name w:val="Pleading1_L8"/>
    <w:basedOn w:val="Pleading1L7"/>
    <w:next w:val="BodyText"/>
    <w:pPr>
      <w:numPr>
        <w:ilvl w:val="7"/>
      </w:numPr>
      <w:outlineLvl w:val="7"/>
    </w:pPr>
  </w:style>
  <w:style w:type="paragraph" w:customStyle="1" w:styleId="Pleading1L9">
    <w:name w:val="Pleading1_L9"/>
    <w:basedOn w:val="Pleading1L8"/>
    <w:next w:val="BodyText"/>
    <w:pPr>
      <w:numPr>
        <w:ilvl w:val="8"/>
      </w:numPr>
      <w:outlineLvl w:val="8"/>
    </w:pPr>
  </w:style>
  <w:style w:type="paragraph" w:customStyle="1" w:styleId="Body">
    <w:name w:val="Body"/>
    <w:basedOn w:val="Normal"/>
    <w:pPr>
      <w:widowControl/>
      <w:autoSpaceDE w:val="0"/>
      <w:autoSpaceDN w:val="0"/>
      <w:adjustRightInd w:val="0"/>
      <w:spacing w:line="480" w:lineRule="exact"/>
    </w:pPr>
    <w:rPr>
      <w:color w:val="000000"/>
      <w:sz w:val="28"/>
      <w:szCs w:val="28"/>
    </w:rPr>
  </w:style>
  <w:style w:type="character" w:styleId="Hyperlink">
    <w:name w:val="Hyperlink"/>
    <w:uiPriority w:val="99"/>
    <w:rPr>
      <w:color w:val="0000FF"/>
      <w:u w:val="single"/>
    </w:rPr>
  </w:style>
  <w:style w:type="paragraph" w:customStyle="1" w:styleId="Style25">
    <w:name w:val="Style 25"/>
    <w:basedOn w:val="Normal"/>
    <w:next w:val="BodyText"/>
    <w:pPr>
      <w:keepNext/>
      <w:keepLines/>
      <w:numPr>
        <w:numId w:val="2"/>
      </w:numPr>
      <w:spacing w:before="240"/>
      <w:outlineLvl w:val="0"/>
    </w:pPr>
    <w:rPr>
      <w:b/>
      <w:bCs/>
      <w:caps/>
      <w:szCs w:val="26"/>
      <w:u w:val="single"/>
    </w:rPr>
  </w:style>
  <w:style w:type="paragraph" w:customStyle="1" w:styleId="Style26">
    <w:name w:val="Style 26"/>
    <w:basedOn w:val="Style25"/>
    <w:next w:val="BodyText"/>
    <w:pPr>
      <w:numPr>
        <w:ilvl w:val="1"/>
      </w:numPr>
      <w:outlineLvl w:val="1"/>
    </w:pPr>
    <w:rPr>
      <w:caps w:val="0"/>
    </w:rPr>
  </w:style>
  <w:style w:type="paragraph" w:customStyle="1" w:styleId="Style27">
    <w:name w:val="Style 27"/>
    <w:basedOn w:val="Style26"/>
    <w:next w:val="BodyText"/>
    <w:pPr>
      <w:numPr>
        <w:ilvl w:val="2"/>
      </w:numPr>
      <w:outlineLvl w:val="2"/>
    </w:pPr>
    <w:rPr>
      <w:u w:val="none"/>
    </w:rPr>
  </w:style>
  <w:style w:type="paragraph" w:customStyle="1" w:styleId="Style28">
    <w:name w:val="Style 28"/>
    <w:basedOn w:val="Style27"/>
    <w:next w:val="BodyText"/>
    <w:pPr>
      <w:numPr>
        <w:ilvl w:val="3"/>
      </w:numPr>
      <w:ind w:firstLine="0"/>
      <w:outlineLvl w:val="3"/>
    </w:pPr>
    <w:rPr>
      <w:b w:val="0"/>
      <w:bCs w:val="0"/>
    </w:rPr>
  </w:style>
  <w:style w:type="paragraph" w:customStyle="1" w:styleId="Style29">
    <w:name w:val="Style 29"/>
    <w:basedOn w:val="Style28"/>
    <w:next w:val="BodyText"/>
    <w:pPr>
      <w:numPr>
        <w:ilvl w:val="4"/>
      </w:numPr>
      <w:spacing w:before="0" w:line="480" w:lineRule="exact"/>
      <w:outlineLvl w:val="4"/>
    </w:pPr>
  </w:style>
  <w:style w:type="paragraph" w:customStyle="1" w:styleId="Style30">
    <w:name w:val="Style 30"/>
    <w:basedOn w:val="Style29"/>
    <w:next w:val="BodyText"/>
    <w:pPr>
      <w:numPr>
        <w:ilvl w:val="5"/>
      </w:numPr>
      <w:spacing w:before="240" w:line="240" w:lineRule="exact"/>
      <w:ind w:firstLine="0"/>
      <w:outlineLvl w:val="5"/>
    </w:pPr>
  </w:style>
  <w:style w:type="paragraph" w:customStyle="1" w:styleId="Style31">
    <w:name w:val="Style 31"/>
    <w:basedOn w:val="Style30"/>
    <w:next w:val="BodyText"/>
    <w:pPr>
      <w:numPr>
        <w:ilvl w:val="6"/>
      </w:numPr>
      <w:outlineLvl w:val="6"/>
    </w:pPr>
  </w:style>
  <w:style w:type="paragraph" w:customStyle="1" w:styleId="Style32">
    <w:name w:val="Style 32"/>
    <w:basedOn w:val="Style31"/>
    <w:next w:val="BodyText"/>
    <w:pPr>
      <w:numPr>
        <w:ilvl w:val="7"/>
      </w:numPr>
      <w:outlineLvl w:val="7"/>
    </w:pPr>
  </w:style>
  <w:style w:type="paragraph" w:customStyle="1" w:styleId="Style33">
    <w:name w:val="Style 33"/>
    <w:basedOn w:val="Style32"/>
    <w:next w:val="BodyText"/>
    <w:pPr>
      <w:numPr>
        <w:ilvl w:val="8"/>
      </w:numPr>
      <w:outlineLvl w:val="8"/>
    </w:pPr>
  </w:style>
  <w:style w:type="paragraph" w:customStyle="1" w:styleId="TabbedL1">
    <w:name w:val="Tabbed_L1"/>
    <w:basedOn w:val="Normal"/>
    <w:pPr>
      <w:numPr>
        <w:numId w:val="3"/>
      </w:numPr>
      <w:spacing w:line="480" w:lineRule="exact"/>
      <w:outlineLvl w:val="0"/>
    </w:pPr>
    <w:rPr>
      <w:sz w:val="28"/>
      <w:szCs w:val="28"/>
    </w:rPr>
  </w:style>
  <w:style w:type="paragraph" w:customStyle="1" w:styleId="TabbedL2">
    <w:name w:val="Tabbed_L2"/>
    <w:basedOn w:val="TabbedL1"/>
    <w:next w:val="Normal"/>
    <w:pPr>
      <w:numPr>
        <w:ilvl w:val="1"/>
      </w:numPr>
      <w:outlineLvl w:val="1"/>
    </w:pPr>
  </w:style>
  <w:style w:type="paragraph" w:customStyle="1" w:styleId="TabbedL3">
    <w:name w:val="Tabbed_L3"/>
    <w:basedOn w:val="TabbedL2"/>
    <w:next w:val="Normal"/>
    <w:pPr>
      <w:numPr>
        <w:ilvl w:val="2"/>
      </w:numPr>
      <w:outlineLvl w:val="2"/>
    </w:pPr>
  </w:style>
  <w:style w:type="paragraph" w:customStyle="1" w:styleId="TabbedL4">
    <w:name w:val="Tabbed_L4"/>
    <w:basedOn w:val="TabbedL3"/>
    <w:next w:val="Normal"/>
    <w:pPr>
      <w:numPr>
        <w:ilvl w:val="3"/>
      </w:numPr>
      <w:outlineLvl w:val="3"/>
    </w:pPr>
  </w:style>
  <w:style w:type="paragraph" w:customStyle="1" w:styleId="TabbedL5">
    <w:name w:val="Tabbed_L5"/>
    <w:basedOn w:val="TabbedL4"/>
    <w:next w:val="Normal"/>
    <w:pPr>
      <w:numPr>
        <w:ilvl w:val="4"/>
      </w:numPr>
      <w:outlineLvl w:val="4"/>
    </w:pPr>
  </w:style>
  <w:style w:type="paragraph" w:customStyle="1" w:styleId="TabbedL6">
    <w:name w:val="Tabbed_L6"/>
    <w:basedOn w:val="TabbedL5"/>
    <w:next w:val="Normal"/>
    <w:pPr>
      <w:numPr>
        <w:ilvl w:val="5"/>
      </w:numPr>
      <w:outlineLvl w:val="5"/>
    </w:pPr>
  </w:style>
  <w:style w:type="paragraph" w:customStyle="1" w:styleId="TabbedL7">
    <w:name w:val="Tabbed_L7"/>
    <w:basedOn w:val="TabbedL6"/>
    <w:next w:val="Normal"/>
    <w:pPr>
      <w:numPr>
        <w:ilvl w:val="6"/>
      </w:numPr>
      <w:outlineLvl w:val="6"/>
    </w:pPr>
  </w:style>
  <w:style w:type="paragraph" w:customStyle="1" w:styleId="TabbedL8">
    <w:name w:val="Tabbed_L8"/>
    <w:basedOn w:val="TabbedL7"/>
    <w:next w:val="Normal"/>
    <w:pPr>
      <w:numPr>
        <w:ilvl w:val="7"/>
      </w:numPr>
      <w:outlineLvl w:val="7"/>
    </w:pPr>
  </w:style>
  <w:style w:type="paragraph" w:customStyle="1" w:styleId="TabbedL9">
    <w:name w:val="Tabbed_L9"/>
    <w:basedOn w:val="TabbedL8"/>
    <w:next w:val="Normal"/>
    <w:pPr>
      <w:numPr>
        <w:ilvl w:val="8"/>
      </w:numPr>
      <w:outlineLvl w:val="8"/>
    </w:pPr>
  </w:style>
  <w:style w:type="paragraph" w:customStyle="1" w:styleId="NumContinue">
    <w:name w:val="Num Continue"/>
    <w:basedOn w:val="BodyText"/>
    <w:pPr>
      <w:ind w:left="130" w:firstLine="0"/>
    </w:pPr>
  </w:style>
  <w:style w:type="paragraph" w:customStyle="1" w:styleId="StandardCont1">
    <w:name w:val="Standard Cont 1"/>
    <w:basedOn w:val="Normal"/>
    <w:pPr>
      <w:widowControl/>
      <w:spacing w:after="240"/>
    </w:pPr>
  </w:style>
  <w:style w:type="paragraph" w:customStyle="1" w:styleId="StandardCont2">
    <w:name w:val="Standard Cont 2"/>
    <w:basedOn w:val="StandardCont1"/>
  </w:style>
  <w:style w:type="paragraph" w:customStyle="1" w:styleId="StandardCont3">
    <w:name w:val="Standard Cont 3"/>
    <w:basedOn w:val="StandardCont2"/>
  </w:style>
  <w:style w:type="paragraph" w:customStyle="1" w:styleId="StandardCont4">
    <w:name w:val="Standard Cont 4"/>
    <w:basedOn w:val="StandardCont3"/>
  </w:style>
  <w:style w:type="paragraph" w:customStyle="1" w:styleId="StandardCont5">
    <w:name w:val="Standard Cont 5"/>
    <w:basedOn w:val="StandardCont4"/>
  </w:style>
  <w:style w:type="paragraph" w:customStyle="1" w:styleId="StandardCont6">
    <w:name w:val="Standard Cont 6"/>
    <w:basedOn w:val="StandardCont5"/>
  </w:style>
  <w:style w:type="paragraph" w:customStyle="1" w:styleId="StandardCont7">
    <w:name w:val="Standard Cont 7"/>
    <w:basedOn w:val="StandardCont6"/>
  </w:style>
  <w:style w:type="paragraph" w:customStyle="1" w:styleId="StandardCont8">
    <w:name w:val="Standard Cont 8"/>
    <w:basedOn w:val="StandardCont7"/>
  </w:style>
  <w:style w:type="paragraph" w:customStyle="1" w:styleId="StandardCont9">
    <w:name w:val="Standard Cont 9"/>
    <w:basedOn w:val="StandardCont8"/>
  </w:style>
  <w:style w:type="paragraph" w:customStyle="1" w:styleId="StandardL1">
    <w:name w:val="Standard_L1"/>
    <w:basedOn w:val="Normal"/>
    <w:next w:val="StandardCont1"/>
    <w:pPr>
      <w:widowControl/>
      <w:numPr>
        <w:numId w:val="4"/>
      </w:numPr>
      <w:spacing w:after="240"/>
      <w:outlineLvl w:val="0"/>
    </w:pPr>
  </w:style>
  <w:style w:type="paragraph" w:customStyle="1" w:styleId="StandardL2">
    <w:name w:val="Standard_L2"/>
    <w:basedOn w:val="StandardL1"/>
    <w:next w:val="StandardCont2"/>
    <w:pPr>
      <w:numPr>
        <w:ilvl w:val="1"/>
      </w:numPr>
      <w:outlineLvl w:val="1"/>
    </w:pPr>
  </w:style>
  <w:style w:type="paragraph" w:customStyle="1" w:styleId="StandardL3">
    <w:name w:val="Standard_L3"/>
    <w:basedOn w:val="StandardL2"/>
    <w:next w:val="StandardCont3"/>
    <w:pPr>
      <w:numPr>
        <w:ilvl w:val="2"/>
      </w:numPr>
      <w:outlineLvl w:val="2"/>
    </w:pPr>
  </w:style>
  <w:style w:type="paragraph" w:customStyle="1" w:styleId="StandardL4">
    <w:name w:val="Standard_L4"/>
    <w:basedOn w:val="StandardL3"/>
    <w:next w:val="StandardCont4"/>
    <w:pPr>
      <w:numPr>
        <w:ilvl w:val="3"/>
      </w:numPr>
      <w:outlineLvl w:val="3"/>
    </w:pPr>
  </w:style>
  <w:style w:type="paragraph" w:customStyle="1" w:styleId="StandardL5">
    <w:name w:val="Standard_L5"/>
    <w:basedOn w:val="StandardL4"/>
    <w:next w:val="StandardCont5"/>
    <w:pPr>
      <w:numPr>
        <w:ilvl w:val="4"/>
      </w:numPr>
      <w:outlineLvl w:val="4"/>
    </w:pPr>
  </w:style>
  <w:style w:type="paragraph" w:customStyle="1" w:styleId="StandardL6">
    <w:name w:val="Standard_L6"/>
    <w:basedOn w:val="StandardL5"/>
    <w:next w:val="StandardCont6"/>
    <w:pPr>
      <w:numPr>
        <w:ilvl w:val="5"/>
      </w:numPr>
      <w:outlineLvl w:val="5"/>
    </w:pPr>
  </w:style>
  <w:style w:type="paragraph" w:customStyle="1" w:styleId="StandardL7">
    <w:name w:val="Standard_L7"/>
    <w:basedOn w:val="StandardL6"/>
    <w:next w:val="StandardCont7"/>
    <w:pPr>
      <w:numPr>
        <w:ilvl w:val="6"/>
      </w:numPr>
      <w:outlineLvl w:val="6"/>
    </w:pPr>
  </w:style>
  <w:style w:type="paragraph" w:customStyle="1" w:styleId="StandardL8">
    <w:name w:val="Standard_L8"/>
    <w:basedOn w:val="StandardL7"/>
    <w:next w:val="StandardCont8"/>
    <w:pPr>
      <w:numPr>
        <w:ilvl w:val="7"/>
      </w:numPr>
      <w:outlineLvl w:val="7"/>
    </w:pPr>
  </w:style>
  <w:style w:type="paragraph" w:customStyle="1" w:styleId="StandardL9">
    <w:name w:val="Standard_L9"/>
    <w:basedOn w:val="StandardL8"/>
    <w:next w:val="StandardCont9"/>
    <w:pPr>
      <w:numPr>
        <w:ilvl w:val="8"/>
      </w:numPr>
      <w:outlineLvl w:val="8"/>
    </w:pPr>
  </w:style>
  <w:style w:type="character" w:styleId="FollowedHyperlink">
    <w:name w:val="FollowedHyperlink"/>
    <w:rPr>
      <w:color w:val="800080"/>
      <w:u w:val="single"/>
    </w:rPr>
  </w:style>
  <w:style w:type="character" w:customStyle="1" w:styleId="FooterChar">
    <w:name w:val="Footer Char"/>
    <w:link w:val="Footer"/>
    <w:uiPriority w:val="99"/>
    <w:rsid w:val="00856F95"/>
    <w:rPr>
      <w:sz w:val="26"/>
    </w:rPr>
  </w:style>
  <w:style w:type="paragraph" w:styleId="PlainText">
    <w:name w:val="Plain Text"/>
    <w:basedOn w:val="Normal"/>
    <w:link w:val="PlainTextChar"/>
    <w:rsid w:val="000528E9"/>
    <w:pPr>
      <w:widowControl/>
      <w:spacing w:line="240" w:lineRule="auto"/>
    </w:pPr>
    <w:rPr>
      <w:rFonts w:ascii="Courier New" w:hAnsi="Courier New" w:cs="Courier New"/>
      <w:sz w:val="20"/>
    </w:rPr>
  </w:style>
  <w:style w:type="character" w:customStyle="1" w:styleId="PlainTextChar">
    <w:name w:val="Plain Text Char"/>
    <w:link w:val="PlainText"/>
    <w:rsid w:val="000528E9"/>
    <w:rPr>
      <w:rFonts w:ascii="Courier New" w:hAnsi="Courier New" w:cs="Courier New"/>
    </w:rPr>
  </w:style>
  <w:style w:type="paragraph" w:customStyle="1" w:styleId="SignatureBlock">
    <w:name w:val="Signature Block"/>
    <w:basedOn w:val="Normal"/>
    <w:rsid w:val="00F2447E"/>
    <w:pPr>
      <w:widowControl/>
      <w:spacing w:line="254" w:lineRule="exact"/>
      <w:ind w:left="4976"/>
    </w:pPr>
    <w:rPr>
      <w:sz w:val="20"/>
    </w:rPr>
  </w:style>
  <w:style w:type="paragraph" w:styleId="BodyTextIndent">
    <w:name w:val="Body Text Indent"/>
    <w:basedOn w:val="Normal"/>
    <w:link w:val="BodyTextIndentChar"/>
    <w:rsid w:val="0061197A"/>
    <w:pPr>
      <w:spacing w:after="120"/>
      <w:ind w:left="360"/>
    </w:pPr>
  </w:style>
  <w:style w:type="character" w:customStyle="1" w:styleId="BodyTextIndentChar">
    <w:name w:val="Body Text Indent Char"/>
    <w:link w:val="BodyTextIndent"/>
    <w:rsid w:val="0061197A"/>
    <w:rPr>
      <w:sz w:val="26"/>
    </w:rPr>
  </w:style>
  <w:style w:type="character" w:customStyle="1" w:styleId="Heading4Char">
    <w:name w:val="Heading 4 Char"/>
    <w:link w:val="Heading4"/>
    <w:rsid w:val="00F828FD"/>
    <w:rPr>
      <w:rFonts w:ascii="Time New Roman" w:hAnsi="Time New Roman"/>
      <w:b/>
      <w:sz w:val="26"/>
    </w:rPr>
  </w:style>
  <w:style w:type="character" w:customStyle="1" w:styleId="Heading6Char">
    <w:name w:val="Heading 6 Char"/>
    <w:link w:val="Heading6"/>
    <w:rsid w:val="00F828FD"/>
    <w:rPr>
      <w:rFonts w:ascii="Time New Roman" w:hAnsi="Time New Roman"/>
      <w:i/>
      <w:sz w:val="26"/>
    </w:rPr>
  </w:style>
  <w:style w:type="character" w:styleId="UnresolvedMention">
    <w:name w:val="Unresolved Mention"/>
    <w:uiPriority w:val="99"/>
    <w:semiHidden/>
    <w:unhideWhenUsed/>
    <w:rsid w:val="0066169A"/>
    <w:rPr>
      <w:color w:val="605E5C"/>
      <w:shd w:val="clear" w:color="auto" w:fill="E1DFDD"/>
    </w:rPr>
  </w:style>
  <w:style w:type="character" w:styleId="CommentReference">
    <w:name w:val="annotation reference"/>
    <w:rsid w:val="00642A86"/>
    <w:rPr>
      <w:sz w:val="16"/>
      <w:szCs w:val="16"/>
    </w:rPr>
  </w:style>
  <w:style w:type="paragraph" w:styleId="CommentText">
    <w:name w:val="annotation text"/>
    <w:basedOn w:val="Normal"/>
    <w:link w:val="CommentTextChar"/>
    <w:rsid w:val="00642A86"/>
    <w:rPr>
      <w:sz w:val="20"/>
    </w:rPr>
  </w:style>
  <w:style w:type="character" w:customStyle="1" w:styleId="CommentTextChar">
    <w:name w:val="Comment Text Char"/>
    <w:basedOn w:val="DefaultParagraphFont"/>
    <w:link w:val="CommentText"/>
    <w:rsid w:val="00642A86"/>
  </w:style>
  <w:style w:type="paragraph" w:styleId="CommentSubject">
    <w:name w:val="annotation subject"/>
    <w:basedOn w:val="CommentText"/>
    <w:next w:val="CommentText"/>
    <w:link w:val="CommentSubjectChar"/>
    <w:rsid w:val="00642A86"/>
    <w:rPr>
      <w:b/>
      <w:bCs/>
    </w:rPr>
  </w:style>
  <w:style w:type="character" w:customStyle="1" w:styleId="CommentSubjectChar">
    <w:name w:val="Comment Subject Char"/>
    <w:link w:val="CommentSubject"/>
    <w:rsid w:val="00642A86"/>
    <w:rPr>
      <w:b/>
      <w:bCs/>
    </w:rPr>
  </w:style>
  <w:style w:type="paragraph" w:styleId="Revision">
    <w:name w:val="Revision"/>
    <w:hidden/>
    <w:uiPriority w:val="99"/>
    <w:semiHidden/>
    <w:rsid w:val="00CB5A2C"/>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670881">
      <w:bodyDiv w:val="1"/>
      <w:marLeft w:val="0"/>
      <w:marRight w:val="0"/>
      <w:marTop w:val="0"/>
      <w:marBottom w:val="0"/>
      <w:divBdr>
        <w:top w:val="none" w:sz="0" w:space="0" w:color="auto"/>
        <w:left w:val="none" w:sz="0" w:space="0" w:color="auto"/>
        <w:bottom w:val="none" w:sz="0" w:space="0" w:color="auto"/>
        <w:right w:val="none" w:sz="0" w:space="0" w:color="auto"/>
      </w:divBdr>
    </w:div>
    <w:div w:id="943652909">
      <w:bodyDiv w:val="1"/>
      <w:marLeft w:val="0"/>
      <w:marRight w:val="0"/>
      <w:marTop w:val="0"/>
      <w:marBottom w:val="0"/>
      <w:divBdr>
        <w:top w:val="none" w:sz="0" w:space="0" w:color="auto"/>
        <w:left w:val="none" w:sz="0" w:space="0" w:color="auto"/>
        <w:bottom w:val="none" w:sz="0" w:space="0" w:color="auto"/>
        <w:right w:val="none" w:sz="0" w:space="0" w:color="auto"/>
      </w:divBdr>
    </w:div>
    <w:div w:id="999848718">
      <w:bodyDiv w:val="1"/>
      <w:marLeft w:val="0"/>
      <w:marRight w:val="0"/>
      <w:marTop w:val="0"/>
      <w:marBottom w:val="0"/>
      <w:divBdr>
        <w:top w:val="none" w:sz="0" w:space="0" w:color="auto"/>
        <w:left w:val="none" w:sz="0" w:space="0" w:color="auto"/>
        <w:bottom w:val="none" w:sz="0" w:space="0" w:color="auto"/>
        <w:right w:val="none" w:sz="0" w:space="0" w:color="auto"/>
      </w:divBdr>
    </w:div>
    <w:div w:id="1068529178">
      <w:bodyDiv w:val="1"/>
      <w:marLeft w:val="0"/>
      <w:marRight w:val="0"/>
      <w:marTop w:val="0"/>
      <w:marBottom w:val="0"/>
      <w:divBdr>
        <w:top w:val="none" w:sz="0" w:space="0" w:color="auto"/>
        <w:left w:val="none" w:sz="0" w:space="0" w:color="auto"/>
        <w:bottom w:val="none" w:sz="0" w:space="0" w:color="auto"/>
        <w:right w:val="none" w:sz="0" w:space="0" w:color="auto"/>
      </w:divBdr>
      <w:divsChild>
        <w:div w:id="248272723">
          <w:marLeft w:val="0"/>
          <w:marRight w:val="0"/>
          <w:marTop w:val="240"/>
          <w:marBottom w:val="0"/>
          <w:divBdr>
            <w:top w:val="none" w:sz="0" w:space="0" w:color="auto"/>
            <w:left w:val="none" w:sz="0" w:space="0" w:color="auto"/>
            <w:bottom w:val="none" w:sz="0" w:space="0" w:color="auto"/>
            <w:right w:val="none" w:sz="0" w:space="0" w:color="auto"/>
          </w:divBdr>
          <w:divsChild>
            <w:div w:id="1007949813">
              <w:marLeft w:val="0"/>
              <w:marRight w:val="0"/>
              <w:marTop w:val="0"/>
              <w:marBottom w:val="0"/>
              <w:divBdr>
                <w:top w:val="none" w:sz="0" w:space="0" w:color="auto"/>
                <w:left w:val="none" w:sz="0" w:space="0" w:color="auto"/>
                <w:bottom w:val="none" w:sz="0" w:space="0" w:color="auto"/>
                <w:right w:val="none" w:sz="0" w:space="0" w:color="auto"/>
              </w:divBdr>
            </w:div>
          </w:divsChild>
        </w:div>
        <w:div w:id="621377896">
          <w:marLeft w:val="0"/>
          <w:marRight w:val="0"/>
          <w:marTop w:val="0"/>
          <w:marBottom w:val="0"/>
          <w:divBdr>
            <w:top w:val="none" w:sz="0" w:space="0" w:color="auto"/>
            <w:left w:val="none" w:sz="0" w:space="0" w:color="auto"/>
            <w:bottom w:val="none" w:sz="0" w:space="0" w:color="auto"/>
            <w:right w:val="none" w:sz="0" w:space="0" w:color="auto"/>
          </w:divBdr>
        </w:div>
        <w:div w:id="974487302">
          <w:marLeft w:val="0"/>
          <w:marRight w:val="0"/>
          <w:marTop w:val="240"/>
          <w:marBottom w:val="0"/>
          <w:divBdr>
            <w:top w:val="none" w:sz="0" w:space="0" w:color="auto"/>
            <w:left w:val="none" w:sz="0" w:space="0" w:color="auto"/>
            <w:bottom w:val="none" w:sz="0" w:space="0" w:color="auto"/>
            <w:right w:val="none" w:sz="0" w:space="0" w:color="auto"/>
          </w:divBdr>
          <w:divsChild>
            <w:div w:id="1558010818">
              <w:marLeft w:val="0"/>
              <w:marRight w:val="0"/>
              <w:marTop w:val="0"/>
              <w:marBottom w:val="0"/>
              <w:divBdr>
                <w:top w:val="none" w:sz="0" w:space="0" w:color="auto"/>
                <w:left w:val="none" w:sz="0" w:space="0" w:color="auto"/>
                <w:bottom w:val="none" w:sz="0" w:space="0" w:color="auto"/>
                <w:right w:val="none" w:sz="0" w:space="0" w:color="auto"/>
              </w:divBdr>
            </w:div>
          </w:divsChild>
        </w:div>
        <w:div w:id="1485007304">
          <w:marLeft w:val="0"/>
          <w:marRight w:val="0"/>
          <w:marTop w:val="240"/>
          <w:marBottom w:val="0"/>
          <w:divBdr>
            <w:top w:val="none" w:sz="0" w:space="0" w:color="auto"/>
            <w:left w:val="none" w:sz="0" w:space="0" w:color="auto"/>
            <w:bottom w:val="none" w:sz="0" w:space="0" w:color="auto"/>
            <w:right w:val="none" w:sz="0" w:space="0" w:color="auto"/>
          </w:divBdr>
          <w:divsChild>
            <w:div w:id="892154232">
              <w:marLeft w:val="0"/>
              <w:marRight w:val="0"/>
              <w:marTop w:val="0"/>
              <w:marBottom w:val="0"/>
              <w:divBdr>
                <w:top w:val="none" w:sz="0" w:space="0" w:color="auto"/>
                <w:left w:val="none" w:sz="0" w:space="0" w:color="auto"/>
                <w:bottom w:val="none" w:sz="0" w:space="0" w:color="auto"/>
                <w:right w:val="none" w:sz="0" w:space="0" w:color="auto"/>
              </w:divBdr>
            </w:div>
          </w:divsChild>
        </w:div>
        <w:div w:id="1620649796">
          <w:marLeft w:val="0"/>
          <w:marRight w:val="0"/>
          <w:marTop w:val="240"/>
          <w:marBottom w:val="0"/>
          <w:divBdr>
            <w:top w:val="none" w:sz="0" w:space="0" w:color="auto"/>
            <w:left w:val="none" w:sz="0" w:space="0" w:color="auto"/>
            <w:bottom w:val="none" w:sz="0" w:space="0" w:color="auto"/>
            <w:right w:val="none" w:sz="0" w:space="0" w:color="auto"/>
          </w:divBdr>
          <w:divsChild>
            <w:div w:id="9086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89799">
      <w:bodyDiv w:val="1"/>
      <w:marLeft w:val="0"/>
      <w:marRight w:val="0"/>
      <w:marTop w:val="0"/>
      <w:marBottom w:val="0"/>
      <w:divBdr>
        <w:top w:val="none" w:sz="0" w:space="0" w:color="auto"/>
        <w:left w:val="none" w:sz="0" w:space="0" w:color="auto"/>
        <w:bottom w:val="none" w:sz="0" w:space="0" w:color="auto"/>
        <w:right w:val="none" w:sz="0" w:space="0" w:color="auto"/>
      </w:divBdr>
    </w:div>
    <w:div w:id="1872568537">
      <w:bodyDiv w:val="1"/>
      <w:marLeft w:val="0"/>
      <w:marRight w:val="0"/>
      <w:marTop w:val="0"/>
      <w:marBottom w:val="0"/>
      <w:divBdr>
        <w:top w:val="none" w:sz="0" w:space="0" w:color="auto"/>
        <w:left w:val="none" w:sz="0" w:space="0" w:color="auto"/>
        <w:bottom w:val="none" w:sz="0" w:space="0" w:color="auto"/>
        <w:right w:val="none" w:sz="0" w:space="0" w:color="auto"/>
      </w:divBdr>
    </w:div>
    <w:div w:id="2018456267">
      <w:bodyDiv w:val="1"/>
      <w:marLeft w:val="0"/>
      <w:marRight w:val="0"/>
      <w:marTop w:val="0"/>
      <w:marBottom w:val="0"/>
      <w:divBdr>
        <w:top w:val="none" w:sz="0" w:space="0" w:color="auto"/>
        <w:left w:val="none" w:sz="0" w:space="0" w:color="auto"/>
        <w:bottom w:val="none" w:sz="0" w:space="0" w:color="auto"/>
        <w:right w:val="none" w:sz="0" w:space="0" w:color="auto"/>
      </w:divBdr>
      <w:divsChild>
        <w:div w:id="1535848586">
          <w:marLeft w:val="0"/>
          <w:marRight w:val="0"/>
          <w:marTop w:val="240"/>
          <w:marBottom w:val="0"/>
          <w:divBdr>
            <w:top w:val="none" w:sz="0" w:space="0" w:color="auto"/>
            <w:left w:val="none" w:sz="0" w:space="0" w:color="auto"/>
            <w:bottom w:val="none" w:sz="0" w:space="0" w:color="auto"/>
            <w:right w:val="none" w:sz="0" w:space="0" w:color="auto"/>
          </w:divBdr>
          <w:divsChild>
            <w:div w:id="1724792875">
              <w:marLeft w:val="0"/>
              <w:marRight w:val="0"/>
              <w:marTop w:val="0"/>
              <w:marBottom w:val="0"/>
              <w:divBdr>
                <w:top w:val="none" w:sz="0" w:space="0" w:color="auto"/>
                <w:left w:val="none" w:sz="0" w:space="0" w:color="auto"/>
                <w:bottom w:val="none" w:sz="0" w:space="0" w:color="auto"/>
                <w:right w:val="none" w:sz="0" w:space="0" w:color="auto"/>
              </w:divBdr>
            </w:div>
          </w:divsChild>
        </w:div>
        <w:div w:id="1849439376">
          <w:marLeft w:val="0"/>
          <w:marRight w:val="0"/>
          <w:marTop w:val="240"/>
          <w:marBottom w:val="0"/>
          <w:divBdr>
            <w:top w:val="none" w:sz="0" w:space="0" w:color="auto"/>
            <w:left w:val="none" w:sz="0" w:space="0" w:color="auto"/>
            <w:bottom w:val="none" w:sz="0" w:space="0" w:color="auto"/>
            <w:right w:val="none" w:sz="0" w:space="0" w:color="auto"/>
          </w:divBdr>
          <w:divsChild>
            <w:div w:id="2027246601">
              <w:marLeft w:val="0"/>
              <w:marRight w:val="0"/>
              <w:marTop w:val="0"/>
              <w:marBottom w:val="0"/>
              <w:divBdr>
                <w:top w:val="none" w:sz="0" w:space="0" w:color="auto"/>
                <w:left w:val="none" w:sz="0" w:space="0" w:color="auto"/>
                <w:bottom w:val="none" w:sz="0" w:space="0" w:color="auto"/>
                <w:right w:val="none" w:sz="0" w:space="0" w:color="auto"/>
              </w:divBdr>
              <w:divsChild>
                <w:div w:id="71770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0647">
          <w:marLeft w:val="0"/>
          <w:marRight w:val="0"/>
          <w:marTop w:val="240"/>
          <w:marBottom w:val="0"/>
          <w:divBdr>
            <w:top w:val="none" w:sz="0" w:space="0" w:color="auto"/>
            <w:left w:val="none" w:sz="0" w:space="0" w:color="auto"/>
            <w:bottom w:val="none" w:sz="0" w:space="0" w:color="auto"/>
            <w:right w:val="none" w:sz="0" w:space="0" w:color="auto"/>
          </w:divBdr>
          <w:divsChild>
            <w:div w:id="155536963">
              <w:marLeft w:val="0"/>
              <w:marRight w:val="0"/>
              <w:marTop w:val="0"/>
              <w:marBottom w:val="0"/>
              <w:divBdr>
                <w:top w:val="none" w:sz="0" w:space="0" w:color="auto"/>
                <w:left w:val="none" w:sz="0" w:space="0" w:color="auto"/>
                <w:bottom w:val="none" w:sz="0" w:space="0" w:color="auto"/>
                <w:right w:val="none" w:sz="0" w:space="0" w:color="auto"/>
              </w:divBdr>
              <w:divsChild>
                <w:div w:id="12277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53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clerkofcourt@wzplega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acPac\Firm\Pleading%20A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B8CE5-3748-4483-8A3E-023E6425B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Pleading AZ.dot</Template>
  <TotalTime>2</TotalTime>
  <Pages>11</Pages>
  <Words>2497</Words>
  <Characters>13788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lpstr>
    </vt:vector>
  </TitlesOfParts>
  <Company>Windows User</Company>
  <LinksUpToDate>false</LinksUpToDate>
  <CharactersWithSpaces>16253</CharactersWithSpaces>
  <SharedDoc>false</SharedDoc>
  <HLinks>
    <vt:vector size="6" baseType="variant">
      <vt:variant>
        <vt:i4>2555931</vt:i4>
      </vt:variant>
      <vt:variant>
        <vt:i4>3</vt:i4>
      </vt:variant>
      <vt:variant>
        <vt:i4>0</vt:i4>
      </vt:variant>
      <vt:variant>
        <vt:i4>5</vt:i4>
      </vt:variant>
      <vt:variant>
        <vt:lpwstr>mailto:clerkofcourt@wzplegal.com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MRROSS</dc:creator>
  <cp:keywords> </cp:keywords>
  <cp:lastModifiedBy>Tatianna Dunne</cp:lastModifiedBy>
  <cp:revision>3</cp:revision>
  <cp:lastPrinted>2023-03-07T22:57:00Z</cp:lastPrinted>
  <dcterms:created xsi:type="dcterms:W3CDTF">2024-04-16T16:15:00Z</dcterms:created>
  <dcterms:modified xsi:type="dcterms:W3CDTF">2024-04-16T16:16:00Z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ABAAdnH19QYq2YWIz5cMte6B9h9wud81inZgkc/sttxaKDjjL+YX/YLKAY7nyXVMwZqy</vt:lpwstr>
  </property>
  <property fmtid="{D5CDD505-2E9C-101B-9397-08002B2CF9AE}" pid="3" name="RESPONSE_SENDER_NAME">
    <vt:lpwstr>sAAA2RgG6J6jCJ2DKQuowo0npoEVnhH/XVrQKO6cvYr69yA=</vt:lpwstr>
  </property>
  <property fmtid="{D5CDD505-2E9C-101B-9397-08002B2CF9AE}" pid="4" name="EMAIL_OWNER_ADDRESS">
    <vt:lpwstr>sAAAE9kkUq3pEoLM6w4ziDaVyrIR0MXjwsvcgAvtZPc7TUo=</vt:lpwstr>
  </property>
</Properties>
</file>