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0D4AA337" w14:textId="77777777" w:rsidR="006F63FD" w:rsidRDefault="00867EF8" w:rsidP="00735659">
            <w:pPr>
              <w:pStyle w:val="FirmInformation"/>
              <w:spacing w:line="240" w:lineRule="auto"/>
              <w:rPr>
                <w:sz w:val="28"/>
                <w:szCs w:val="28"/>
              </w:rPr>
            </w:pPr>
            <w:bookmarkStart w:id="0" w:name="_zzmpFIXED_CounselTable"/>
            <w:r>
              <w:rPr>
                <w:sz w:val="28"/>
                <w:szCs w:val="28"/>
              </w:rPr>
              <w:t>D. Douglas Metcalf</w:t>
            </w:r>
          </w:p>
          <w:p w14:paraId="567B43D1" w14:textId="77777777" w:rsidR="00867EF8" w:rsidRDefault="00867EF8" w:rsidP="00735659">
            <w:pPr>
              <w:pStyle w:val="FirmInformation"/>
              <w:spacing w:line="240" w:lineRule="auto"/>
              <w:rPr>
                <w:sz w:val="28"/>
                <w:szCs w:val="28"/>
              </w:rPr>
            </w:pPr>
            <w:r>
              <w:rPr>
                <w:sz w:val="28"/>
                <w:szCs w:val="28"/>
              </w:rPr>
              <w:t>Judge of the Superior Court</w:t>
            </w:r>
          </w:p>
          <w:p w14:paraId="3FDF87D0" w14:textId="64528B54" w:rsidR="00867EF8" w:rsidRDefault="00223D7B" w:rsidP="00735659">
            <w:pPr>
              <w:pStyle w:val="FirmInformation"/>
              <w:spacing w:line="240" w:lineRule="auto"/>
              <w:rPr>
                <w:sz w:val="28"/>
                <w:szCs w:val="28"/>
              </w:rPr>
            </w:pPr>
            <w:r>
              <w:rPr>
                <w:sz w:val="28"/>
                <w:szCs w:val="28"/>
              </w:rPr>
              <w:t>i</w:t>
            </w:r>
            <w:r w:rsidR="00EE03F1">
              <w:rPr>
                <w:sz w:val="28"/>
                <w:szCs w:val="28"/>
              </w:rPr>
              <w:t xml:space="preserve">n and for </w:t>
            </w:r>
            <w:r w:rsidR="00867EF8">
              <w:rPr>
                <w:sz w:val="28"/>
                <w:szCs w:val="28"/>
              </w:rPr>
              <w:t>Pima County</w:t>
            </w:r>
          </w:p>
          <w:p w14:paraId="1DE1A064" w14:textId="77777777" w:rsidR="00867EF8" w:rsidRDefault="00867EF8" w:rsidP="00735659">
            <w:pPr>
              <w:pStyle w:val="FirmInformation"/>
              <w:spacing w:line="240" w:lineRule="auto"/>
              <w:rPr>
                <w:sz w:val="28"/>
                <w:szCs w:val="28"/>
              </w:rPr>
            </w:pPr>
            <w:r>
              <w:rPr>
                <w:sz w:val="28"/>
                <w:szCs w:val="28"/>
              </w:rPr>
              <w:t>Ariz. Bar No. 017377</w:t>
            </w:r>
          </w:p>
          <w:p w14:paraId="044FE2A7" w14:textId="77777777" w:rsidR="00867EF8" w:rsidRDefault="00867EF8" w:rsidP="00735659">
            <w:pPr>
              <w:pStyle w:val="FirmInformation"/>
              <w:spacing w:line="240" w:lineRule="auto"/>
              <w:rPr>
                <w:sz w:val="28"/>
                <w:szCs w:val="28"/>
              </w:rPr>
            </w:pPr>
            <w:r>
              <w:rPr>
                <w:sz w:val="28"/>
                <w:szCs w:val="28"/>
              </w:rPr>
              <w:t>110 West Congress</w:t>
            </w:r>
          </w:p>
          <w:p w14:paraId="6D872B16" w14:textId="77777777" w:rsidR="00867EF8" w:rsidRDefault="00867EF8" w:rsidP="00735659">
            <w:pPr>
              <w:pStyle w:val="FirmInformation"/>
              <w:spacing w:line="240" w:lineRule="auto"/>
              <w:rPr>
                <w:sz w:val="28"/>
                <w:szCs w:val="28"/>
              </w:rPr>
            </w:pPr>
            <w:r>
              <w:rPr>
                <w:sz w:val="28"/>
                <w:szCs w:val="28"/>
              </w:rPr>
              <w:t>Tucson, AZ  85701</w:t>
            </w:r>
          </w:p>
          <w:p w14:paraId="187AAFA7" w14:textId="77777777" w:rsidR="00867EF8" w:rsidRDefault="00867EF8" w:rsidP="00735659">
            <w:pPr>
              <w:pStyle w:val="FirmInformation"/>
              <w:spacing w:line="240" w:lineRule="auto"/>
              <w:rPr>
                <w:sz w:val="28"/>
                <w:szCs w:val="28"/>
              </w:rPr>
            </w:pPr>
            <w:r>
              <w:rPr>
                <w:sz w:val="28"/>
                <w:szCs w:val="28"/>
              </w:rPr>
              <w:t>Ph. (520) 724-3708</w:t>
            </w:r>
          </w:p>
          <w:p w14:paraId="7B3DBC20" w14:textId="58D8A4AF" w:rsidR="00DE52B1" w:rsidRPr="00735659" w:rsidRDefault="00DE52B1" w:rsidP="00735659">
            <w:pPr>
              <w:pStyle w:val="FirmInformation"/>
              <w:spacing w:line="240" w:lineRule="auto"/>
              <w:rPr>
                <w:sz w:val="28"/>
                <w:szCs w:val="28"/>
              </w:rPr>
            </w:pPr>
            <w:r>
              <w:rPr>
                <w:sz w:val="28"/>
                <w:szCs w:val="28"/>
              </w:rPr>
              <w:t>Email: dmetcalf@sc.pima.gov</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C61194" w:rsidR="000C48A9" w:rsidRPr="00656C06" w:rsidRDefault="00BB3BC7" w:rsidP="00000C35">
      <w:pPr>
        <w:pStyle w:val="Court"/>
        <w:spacing w:line="240" w:lineRule="auto"/>
        <w:rPr>
          <w:bCs/>
          <w:sz w:val="28"/>
          <w:szCs w:val="28"/>
        </w:rPr>
      </w:pPr>
      <w:r>
        <w:rPr>
          <w:bCs/>
          <w:sz w:val="28"/>
          <w:szCs w:val="28"/>
        </w:rPr>
        <w:t xml:space="preserve">ARIZONA </w:t>
      </w:r>
      <w:r w:rsidR="000F7A7F" w:rsidRPr="00656C06">
        <w:rPr>
          <w:bCs/>
          <w:sz w:val="28"/>
          <w:szCs w:val="28"/>
        </w:rPr>
        <w:t>SUPREME COURT</w:t>
      </w:r>
      <w:r w:rsidR="000F7A7F" w:rsidRPr="00656C06">
        <w:rPr>
          <w:bCs/>
          <w:sz w:val="28"/>
          <w:szCs w:val="28"/>
        </w:rPr>
        <w:br/>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56C06" w:rsidRDefault="00357F4D" w:rsidP="00E321C5">
            <w:pPr>
              <w:pStyle w:val="Caption"/>
              <w:spacing w:before="240" w:line="260" w:lineRule="exact"/>
              <w:rPr>
                <w:sz w:val="28"/>
                <w:szCs w:val="28"/>
              </w:rPr>
            </w:pPr>
            <w:bookmarkStart w:id="1" w:name="_zzmpFIXED_CaptionTable"/>
            <w:r w:rsidRPr="00656C06">
              <w:rPr>
                <w:sz w:val="28"/>
                <w:szCs w:val="28"/>
              </w:rPr>
              <w:t>In the Matter of:</w:t>
            </w:r>
          </w:p>
          <w:p w14:paraId="03963DD5" w14:textId="24DC1864" w:rsidR="00357F4D" w:rsidRPr="00186136" w:rsidRDefault="00E67511" w:rsidP="0095731B">
            <w:pPr>
              <w:pStyle w:val="Caption"/>
              <w:spacing w:before="240" w:line="240" w:lineRule="auto"/>
              <w:rPr>
                <w:b/>
                <w:sz w:val="28"/>
                <w:szCs w:val="28"/>
              </w:rPr>
            </w:pPr>
            <w:r w:rsidRPr="00656C06">
              <w:rPr>
                <w:sz w:val="28"/>
                <w:szCs w:val="28"/>
              </w:rPr>
              <w:t xml:space="preserve">PETITION TO </w:t>
            </w:r>
            <w:r w:rsidR="00186136" w:rsidRPr="00656C06">
              <w:rPr>
                <w:sz w:val="28"/>
                <w:szCs w:val="28"/>
              </w:rPr>
              <w:t xml:space="preserve">AMEND </w:t>
            </w:r>
            <w:r w:rsidR="00867EF8">
              <w:rPr>
                <w:sz w:val="28"/>
                <w:szCs w:val="28"/>
              </w:rPr>
              <w:t>THE RULES OF SPECIAL ACTION PROCEDURE</w:t>
            </w:r>
            <w:r w:rsidR="00186136">
              <w:rPr>
                <w:b/>
                <w:sz w:val="28"/>
                <w:szCs w:val="28"/>
              </w:rPr>
              <w:br/>
            </w:r>
          </w:p>
        </w:tc>
        <w:tc>
          <w:tcPr>
            <w:tcW w:w="4524" w:type="dxa"/>
            <w:tcBorders>
              <w:top w:val="nil"/>
              <w:left w:val="single" w:sz="4" w:space="0" w:color="auto"/>
            </w:tcBorders>
            <w:shd w:val="clear" w:color="auto" w:fill="auto"/>
          </w:tcPr>
          <w:p w14:paraId="35CED5CB" w14:textId="6188DE3D"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867EF8">
              <w:rPr>
                <w:sz w:val="28"/>
                <w:szCs w:val="28"/>
              </w:rPr>
              <w:t>3</w:t>
            </w:r>
            <w:r w:rsidR="00F850BE">
              <w:rPr>
                <w:sz w:val="28"/>
                <w:szCs w:val="28"/>
              </w:rPr>
              <w:t>-</w:t>
            </w:r>
            <w:r w:rsidR="00186136">
              <w:rPr>
                <w:sz w:val="28"/>
                <w:szCs w:val="28"/>
              </w:rPr>
              <w:t>00</w:t>
            </w:r>
            <w:r w:rsidR="00867EF8">
              <w:rPr>
                <w:sz w:val="28"/>
                <w:szCs w:val="28"/>
              </w:rPr>
              <w:t>55</w:t>
            </w:r>
          </w:p>
          <w:p w14:paraId="5AEC962D" w14:textId="54614C9F" w:rsidR="00357F4D" w:rsidRPr="00186136" w:rsidRDefault="00A4249C" w:rsidP="009F6202">
            <w:pPr>
              <w:pStyle w:val="Caption"/>
              <w:tabs>
                <w:tab w:val="left" w:pos="1238"/>
              </w:tabs>
              <w:spacing w:line="260" w:lineRule="exact"/>
              <w:ind w:left="257" w:right="115"/>
              <w:rPr>
                <w:b/>
                <w:sz w:val="28"/>
                <w:szCs w:val="28"/>
              </w:rPr>
            </w:pPr>
            <w:r w:rsidRPr="00186136">
              <w:rPr>
                <w:b/>
                <w:sz w:val="28"/>
                <w:szCs w:val="28"/>
              </w:rPr>
              <w:t>COMMENT</w:t>
            </w:r>
            <w:r w:rsidR="009F6202">
              <w:rPr>
                <w:b/>
                <w:sz w:val="28"/>
                <w:szCs w:val="28"/>
              </w:rPr>
              <w:t xml:space="preserve"> </w:t>
            </w:r>
            <w:r w:rsidR="003E01A2">
              <w:rPr>
                <w:b/>
                <w:sz w:val="28"/>
                <w:szCs w:val="28"/>
              </w:rPr>
              <w:t>TO</w:t>
            </w:r>
            <w:r w:rsidR="009F6202" w:rsidRPr="009F6202">
              <w:rPr>
                <w:b/>
                <w:sz w:val="28"/>
                <w:szCs w:val="28"/>
              </w:rPr>
              <w:t xml:space="preserve"> PETITION TO AMEND THE RULES OF PROCEDURE FOR SPECIAL ACTIONS</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tbl>
    <w:p w14:paraId="56C8C582" w14:textId="62816C2F" w:rsidR="00867EF8" w:rsidRDefault="009F6202" w:rsidP="00867EF8">
      <w:pPr>
        <w:pStyle w:val="Body"/>
        <w:widowControl w:val="0"/>
        <w:spacing w:before="240"/>
        <w:ind w:firstLine="720"/>
        <w:rPr>
          <w:sz w:val="28"/>
          <w:szCs w:val="28"/>
        </w:rPr>
      </w:pPr>
      <w:bookmarkStart w:id="2" w:name="_Hlk162949055"/>
      <w:bookmarkEnd w:id="1"/>
      <w:r>
        <w:rPr>
          <w:sz w:val="28"/>
          <w:szCs w:val="28"/>
        </w:rPr>
        <w:t>P</w:t>
      </w:r>
      <w:r w:rsidR="0008003D" w:rsidRPr="007B7449">
        <w:rPr>
          <w:sz w:val="28"/>
          <w:szCs w:val="28"/>
        </w:rPr>
        <w:t xml:space="preserve">ursuant to </w:t>
      </w:r>
      <w:r w:rsidR="007B5AA4">
        <w:rPr>
          <w:sz w:val="28"/>
          <w:szCs w:val="28"/>
        </w:rPr>
        <w:t xml:space="preserve">Supreme Court </w:t>
      </w:r>
      <w:r w:rsidR="0008003D" w:rsidRPr="007B7449">
        <w:rPr>
          <w:sz w:val="28"/>
          <w:szCs w:val="28"/>
        </w:rPr>
        <w:t>Rule 28(</w:t>
      </w:r>
      <w:r w:rsidR="00A4249C">
        <w:rPr>
          <w:sz w:val="28"/>
          <w:szCs w:val="28"/>
        </w:rPr>
        <w:t>e</w:t>
      </w:r>
      <w:r w:rsidR="0008003D" w:rsidRPr="007B7449">
        <w:rPr>
          <w:sz w:val="28"/>
          <w:szCs w:val="28"/>
        </w:rPr>
        <w:t>),</w:t>
      </w:r>
      <w:r w:rsidR="00867EF8">
        <w:rPr>
          <w:sz w:val="28"/>
          <w:szCs w:val="28"/>
        </w:rPr>
        <w:t xml:space="preserve"> I am submitting this comment</w:t>
      </w:r>
      <w:r w:rsidR="0008003D" w:rsidRPr="007B7449">
        <w:rPr>
          <w:sz w:val="28"/>
          <w:szCs w:val="28"/>
        </w:rPr>
        <w:t xml:space="preserve"> </w:t>
      </w:r>
      <w:r w:rsidR="00867EF8">
        <w:rPr>
          <w:sz w:val="28"/>
          <w:szCs w:val="28"/>
        </w:rPr>
        <w:t xml:space="preserve">to address one issue of the proposed amendments to the Rules of Procedure of Special Actions; namely, </w:t>
      </w:r>
      <w:r w:rsidR="00E439A2">
        <w:rPr>
          <w:sz w:val="28"/>
          <w:szCs w:val="28"/>
        </w:rPr>
        <w:t xml:space="preserve">Rule 17(c), which requires the </w:t>
      </w:r>
      <w:r w:rsidR="00A00269">
        <w:rPr>
          <w:sz w:val="28"/>
          <w:szCs w:val="28"/>
        </w:rPr>
        <w:t xml:space="preserve">appellate </w:t>
      </w:r>
      <w:r w:rsidR="00461299">
        <w:rPr>
          <w:sz w:val="28"/>
          <w:szCs w:val="28"/>
        </w:rPr>
        <w:t>c</w:t>
      </w:r>
      <w:r w:rsidR="00867EF8">
        <w:rPr>
          <w:sz w:val="28"/>
          <w:szCs w:val="28"/>
        </w:rPr>
        <w:t xml:space="preserve">ourt </w:t>
      </w:r>
      <w:r w:rsidR="00E439A2">
        <w:rPr>
          <w:sz w:val="28"/>
          <w:szCs w:val="28"/>
        </w:rPr>
        <w:t xml:space="preserve">to issue a mandate following </w:t>
      </w:r>
      <w:r w:rsidR="00867EF8">
        <w:rPr>
          <w:sz w:val="28"/>
          <w:szCs w:val="28"/>
        </w:rPr>
        <w:t>a special action appeal.</w:t>
      </w:r>
      <w:r w:rsidR="007B5AA4">
        <w:rPr>
          <w:sz w:val="28"/>
          <w:szCs w:val="28"/>
        </w:rPr>
        <w:t xml:space="preserve">  </w:t>
      </w:r>
      <w:r w:rsidR="00527755">
        <w:rPr>
          <w:sz w:val="28"/>
          <w:szCs w:val="28"/>
        </w:rPr>
        <w:t xml:space="preserve">I </w:t>
      </w:r>
      <w:r w:rsidR="007B5AA4">
        <w:rPr>
          <w:sz w:val="28"/>
          <w:szCs w:val="28"/>
        </w:rPr>
        <w:t>suggest eliminat</w:t>
      </w:r>
      <w:r w:rsidR="00527755">
        <w:rPr>
          <w:sz w:val="28"/>
          <w:szCs w:val="28"/>
        </w:rPr>
        <w:t>ing</w:t>
      </w:r>
      <w:r w:rsidR="007B5AA4">
        <w:rPr>
          <w:sz w:val="28"/>
          <w:szCs w:val="28"/>
        </w:rPr>
        <w:t xml:space="preserve"> the use of a mandate in special action appeals because a mandate is used to return jurisdiction to the trial </w:t>
      </w:r>
      <w:r w:rsidR="00E16666">
        <w:rPr>
          <w:sz w:val="28"/>
          <w:szCs w:val="28"/>
        </w:rPr>
        <w:t>court,</w:t>
      </w:r>
      <w:r w:rsidR="007B5AA4">
        <w:rPr>
          <w:sz w:val="28"/>
          <w:szCs w:val="28"/>
        </w:rPr>
        <w:t xml:space="preserve"> but the trial court never loses jurisdiction during a special action appeal.</w:t>
      </w:r>
      <w:r w:rsidR="00A00269">
        <w:rPr>
          <w:sz w:val="28"/>
          <w:szCs w:val="28"/>
        </w:rPr>
        <w:t xml:space="preserve">  The appellate court’s order either denying </w:t>
      </w:r>
      <w:r w:rsidR="00180BD9">
        <w:rPr>
          <w:sz w:val="28"/>
          <w:szCs w:val="28"/>
        </w:rPr>
        <w:t xml:space="preserve">special action </w:t>
      </w:r>
      <w:r w:rsidR="00A00269">
        <w:rPr>
          <w:sz w:val="28"/>
          <w:szCs w:val="28"/>
        </w:rPr>
        <w:t xml:space="preserve">jurisdiction or accepting jurisdiction and then either granting or denying relief is sufficient to direct the trial court to </w:t>
      </w:r>
      <w:r w:rsidR="00527755">
        <w:rPr>
          <w:sz w:val="28"/>
          <w:szCs w:val="28"/>
        </w:rPr>
        <w:t xml:space="preserve">carry out the </w:t>
      </w:r>
      <w:r w:rsidR="00A00269">
        <w:rPr>
          <w:sz w:val="28"/>
          <w:szCs w:val="28"/>
        </w:rPr>
        <w:t>appellate court’s ruling.</w:t>
      </w:r>
    </w:p>
    <w:p w14:paraId="34AFE1A5" w14:textId="3407A807" w:rsidR="00A82621" w:rsidRPr="00A82621" w:rsidRDefault="00A82621" w:rsidP="00A00269">
      <w:pPr>
        <w:pStyle w:val="Body"/>
        <w:keepNext/>
        <w:keepLines/>
        <w:ind w:firstLine="0"/>
        <w:jc w:val="center"/>
        <w:rPr>
          <w:b/>
          <w:bCs/>
          <w:smallCaps/>
          <w:sz w:val="28"/>
          <w:szCs w:val="28"/>
        </w:rPr>
      </w:pPr>
      <w:r>
        <w:rPr>
          <w:b/>
          <w:bCs/>
          <w:smallCaps/>
          <w:sz w:val="28"/>
          <w:szCs w:val="28"/>
        </w:rPr>
        <w:t>Introduction</w:t>
      </w:r>
    </w:p>
    <w:p w14:paraId="1B96BF4E" w14:textId="0A7395CD" w:rsidR="00867EF8" w:rsidRDefault="006276D7" w:rsidP="009F6202">
      <w:pPr>
        <w:pStyle w:val="Body"/>
        <w:widowControl w:val="0"/>
        <w:ind w:firstLine="720"/>
        <w:rPr>
          <w:sz w:val="28"/>
          <w:szCs w:val="28"/>
        </w:rPr>
      </w:pPr>
      <w:r>
        <w:rPr>
          <w:sz w:val="28"/>
          <w:szCs w:val="28"/>
        </w:rPr>
        <w:t xml:space="preserve">I join with others in commending the Supreme Court for appointing the Task Force to review and update the </w:t>
      </w:r>
      <w:r w:rsidRPr="006276D7">
        <w:rPr>
          <w:sz w:val="28"/>
          <w:szCs w:val="28"/>
        </w:rPr>
        <w:t>Rules of Procedure of Special Actions</w:t>
      </w:r>
      <w:r>
        <w:rPr>
          <w:sz w:val="28"/>
          <w:szCs w:val="28"/>
        </w:rPr>
        <w:t xml:space="preserve">.  </w:t>
      </w:r>
      <w:r w:rsidR="00527755">
        <w:rPr>
          <w:sz w:val="28"/>
          <w:szCs w:val="28"/>
        </w:rPr>
        <w:t xml:space="preserve">The Task </w:t>
      </w:r>
      <w:r w:rsidR="00527755">
        <w:rPr>
          <w:sz w:val="28"/>
          <w:szCs w:val="28"/>
        </w:rPr>
        <w:lastRenderedPageBreak/>
        <w:t>Force</w:t>
      </w:r>
      <w:r w:rsidR="00BD3CD2">
        <w:rPr>
          <w:sz w:val="28"/>
          <w:szCs w:val="28"/>
        </w:rPr>
        <w:t xml:space="preserve"> has done yeoman</w:t>
      </w:r>
      <w:r w:rsidR="00527755">
        <w:rPr>
          <w:sz w:val="28"/>
          <w:szCs w:val="28"/>
        </w:rPr>
        <w:t xml:space="preserve">’s </w:t>
      </w:r>
      <w:r w:rsidR="00AF5CE5">
        <w:rPr>
          <w:sz w:val="28"/>
          <w:szCs w:val="28"/>
        </w:rPr>
        <w:t>work</w:t>
      </w:r>
      <w:r w:rsidR="00BD3CD2">
        <w:rPr>
          <w:sz w:val="28"/>
          <w:szCs w:val="28"/>
        </w:rPr>
        <w:t xml:space="preserve"> </w:t>
      </w:r>
      <w:r w:rsidR="00180BD9">
        <w:rPr>
          <w:sz w:val="28"/>
          <w:szCs w:val="28"/>
        </w:rPr>
        <w:t xml:space="preserve">in </w:t>
      </w:r>
      <w:r w:rsidR="00AF5CE5">
        <w:rPr>
          <w:sz w:val="28"/>
          <w:szCs w:val="28"/>
        </w:rPr>
        <w:t xml:space="preserve">rewriting </w:t>
      </w:r>
      <w:r w:rsidR="00180BD9">
        <w:rPr>
          <w:sz w:val="28"/>
          <w:szCs w:val="28"/>
        </w:rPr>
        <w:t xml:space="preserve">and modernizing </w:t>
      </w:r>
      <w:r w:rsidR="00527755">
        <w:rPr>
          <w:sz w:val="28"/>
          <w:szCs w:val="28"/>
        </w:rPr>
        <w:t>the special action rules</w:t>
      </w:r>
      <w:r>
        <w:rPr>
          <w:sz w:val="28"/>
          <w:szCs w:val="28"/>
        </w:rPr>
        <w:t xml:space="preserve">.  I have only one small suggestion about the proposed rule amendments, which is that in a special action appeal, the case should not remain in limbo between the time the </w:t>
      </w:r>
      <w:r w:rsidR="007B5AA4">
        <w:rPr>
          <w:sz w:val="28"/>
          <w:szCs w:val="28"/>
        </w:rPr>
        <w:t>c</w:t>
      </w:r>
      <w:r>
        <w:rPr>
          <w:sz w:val="28"/>
          <w:szCs w:val="28"/>
        </w:rPr>
        <w:t xml:space="preserve">ourt of </w:t>
      </w:r>
      <w:r w:rsidR="007B5AA4">
        <w:rPr>
          <w:sz w:val="28"/>
          <w:szCs w:val="28"/>
        </w:rPr>
        <w:t>a</w:t>
      </w:r>
      <w:r>
        <w:rPr>
          <w:sz w:val="28"/>
          <w:szCs w:val="28"/>
        </w:rPr>
        <w:t xml:space="preserve">ppeals </w:t>
      </w:r>
      <w:r w:rsidR="00461299">
        <w:rPr>
          <w:sz w:val="28"/>
          <w:szCs w:val="28"/>
        </w:rPr>
        <w:t>issu</w:t>
      </w:r>
      <w:r w:rsidR="00314B73">
        <w:rPr>
          <w:sz w:val="28"/>
          <w:szCs w:val="28"/>
        </w:rPr>
        <w:t>es</w:t>
      </w:r>
      <w:r w:rsidR="00461299">
        <w:rPr>
          <w:sz w:val="28"/>
          <w:szCs w:val="28"/>
        </w:rPr>
        <w:t xml:space="preserve"> a decision </w:t>
      </w:r>
      <w:r>
        <w:rPr>
          <w:sz w:val="28"/>
          <w:szCs w:val="28"/>
        </w:rPr>
        <w:t>and the</w:t>
      </w:r>
      <w:r w:rsidR="00461299">
        <w:rPr>
          <w:sz w:val="28"/>
          <w:szCs w:val="28"/>
        </w:rPr>
        <w:t>n later issu</w:t>
      </w:r>
      <w:r w:rsidR="00314B73">
        <w:rPr>
          <w:sz w:val="28"/>
          <w:szCs w:val="28"/>
        </w:rPr>
        <w:t>es</w:t>
      </w:r>
      <w:r w:rsidR="00461299">
        <w:rPr>
          <w:sz w:val="28"/>
          <w:szCs w:val="28"/>
        </w:rPr>
        <w:t xml:space="preserve"> a </w:t>
      </w:r>
      <w:r>
        <w:rPr>
          <w:sz w:val="28"/>
          <w:szCs w:val="28"/>
        </w:rPr>
        <w:t>mandate.</w:t>
      </w:r>
      <w:r w:rsidR="009D5422">
        <w:rPr>
          <w:sz w:val="28"/>
          <w:szCs w:val="28"/>
        </w:rPr>
        <w:t xml:space="preserve">  </w:t>
      </w:r>
      <w:r w:rsidR="00314B73">
        <w:rPr>
          <w:sz w:val="28"/>
          <w:szCs w:val="28"/>
        </w:rPr>
        <w:t xml:space="preserve">On average, that </w:t>
      </w:r>
      <w:r w:rsidR="00252BD3">
        <w:rPr>
          <w:sz w:val="28"/>
          <w:szCs w:val="28"/>
        </w:rPr>
        <w:t xml:space="preserve">delay is </w:t>
      </w:r>
      <w:r w:rsidR="005651BE">
        <w:rPr>
          <w:sz w:val="28"/>
          <w:szCs w:val="28"/>
        </w:rPr>
        <w:t>37</w:t>
      </w:r>
      <w:r w:rsidR="00252BD3">
        <w:rPr>
          <w:sz w:val="28"/>
          <w:szCs w:val="28"/>
        </w:rPr>
        <w:t xml:space="preserve"> days.  During that time, it is unclear </w:t>
      </w:r>
      <w:r w:rsidR="00314B73">
        <w:rPr>
          <w:sz w:val="28"/>
          <w:szCs w:val="28"/>
        </w:rPr>
        <w:t xml:space="preserve">whether the </w:t>
      </w:r>
      <w:r w:rsidR="00180BD9">
        <w:rPr>
          <w:sz w:val="28"/>
          <w:szCs w:val="28"/>
        </w:rPr>
        <w:t>trial court</w:t>
      </w:r>
      <w:r w:rsidR="007B5AA4">
        <w:rPr>
          <w:sz w:val="28"/>
          <w:szCs w:val="28"/>
        </w:rPr>
        <w:t>, which never loses jurisdiction,</w:t>
      </w:r>
      <w:r w:rsidR="00314B73">
        <w:rPr>
          <w:sz w:val="28"/>
          <w:szCs w:val="28"/>
        </w:rPr>
        <w:t xml:space="preserve"> should implement the </w:t>
      </w:r>
      <w:r w:rsidR="00180BD9">
        <w:rPr>
          <w:sz w:val="28"/>
          <w:szCs w:val="28"/>
        </w:rPr>
        <w:t xml:space="preserve">appellate </w:t>
      </w:r>
      <w:r w:rsidR="00314B73">
        <w:rPr>
          <w:sz w:val="28"/>
          <w:szCs w:val="28"/>
        </w:rPr>
        <w:t>court</w:t>
      </w:r>
      <w:r w:rsidR="00180BD9">
        <w:rPr>
          <w:sz w:val="28"/>
          <w:szCs w:val="28"/>
        </w:rPr>
        <w:t>’s</w:t>
      </w:r>
      <w:r w:rsidR="00314B73">
        <w:rPr>
          <w:sz w:val="28"/>
          <w:szCs w:val="28"/>
        </w:rPr>
        <w:t xml:space="preserve"> decision or </w:t>
      </w:r>
      <w:r w:rsidR="00EE03F1">
        <w:rPr>
          <w:sz w:val="28"/>
          <w:szCs w:val="28"/>
        </w:rPr>
        <w:t xml:space="preserve">wait until it issues a mandate.  At the same time, a mandate is not necessary because </w:t>
      </w:r>
      <w:r w:rsidR="00DE52B1">
        <w:rPr>
          <w:sz w:val="28"/>
          <w:szCs w:val="28"/>
        </w:rPr>
        <w:t>the</w:t>
      </w:r>
      <w:r w:rsidR="00180BD9">
        <w:rPr>
          <w:sz w:val="28"/>
          <w:szCs w:val="28"/>
        </w:rPr>
        <w:t xml:space="preserve"> trial court </w:t>
      </w:r>
      <w:r w:rsidR="00DE52B1">
        <w:rPr>
          <w:sz w:val="28"/>
          <w:szCs w:val="28"/>
        </w:rPr>
        <w:t>knows to implement the decision, which generally ends with “</w:t>
      </w:r>
      <w:r w:rsidR="00DE52B1" w:rsidRPr="00DE52B1">
        <w:rPr>
          <w:sz w:val="28"/>
          <w:szCs w:val="28"/>
        </w:rPr>
        <w:t>we accept special action jurisdiction and grant relief</w:t>
      </w:r>
      <w:r w:rsidR="00EE03F1">
        <w:rPr>
          <w:sz w:val="28"/>
          <w:szCs w:val="28"/>
        </w:rPr>
        <w:t>.</w:t>
      </w:r>
      <w:r w:rsidR="00DE52B1">
        <w:rPr>
          <w:sz w:val="28"/>
          <w:szCs w:val="28"/>
        </w:rPr>
        <w:t>”</w:t>
      </w:r>
      <w:r w:rsidR="003C6037">
        <w:rPr>
          <w:sz w:val="28"/>
          <w:szCs w:val="28"/>
        </w:rPr>
        <w:t xml:space="preserve">  </w:t>
      </w:r>
      <w:r w:rsidR="00314B73">
        <w:rPr>
          <w:sz w:val="28"/>
          <w:szCs w:val="28"/>
        </w:rPr>
        <w:t xml:space="preserve">Instead of holding up the case pending a mandate, </w:t>
      </w:r>
      <w:r w:rsidR="00EE03F1">
        <w:rPr>
          <w:sz w:val="28"/>
          <w:szCs w:val="28"/>
        </w:rPr>
        <w:t xml:space="preserve">the proposed rule should say </w:t>
      </w:r>
      <w:r w:rsidR="009D5422">
        <w:rPr>
          <w:sz w:val="28"/>
          <w:szCs w:val="28"/>
        </w:rPr>
        <w:t>the decision</w:t>
      </w:r>
      <w:r w:rsidR="00EE03F1">
        <w:rPr>
          <w:sz w:val="28"/>
          <w:szCs w:val="28"/>
        </w:rPr>
        <w:t xml:space="preserve"> is </w:t>
      </w:r>
      <w:r w:rsidR="009D5422">
        <w:rPr>
          <w:sz w:val="28"/>
          <w:szCs w:val="28"/>
        </w:rPr>
        <w:t>effective upon issuance</w:t>
      </w:r>
      <w:r w:rsidR="00EE03F1">
        <w:rPr>
          <w:sz w:val="28"/>
          <w:szCs w:val="28"/>
        </w:rPr>
        <w:t xml:space="preserve"> with no reference to a mandate.</w:t>
      </w:r>
      <w:r w:rsidR="00314B73">
        <w:rPr>
          <w:sz w:val="28"/>
          <w:szCs w:val="28"/>
        </w:rPr>
        <w:t xml:space="preserve">  I</w:t>
      </w:r>
      <w:r w:rsidR="009D5422">
        <w:rPr>
          <w:sz w:val="28"/>
          <w:szCs w:val="28"/>
        </w:rPr>
        <w:t>n those instances where a party believes it may seek further review, it should</w:t>
      </w:r>
      <w:r w:rsidR="00DE52B1">
        <w:rPr>
          <w:sz w:val="28"/>
          <w:szCs w:val="28"/>
        </w:rPr>
        <w:t xml:space="preserve"> be require</w:t>
      </w:r>
      <w:r w:rsidR="00A82621">
        <w:rPr>
          <w:sz w:val="28"/>
          <w:szCs w:val="28"/>
        </w:rPr>
        <w:t>d</w:t>
      </w:r>
      <w:r w:rsidR="00DE52B1">
        <w:rPr>
          <w:sz w:val="28"/>
          <w:szCs w:val="28"/>
        </w:rPr>
        <w:t xml:space="preserve"> to persuade the </w:t>
      </w:r>
      <w:r w:rsidR="00180BD9">
        <w:rPr>
          <w:sz w:val="28"/>
          <w:szCs w:val="28"/>
        </w:rPr>
        <w:t xml:space="preserve">appellate court under equitable principles </w:t>
      </w:r>
      <w:r w:rsidR="00DE52B1">
        <w:rPr>
          <w:sz w:val="28"/>
          <w:szCs w:val="28"/>
        </w:rPr>
        <w:t>that a further stay is necessary.</w:t>
      </w:r>
    </w:p>
    <w:p w14:paraId="79FC69BC" w14:textId="539CE167" w:rsidR="00A82621" w:rsidRPr="00A82621" w:rsidRDefault="00A82621" w:rsidP="00A82621">
      <w:pPr>
        <w:pStyle w:val="Body"/>
        <w:widowControl w:val="0"/>
        <w:ind w:firstLine="0"/>
        <w:jc w:val="center"/>
        <w:rPr>
          <w:b/>
          <w:bCs/>
          <w:smallCaps/>
          <w:sz w:val="28"/>
          <w:szCs w:val="28"/>
        </w:rPr>
      </w:pPr>
      <w:r w:rsidRPr="00A82621">
        <w:rPr>
          <w:b/>
          <w:bCs/>
          <w:smallCaps/>
          <w:sz w:val="28"/>
          <w:szCs w:val="28"/>
        </w:rPr>
        <w:t>Analysis</w:t>
      </w:r>
    </w:p>
    <w:p w14:paraId="2BC910B6" w14:textId="5A0B06A7" w:rsidR="009D5422" w:rsidRPr="009D5422" w:rsidRDefault="009D5422" w:rsidP="009D5422">
      <w:pPr>
        <w:pStyle w:val="ListParagraph"/>
        <w:numPr>
          <w:ilvl w:val="0"/>
          <w:numId w:val="15"/>
        </w:numPr>
        <w:spacing w:before="240" w:after="0" w:line="240" w:lineRule="auto"/>
        <w:ind w:left="720"/>
        <w:contextualSpacing w:val="0"/>
        <w:rPr>
          <w:rFonts w:ascii="Times New Roman" w:hAnsi="Times New Roman" w:cs="Times New Roman"/>
          <w:sz w:val="28"/>
          <w:szCs w:val="28"/>
        </w:rPr>
      </w:pPr>
      <w:r>
        <w:rPr>
          <w:rFonts w:ascii="Times New Roman" w:hAnsi="Times New Roman" w:cs="Times New Roman"/>
          <w:b/>
          <w:bCs/>
          <w:sz w:val="28"/>
          <w:szCs w:val="28"/>
        </w:rPr>
        <w:t xml:space="preserve">THE </w:t>
      </w:r>
      <w:r w:rsidR="00180BD9">
        <w:rPr>
          <w:rFonts w:ascii="Times New Roman" w:hAnsi="Times New Roman" w:cs="Times New Roman"/>
          <w:b/>
          <w:bCs/>
          <w:sz w:val="28"/>
          <w:szCs w:val="28"/>
        </w:rPr>
        <w:t xml:space="preserve">TRIAL </w:t>
      </w:r>
      <w:r w:rsidR="007B5AA4">
        <w:rPr>
          <w:rFonts w:ascii="Times New Roman" w:hAnsi="Times New Roman" w:cs="Times New Roman"/>
          <w:b/>
          <w:bCs/>
          <w:sz w:val="28"/>
          <w:szCs w:val="28"/>
        </w:rPr>
        <w:t xml:space="preserve">COURT </w:t>
      </w:r>
      <w:r w:rsidR="009D3D9E">
        <w:rPr>
          <w:rFonts w:ascii="Times New Roman" w:hAnsi="Times New Roman" w:cs="Times New Roman"/>
          <w:b/>
          <w:bCs/>
          <w:sz w:val="28"/>
          <w:szCs w:val="28"/>
        </w:rPr>
        <w:t xml:space="preserve">GENERALLY LOSES </w:t>
      </w:r>
      <w:r>
        <w:rPr>
          <w:rFonts w:ascii="Times New Roman" w:hAnsi="Times New Roman" w:cs="Times New Roman"/>
          <w:b/>
          <w:bCs/>
          <w:sz w:val="28"/>
          <w:szCs w:val="28"/>
        </w:rPr>
        <w:t>JURISDICTION</w:t>
      </w:r>
      <w:r w:rsidR="00A00269">
        <w:rPr>
          <w:rFonts w:ascii="Times New Roman" w:hAnsi="Times New Roman" w:cs="Times New Roman"/>
          <w:b/>
          <w:bCs/>
          <w:sz w:val="28"/>
          <w:szCs w:val="28"/>
        </w:rPr>
        <w:t xml:space="preserve"> WHEN AN APPEAL IS FILED</w:t>
      </w:r>
      <w:r w:rsidR="00CA0F4B">
        <w:rPr>
          <w:rFonts w:ascii="Times New Roman" w:hAnsi="Times New Roman" w:cs="Times New Roman"/>
          <w:b/>
          <w:bCs/>
          <w:sz w:val="28"/>
          <w:szCs w:val="28"/>
        </w:rPr>
        <w:t>.</w:t>
      </w:r>
    </w:p>
    <w:p w14:paraId="7A2BC0ED" w14:textId="2693FD09" w:rsidR="00417DE0" w:rsidRDefault="009D5422" w:rsidP="00417DE0">
      <w:pPr>
        <w:pStyle w:val="Body"/>
        <w:widowControl w:val="0"/>
        <w:ind w:firstLine="720"/>
        <w:rPr>
          <w:sz w:val="28"/>
          <w:szCs w:val="28"/>
        </w:rPr>
      </w:pPr>
      <w:r>
        <w:rPr>
          <w:sz w:val="28"/>
          <w:szCs w:val="28"/>
        </w:rPr>
        <w:t xml:space="preserve">As a general rule, when a party appeals a final judgment, jurisdiction of the case transfers from the </w:t>
      </w:r>
      <w:r w:rsidR="00180BD9">
        <w:rPr>
          <w:sz w:val="28"/>
          <w:szCs w:val="28"/>
        </w:rPr>
        <w:t xml:space="preserve">trial court </w:t>
      </w:r>
      <w:r>
        <w:rPr>
          <w:sz w:val="28"/>
          <w:szCs w:val="28"/>
        </w:rPr>
        <w:t xml:space="preserve">to the </w:t>
      </w:r>
      <w:r w:rsidR="00180BD9">
        <w:rPr>
          <w:sz w:val="28"/>
          <w:szCs w:val="28"/>
        </w:rPr>
        <w:t xml:space="preserve">appellate </w:t>
      </w:r>
      <w:r w:rsidR="00EE03F1">
        <w:rPr>
          <w:sz w:val="28"/>
          <w:szCs w:val="28"/>
        </w:rPr>
        <w:t>c</w:t>
      </w:r>
      <w:r>
        <w:rPr>
          <w:sz w:val="28"/>
          <w:szCs w:val="28"/>
        </w:rPr>
        <w:t>ourt</w:t>
      </w:r>
      <w:r w:rsidR="00180BD9">
        <w:rPr>
          <w:sz w:val="28"/>
          <w:szCs w:val="28"/>
        </w:rPr>
        <w:t xml:space="preserve">. </w:t>
      </w:r>
      <w:r w:rsidR="009D3D9E">
        <w:rPr>
          <w:sz w:val="28"/>
          <w:szCs w:val="28"/>
        </w:rPr>
        <w:t xml:space="preserve"> </w:t>
      </w:r>
      <w:r w:rsidR="009D3D9E" w:rsidRPr="009D3D9E">
        <w:rPr>
          <w:i/>
          <w:iCs/>
          <w:sz w:val="28"/>
          <w:szCs w:val="28"/>
        </w:rPr>
        <w:t>In re Marriage of Flores &amp; Martinez</w:t>
      </w:r>
      <w:r w:rsidR="009D3D9E" w:rsidRPr="009D3D9E">
        <w:rPr>
          <w:sz w:val="28"/>
          <w:szCs w:val="28"/>
        </w:rPr>
        <w:t>, 231 Ariz. 18, 21, ¶ 10, 289 P.3d 946, 949 (App. 2012</w:t>
      </w:r>
      <w:r w:rsidR="00AF5CE5">
        <w:rPr>
          <w:sz w:val="28"/>
          <w:szCs w:val="28"/>
        </w:rPr>
        <w:t xml:space="preserve">).  </w:t>
      </w:r>
      <w:r w:rsidR="009D3D9E">
        <w:rPr>
          <w:sz w:val="28"/>
          <w:szCs w:val="28"/>
        </w:rPr>
        <w:t xml:space="preserve">Jurisdiction </w:t>
      </w:r>
      <w:r w:rsidR="00AF5CE5">
        <w:rPr>
          <w:sz w:val="28"/>
          <w:szCs w:val="28"/>
        </w:rPr>
        <w:t xml:space="preserve">then </w:t>
      </w:r>
      <w:r w:rsidR="00A00269">
        <w:rPr>
          <w:sz w:val="28"/>
          <w:szCs w:val="28"/>
        </w:rPr>
        <w:t>r</w:t>
      </w:r>
      <w:r w:rsidR="009D3D9E">
        <w:rPr>
          <w:sz w:val="28"/>
          <w:szCs w:val="28"/>
        </w:rPr>
        <w:t xml:space="preserve">emains with the </w:t>
      </w:r>
      <w:r w:rsidR="00180BD9">
        <w:rPr>
          <w:sz w:val="28"/>
          <w:szCs w:val="28"/>
        </w:rPr>
        <w:t xml:space="preserve">appellate </w:t>
      </w:r>
      <w:r w:rsidR="00EE03F1">
        <w:rPr>
          <w:sz w:val="28"/>
          <w:szCs w:val="28"/>
        </w:rPr>
        <w:t>c</w:t>
      </w:r>
      <w:r w:rsidR="009D3D9E">
        <w:rPr>
          <w:sz w:val="28"/>
          <w:szCs w:val="28"/>
        </w:rPr>
        <w:t xml:space="preserve">ourt until </w:t>
      </w:r>
      <w:r w:rsidR="00EE03F1">
        <w:rPr>
          <w:sz w:val="28"/>
          <w:szCs w:val="28"/>
        </w:rPr>
        <w:t xml:space="preserve">it </w:t>
      </w:r>
      <w:r w:rsidR="00C20146">
        <w:rPr>
          <w:sz w:val="28"/>
          <w:szCs w:val="28"/>
        </w:rPr>
        <w:t xml:space="preserve">issues a mandate </w:t>
      </w:r>
      <w:r w:rsidR="009D3D9E">
        <w:rPr>
          <w:sz w:val="28"/>
          <w:szCs w:val="28"/>
        </w:rPr>
        <w:t>return</w:t>
      </w:r>
      <w:r w:rsidR="00C20146">
        <w:rPr>
          <w:sz w:val="28"/>
          <w:szCs w:val="28"/>
        </w:rPr>
        <w:t>ing</w:t>
      </w:r>
      <w:r w:rsidR="009D3D9E">
        <w:rPr>
          <w:sz w:val="28"/>
          <w:szCs w:val="28"/>
        </w:rPr>
        <w:t xml:space="preserve"> jurisdiction to the </w:t>
      </w:r>
      <w:r w:rsidR="00180BD9">
        <w:rPr>
          <w:sz w:val="28"/>
          <w:szCs w:val="28"/>
        </w:rPr>
        <w:t xml:space="preserve">trial </w:t>
      </w:r>
      <w:r w:rsidR="00EE03F1">
        <w:rPr>
          <w:sz w:val="28"/>
          <w:szCs w:val="28"/>
        </w:rPr>
        <w:t>c</w:t>
      </w:r>
      <w:r w:rsidR="009D3D9E">
        <w:rPr>
          <w:sz w:val="28"/>
          <w:szCs w:val="28"/>
        </w:rPr>
        <w:t>ourt</w:t>
      </w:r>
      <w:r w:rsidR="00C20146">
        <w:rPr>
          <w:sz w:val="28"/>
          <w:szCs w:val="28"/>
        </w:rPr>
        <w:t>.</w:t>
      </w:r>
      <w:r w:rsidR="009D3D9E">
        <w:rPr>
          <w:sz w:val="28"/>
          <w:szCs w:val="28"/>
        </w:rPr>
        <w:t xml:space="preserve">  </w:t>
      </w:r>
      <w:r w:rsidR="009D3D9E">
        <w:rPr>
          <w:i/>
          <w:iCs/>
          <w:sz w:val="28"/>
          <w:szCs w:val="28"/>
        </w:rPr>
        <w:t>Id</w:t>
      </w:r>
      <w:r w:rsidR="009D3D9E">
        <w:rPr>
          <w:sz w:val="28"/>
          <w:szCs w:val="28"/>
        </w:rPr>
        <w:t xml:space="preserve">. at </w:t>
      </w:r>
      <w:r w:rsidR="00417DE0" w:rsidRPr="009D3D9E">
        <w:rPr>
          <w:sz w:val="28"/>
          <w:szCs w:val="28"/>
        </w:rPr>
        <w:t>¶</w:t>
      </w:r>
      <w:r w:rsidR="00EE03F1">
        <w:rPr>
          <w:sz w:val="28"/>
          <w:szCs w:val="28"/>
        </w:rPr>
        <w:t> </w:t>
      </w:r>
      <w:r w:rsidR="00417DE0" w:rsidRPr="009D3D9E">
        <w:rPr>
          <w:sz w:val="28"/>
          <w:szCs w:val="28"/>
        </w:rPr>
        <w:t>10</w:t>
      </w:r>
      <w:r w:rsidR="00417DE0">
        <w:rPr>
          <w:sz w:val="28"/>
          <w:szCs w:val="28"/>
        </w:rPr>
        <w:t xml:space="preserve"> (“[A]</w:t>
      </w:r>
      <w:r w:rsidR="009D3D9E" w:rsidRPr="009D3D9E">
        <w:rPr>
          <w:sz w:val="28"/>
          <w:szCs w:val="28"/>
        </w:rPr>
        <w:t>n appellate proceeding</w:t>
      </w:r>
      <w:r w:rsidR="00417DE0">
        <w:rPr>
          <w:sz w:val="28"/>
          <w:szCs w:val="28"/>
        </w:rPr>
        <w:t xml:space="preserve"> … </w:t>
      </w:r>
      <w:r w:rsidR="009D3D9E" w:rsidRPr="009D3D9E">
        <w:rPr>
          <w:sz w:val="28"/>
          <w:szCs w:val="28"/>
        </w:rPr>
        <w:t>does not terminate until the appellate court</w:t>
      </w:r>
      <w:r w:rsidR="00417DE0">
        <w:rPr>
          <w:sz w:val="28"/>
          <w:szCs w:val="28"/>
        </w:rPr>
        <w:t>’</w:t>
      </w:r>
      <w:r w:rsidR="009D3D9E" w:rsidRPr="009D3D9E">
        <w:rPr>
          <w:sz w:val="28"/>
          <w:szCs w:val="28"/>
        </w:rPr>
        <w:t>s mandate issues</w:t>
      </w:r>
      <w:r w:rsidR="00417DE0">
        <w:rPr>
          <w:sz w:val="28"/>
          <w:szCs w:val="28"/>
        </w:rPr>
        <w:t xml:space="preserve">.”); </w:t>
      </w:r>
      <w:r w:rsidR="00EE03F1">
        <w:rPr>
          <w:i/>
          <w:iCs/>
          <w:sz w:val="28"/>
          <w:szCs w:val="28"/>
        </w:rPr>
        <w:t xml:space="preserve">see also </w:t>
      </w:r>
      <w:r w:rsidR="000E6975" w:rsidRPr="000E6975">
        <w:rPr>
          <w:sz w:val="28"/>
          <w:szCs w:val="28"/>
        </w:rPr>
        <w:t xml:space="preserve">ARCAP </w:t>
      </w:r>
      <w:r w:rsidR="00417DE0">
        <w:rPr>
          <w:sz w:val="28"/>
          <w:szCs w:val="28"/>
        </w:rPr>
        <w:t>Rule 24(a) (“An appellate court retains jurisdiction of an appeal until it issues the mandate.”)  This procedure “</w:t>
      </w:r>
      <w:r w:rsidR="00417DE0" w:rsidRPr="00417DE0">
        <w:rPr>
          <w:sz w:val="28"/>
          <w:szCs w:val="28"/>
        </w:rPr>
        <w:t>avoids the risk that the trial and appellate courts could assume jurisdiction of the same case simultaneously</w:t>
      </w:r>
      <w:r w:rsidR="00417DE0">
        <w:rPr>
          <w:sz w:val="28"/>
          <w:szCs w:val="28"/>
        </w:rPr>
        <w:t>.”</w:t>
      </w:r>
      <w:r w:rsidR="00417DE0" w:rsidRPr="00417DE0">
        <w:rPr>
          <w:i/>
          <w:iCs/>
          <w:sz w:val="28"/>
          <w:szCs w:val="28"/>
        </w:rPr>
        <w:t xml:space="preserve"> Id</w:t>
      </w:r>
      <w:r w:rsidR="00417DE0" w:rsidRPr="00417DE0">
        <w:rPr>
          <w:sz w:val="28"/>
          <w:szCs w:val="28"/>
        </w:rPr>
        <w:t xml:space="preserve">. at </w:t>
      </w:r>
      <w:r w:rsidR="00417DE0" w:rsidRPr="009D3D9E">
        <w:rPr>
          <w:sz w:val="28"/>
          <w:szCs w:val="28"/>
        </w:rPr>
        <w:t>¶ 1</w:t>
      </w:r>
      <w:r w:rsidR="00417DE0">
        <w:rPr>
          <w:sz w:val="28"/>
          <w:szCs w:val="28"/>
        </w:rPr>
        <w:t>1.</w:t>
      </w:r>
    </w:p>
    <w:p w14:paraId="531F1C41" w14:textId="1F46737E" w:rsidR="00F970A4" w:rsidRPr="00417DE0" w:rsidRDefault="00F970A4" w:rsidP="00417DE0">
      <w:pPr>
        <w:pStyle w:val="Body"/>
        <w:widowControl w:val="0"/>
        <w:ind w:firstLine="720"/>
        <w:rPr>
          <w:sz w:val="28"/>
          <w:szCs w:val="28"/>
        </w:rPr>
      </w:pPr>
      <w:r>
        <w:rPr>
          <w:sz w:val="28"/>
          <w:szCs w:val="28"/>
        </w:rPr>
        <w:lastRenderedPageBreak/>
        <w:t xml:space="preserve">A special action appeal is different because it occurs while the case remains pending </w:t>
      </w:r>
      <w:r w:rsidR="00AF5CE5">
        <w:rPr>
          <w:sz w:val="28"/>
          <w:szCs w:val="28"/>
        </w:rPr>
        <w:t xml:space="preserve">and active </w:t>
      </w:r>
      <w:r>
        <w:rPr>
          <w:sz w:val="28"/>
          <w:szCs w:val="28"/>
        </w:rPr>
        <w:t xml:space="preserve">in the </w:t>
      </w:r>
      <w:r w:rsidR="00180BD9">
        <w:rPr>
          <w:sz w:val="28"/>
          <w:szCs w:val="28"/>
        </w:rPr>
        <w:t>trial court</w:t>
      </w:r>
      <w:r>
        <w:rPr>
          <w:sz w:val="28"/>
          <w:szCs w:val="28"/>
        </w:rPr>
        <w:t>.</w:t>
      </w:r>
    </w:p>
    <w:p w14:paraId="74F4D3D4" w14:textId="3CD29102" w:rsidR="009D3D9E" w:rsidRPr="009D3D9E" w:rsidRDefault="00F970A4" w:rsidP="00F970A4">
      <w:pPr>
        <w:pStyle w:val="ListParagraph"/>
        <w:numPr>
          <w:ilvl w:val="0"/>
          <w:numId w:val="15"/>
        </w:numPr>
        <w:spacing w:before="240" w:after="0" w:line="240" w:lineRule="auto"/>
        <w:ind w:left="720"/>
        <w:contextualSpacing w:val="0"/>
        <w:rPr>
          <w:rFonts w:ascii="Times New Roman" w:hAnsi="Times New Roman" w:cs="Times New Roman"/>
          <w:b/>
          <w:bCs/>
          <w:sz w:val="28"/>
          <w:szCs w:val="28"/>
        </w:rPr>
      </w:pPr>
      <w:r>
        <w:rPr>
          <w:rFonts w:ascii="Times New Roman" w:hAnsi="Times New Roman" w:cs="Times New Roman"/>
          <w:b/>
          <w:bCs/>
          <w:sz w:val="28"/>
          <w:szCs w:val="28"/>
        </w:rPr>
        <w:t xml:space="preserve">THE </w:t>
      </w:r>
      <w:r w:rsidR="00180BD9">
        <w:rPr>
          <w:rFonts w:ascii="Times New Roman" w:hAnsi="Times New Roman" w:cs="Times New Roman"/>
          <w:b/>
          <w:bCs/>
          <w:sz w:val="28"/>
          <w:szCs w:val="28"/>
        </w:rPr>
        <w:t xml:space="preserve">TRIAL </w:t>
      </w:r>
      <w:r>
        <w:rPr>
          <w:rFonts w:ascii="Times New Roman" w:hAnsi="Times New Roman" w:cs="Times New Roman"/>
          <w:b/>
          <w:bCs/>
          <w:sz w:val="28"/>
          <w:szCs w:val="28"/>
        </w:rPr>
        <w:t xml:space="preserve">COURT DOES NOT LOSE JURISDICTION OVER THE CASE WHEN A SPECIAL ACTION IS FILED IN THE </w:t>
      </w:r>
      <w:r w:rsidR="00180BD9">
        <w:rPr>
          <w:rFonts w:ascii="Times New Roman" w:hAnsi="Times New Roman" w:cs="Times New Roman"/>
          <w:b/>
          <w:bCs/>
          <w:sz w:val="28"/>
          <w:szCs w:val="28"/>
        </w:rPr>
        <w:t xml:space="preserve">APPELLATE </w:t>
      </w:r>
      <w:r>
        <w:rPr>
          <w:rFonts w:ascii="Times New Roman" w:hAnsi="Times New Roman" w:cs="Times New Roman"/>
          <w:b/>
          <w:bCs/>
          <w:sz w:val="28"/>
          <w:szCs w:val="28"/>
        </w:rPr>
        <w:t>COURT.</w:t>
      </w:r>
    </w:p>
    <w:p w14:paraId="60278CBF" w14:textId="46ACEA7B" w:rsidR="00381613" w:rsidRDefault="0026472D" w:rsidP="00381613">
      <w:pPr>
        <w:pStyle w:val="Body"/>
        <w:widowControl w:val="0"/>
        <w:ind w:firstLine="720"/>
        <w:rPr>
          <w:sz w:val="28"/>
          <w:szCs w:val="28"/>
        </w:rPr>
      </w:pPr>
      <w:r>
        <w:rPr>
          <w:sz w:val="28"/>
          <w:szCs w:val="28"/>
        </w:rPr>
        <w:t xml:space="preserve">Under current precedent, </w:t>
      </w:r>
      <w:r w:rsidR="007153E6">
        <w:rPr>
          <w:sz w:val="28"/>
          <w:szCs w:val="28"/>
        </w:rPr>
        <w:t>“</w:t>
      </w:r>
      <w:r>
        <w:rPr>
          <w:sz w:val="28"/>
          <w:szCs w:val="28"/>
        </w:rPr>
        <w:t>[u]</w:t>
      </w:r>
      <w:r w:rsidR="00F970A4" w:rsidRPr="00F970A4">
        <w:rPr>
          <w:sz w:val="28"/>
          <w:szCs w:val="28"/>
        </w:rPr>
        <w:t>nlike an appeal, jurisdiction never transfers from the superior court to the court of appeals in the special action context.</w:t>
      </w:r>
      <w:r w:rsidR="007153E6">
        <w:rPr>
          <w:sz w:val="28"/>
          <w:szCs w:val="28"/>
        </w:rPr>
        <w:t xml:space="preserve">”  </w:t>
      </w:r>
      <w:r w:rsidR="00F970A4" w:rsidRPr="007153E6">
        <w:rPr>
          <w:i/>
          <w:iCs/>
          <w:sz w:val="28"/>
          <w:szCs w:val="28"/>
        </w:rPr>
        <w:t>Coffee v. Ryan-Touhill</w:t>
      </w:r>
      <w:r w:rsidR="00F970A4" w:rsidRPr="00F970A4">
        <w:rPr>
          <w:sz w:val="28"/>
          <w:szCs w:val="28"/>
        </w:rPr>
        <w:t>, 247 Ariz. 68, 71, ¶ 14, 445 P.3d 666, 669 (App. 2019)</w:t>
      </w:r>
      <w:r w:rsidR="007153E6">
        <w:rPr>
          <w:sz w:val="28"/>
          <w:szCs w:val="28"/>
        </w:rPr>
        <w:t>.  This is because “[a]</w:t>
      </w:r>
      <w:r w:rsidR="007153E6" w:rsidRPr="007153E6">
        <w:rPr>
          <w:sz w:val="28"/>
          <w:szCs w:val="28"/>
        </w:rPr>
        <w:t xml:space="preserve"> special action represents a separate, original proceeding where an appellate court examines the action or inaction of public officials </w:t>
      </w:r>
      <w:r w:rsidR="007153E6">
        <w:rPr>
          <w:sz w:val="28"/>
          <w:szCs w:val="28"/>
        </w:rPr>
        <w:t xml:space="preserve">[such as </w:t>
      </w:r>
      <w:r w:rsidR="00DE52B1">
        <w:rPr>
          <w:sz w:val="28"/>
          <w:szCs w:val="28"/>
        </w:rPr>
        <w:t xml:space="preserve">a </w:t>
      </w:r>
      <w:r w:rsidR="007153E6">
        <w:rPr>
          <w:sz w:val="28"/>
          <w:szCs w:val="28"/>
        </w:rPr>
        <w:t>superior court</w:t>
      </w:r>
      <w:r w:rsidR="00DE52B1">
        <w:rPr>
          <w:sz w:val="28"/>
          <w:szCs w:val="28"/>
        </w:rPr>
        <w:t xml:space="preserve"> judge</w:t>
      </w:r>
      <w:r w:rsidR="007153E6">
        <w:rPr>
          <w:sz w:val="28"/>
          <w:szCs w:val="28"/>
        </w:rPr>
        <w:t xml:space="preserve">] </w:t>
      </w:r>
      <w:r w:rsidR="007153E6" w:rsidRPr="007153E6">
        <w:rPr>
          <w:sz w:val="28"/>
          <w:szCs w:val="28"/>
        </w:rPr>
        <w:t>and may issue orders (similar to a common law writ) affecting future proceedings in a case</w:t>
      </w:r>
      <w:r w:rsidR="007153E6">
        <w:rPr>
          <w:sz w:val="28"/>
          <w:szCs w:val="28"/>
        </w:rPr>
        <w:t xml:space="preserve">.”  </w:t>
      </w:r>
      <w:r w:rsidR="007153E6" w:rsidRPr="007153E6">
        <w:rPr>
          <w:i/>
          <w:iCs/>
          <w:sz w:val="28"/>
          <w:szCs w:val="28"/>
        </w:rPr>
        <w:t>I</w:t>
      </w:r>
      <w:r w:rsidR="007153E6">
        <w:rPr>
          <w:i/>
          <w:iCs/>
          <w:sz w:val="28"/>
          <w:szCs w:val="28"/>
        </w:rPr>
        <w:t>d.</w:t>
      </w:r>
      <w:r w:rsidR="00381613">
        <w:rPr>
          <w:sz w:val="28"/>
          <w:szCs w:val="28"/>
        </w:rPr>
        <w:t xml:space="preserve">, </w:t>
      </w:r>
      <w:r w:rsidR="00381613">
        <w:rPr>
          <w:i/>
          <w:iCs/>
          <w:sz w:val="28"/>
          <w:szCs w:val="28"/>
        </w:rPr>
        <w:t xml:space="preserve">cited with approval in </w:t>
      </w:r>
      <w:r w:rsidR="00381613" w:rsidRPr="00381613">
        <w:rPr>
          <w:i/>
          <w:iCs/>
          <w:sz w:val="28"/>
          <w:szCs w:val="28"/>
        </w:rPr>
        <w:t>Bridgeman v. Certa</w:t>
      </w:r>
      <w:r w:rsidR="00381613" w:rsidRPr="00381613">
        <w:rPr>
          <w:sz w:val="28"/>
          <w:szCs w:val="28"/>
        </w:rPr>
        <w:t>, 251 Ariz. 471, 475, ¶ 10, 493 P.3d 898, 902 (App. 2021</w:t>
      </w:r>
      <w:r w:rsidR="00DE52B1">
        <w:rPr>
          <w:sz w:val="28"/>
          <w:szCs w:val="28"/>
        </w:rPr>
        <w:t xml:space="preserve">) </w:t>
      </w:r>
      <w:r w:rsidR="00381613">
        <w:rPr>
          <w:sz w:val="28"/>
          <w:szCs w:val="28"/>
        </w:rPr>
        <w:t>(“</w:t>
      </w:r>
      <w:r w:rsidR="00381613" w:rsidRPr="00381613">
        <w:rPr>
          <w:sz w:val="28"/>
          <w:szCs w:val="28"/>
        </w:rPr>
        <w:t>the special action is a distinct proceeding</w:t>
      </w:r>
      <w:r w:rsidR="00381613">
        <w:rPr>
          <w:sz w:val="28"/>
          <w:szCs w:val="28"/>
        </w:rPr>
        <w:t>”).</w:t>
      </w:r>
    </w:p>
    <w:p w14:paraId="211A72AF" w14:textId="45CE006C" w:rsidR="00330FA0" w:rsidRDefault="00781127" w:rsidP="00330FA0">
      <w:pPr>
        <w:pStyle w:val="Body"/>
        <w:widowControl w:val="0"/>
        <w:ind w:firstLine="720"/>
        <w:rPr>
          <w:sz w:val="28"/>
          <w:szCs w:val="28"/>
        </w:rPr>
      </w:pPr>
      <w:r>
        <w:rPr>
          <w:sz w:val="28"/>
          <w:szCs w:val="28"/>
        </w:rPr>
        <w:t xml:space="preserve">Moreover, the </w:t>
      </w:r>
      <w:r w:rsidR="00180BD9">
        <w:rPr>
          <w:sz w:val="28"/>
          <w:szCs w:val="28"/>
        </w:rPr>
        <w:t xml:space="preserve">appellate court’s </w:t>
      </w:r>
      <w:r>
        <w:rPr>
          <w:sz w:val="28"/>
          <w:szCs w:val="28"/>
        </w:rPr>
        <w:t xml:space="preserve">decision in a special action proceeding, which is generally in the form of a mandamus, is itself </w:t>
      </w:r>
      <w:r w:rsidR="00527755">
        <w:rPr>
          <w:sz w:val="28"/>
          <w:szCs w:val="28"/>
        </w:rPr>
        <w:t>an</w:t>
      </w:r>
      <w:r>
        <w:rPr>
          <w:sz w:val="28"/>
          <w:szCs w:val="28"/>
        </w:rPr>
        <w:t xml:space="preserve"> order commanding the </w:t>
      </w:r>
      <w:r w:rsidR="00180BD9">
        <w:rPr>
          <w:sz w:val="28"/>
          <w:szCs w:val="28"/>
        </w:rPr>
        <w:t xml:space="preserve">trial court </w:t>
      </w:r>
      <w:r>
        <w:rPr>
          <w:sz w:val="28"/>
          <w:szCs w:val="28"/>
        </w:rPr>
        <w:t xml:space="preserve">to </w:t>
      </w:r>
      <w:r w:rsidR="00C20146">
        <w:rPr>
          <w:sz w:val="28"/>
          <w:szCs w:val="28"/>
        </w:rPr>
        <w:t>act</w:t>
      </w:r>
      <w:r>
        <w:rPr>
          <w:sz w:val="28"/>
          <w:szCs w:val="28"/>
        </w:rPr>
        <w:t>.</w:t>
      </w:r>
      <w:r w:rsidR="00330FA0">
        <w:rPr>
          <w:sz w:val="28"/>
          <w:szCs w:val="28"/>
        </w:rPr>
        <w:t xml:space="preserve">  </w:t>
      </w:r>
      <w:r w:rsidR="00330FA0">
        <w:rPr>
          <w:i/>
          <w:iCs/>
          <w:sz w:val="28"/>
          <w:szCs w:val="28"/>
        </w:rPr>
        <w:t xml:space="preserve">See generally </w:t>
      </w:r>
      <w:r w:rsidR="00330FA0" w:rsidRPr="00330FA0">
        <w:rPr>
          <w:i/>
          <w:iCs/>
          <w:sz w:val="28"/>
          <w:szCs w:val="28"/>
        </w:rPr>
        <w:t>Black</w:t>
      </w:r>
      <w:r w:rsidR="00180BD9">
        <w:rPr>
          <w:i/>
          <w:iCs/>
          <w:sz w:val="28"/>
          <w:szCs w:val="28"/>
        </w:rPr>
        <w:t>’</w:t>
      </w:r>
      <w:r w:rsidR="00330FA0" w:rsidRPr="00330FA0">
        <w:rPr>
          <w:i/>
          <w:iCs/>
          <w:sz w:val="28"/>
          <w:szCs w:val="28"/>
        </w:rPr>
        <w:t>s Law Dictionary</w:t>
      </w:r>
      <w:r w:rsidR="00330FA0" w:rsidRPr="00330FA0">
        <w:rPr>
          <w:sz w:val="28"/>
          <w:szCs w:val="28"/>
        </w:rPr>
        <w:t xml:space="preserve"> (11</w:t>
      </w:r>
      <w:r w:rsidR="00EE03F1" w:rsidRPr="00EE03F1">
        <w:rPr>
          <w:sz w:val="28"/>
          <w:szCs w:val="28"/>
          <w:vertAlign w:val="superscript"/>
        </w:rPr>
        <w:t>th</w:t>
      </w:r>
      <w:r w:rsidR="00EE03F1">
        <w:rPr>
          <w:sz w:val="28"/>
          <w:szCs w:val="28"/>
        </w:rPr>
        <w:t xml:space="preserve"> E</w:t>
      </w:r>
      <w:r w:rsidR="00330FA0" w:rsidRPr="00330FA0">
        <w:rPr>
          <w:sz w:val="28"/>
          <w:szCs w:val="28"/>
        </w:rPr>
        <w:t>d. 2019)</w:t>
      </w:r>
      <w:r w:rsidR="00330FA0">
        <w:rPr>
          <w:sz w:val="28"/>
          <w:szCs w:val="28"/>
        </w:rPr>
        <w:t xml:space="preserve"> (Defining mandamus, which it explains is Latin for “we command,” as “[a] </w:t>
      </w:r>
      <w:r w:rsidR="00330FA0" w:rsidRPr="00330FA0">
        <w:rPr>
          <w:sz w:val="28"/>
          <w:szCs w:val="28"/>
        </w:rPr>
        <w:t>writ issued by a court to compel performance of a particular act by a lower court or a governmental officer or body, usu. to correct a prior action or failure to act</w:t>
      </w:r>
      <w:r w:rsidR="00330FA0">
        <w:rPr>
          <w:sz w:val="28"/>
          <w:szCs w:val="28"/>
        </w:rPr>
        <w:t>.”).</w:t>
      </w:r>
    </w:p>
    <w:p w14:paraId="1B7945E6" w14:textId="4B49B122" w:rsidR="00E439A2" w:rsidRPr="00E439A2" w:rsidRDefault="00330FA0" w:rsidP="00E439A2">
      <w:pPr>
        <w:pStyle w:val="Body"/>
        <w:widowControl w:val="0"/>
        <w:ind w:firstLine="720"/>
        <w:rPr>
          <w:sz w:val="28"/>
          <w:szCs w:val="28"/>
        </w:rPr>
      </w:pPr>
      <w:r>
        <w:rPr>
          <w:sz w:val="28"/>
          <w:szCs w:val="28"/>
        </w:rPr>
        <w:t xml:space="preserve">Federal courts take the position that an appellate court </w:t>
      </w:r>
      <w:r w:rsidR="0060778D">
        <w:rPr>
          <w:sz w:val="28"/>
          <w:szCs w:val="28"/>
        </w:rPr>
        <w:t xml:space="preserve">need </w:t>
      </w:r>
      <w:r>
        <w:rPr>
          <w:sz w:val="28"/>
          <w:szCs w:val="28"/>
        </w:rPr>
        <w:t>not issue a mandate following the issuance of a writ of mandamus because the writ itself command</w:t>
      </w:r>
      <w:r w:rsidR="0026472D">
        <w:rPr>
          <w:sz w:val="28"/>
          <w:szCs w:val="28"/>
        </w:rPr>
        <w:t>s</w:t>
      </w:r>
      <w:r>
        <w:rPr>
          <w:sz w:val="28"/>
          <w:szCs w:val="28"/>
        </w:rPr>
        <w:t xml:space="preserve"> the lower court to act.  </w:t>
      </w:r>
      <w:r>
        <w:rPr>
          <w:i/>
          <w:iCs/>
          <w:sz w:val="28"/>
          <w:szCs w:val="28"/>
        </w:rPr>
        <w:t xml:space="preserve">See e.g. </w:t>
      </w:r>
      <w:bookmarkStart w:id="3" w:name="_Hlk162953292"/>
      <w:r w:rsidRPr="00330FA0">
        <w:rPr>
          <w:i/>
          <w:iCs/>
          <w:sz w:val="28"/>
          <w:szCs w:val="28"/>
        </w:rPr>
        <w:t>Ellis v. U.S. Dist. Court for W. Dist. of Washington (Tacoma)</w:t>
      </w:r>
      <w:r w:rsidRPr="00330FA0">
        <w:rPr>
          <w:sz w:val="28"/>
          <w:szCs w:val="28"/>
        </w:rPr>
        <w:t>, 360 F.3d 1022, 1022–23 (9th Cir. 2004)</w:t>
      </w:r>
      <w:r w:rsidR="00613A03">
        <w:rPr>
          <w:sz w:val="28"/>
          <w:szCs w:val="28"/>
        </w:rPr>
        <w:t xml:space="preserve"> (</w:t>
      </w:r>
      <w:r w:rsidR="00613A03">
        <w:rPr>
          <w:i/>
          <w:iCs/>
          <w:sz w:val="28"/>
          <w:szCs w:val="28"/>
        </w:rPr>
        <w:t>en banc</w:t>
      </w:r>
      <w:r w:rsidR="00613A03">
        <w:rPr>
          <w:sz w:val="28"/>
          <w:szCs w:val="28"/>
        </w:rPr>
        <w:t>)</w:t>
      </w:r>
      <w:r>
        <w:rPr>
          <w:sz w:val="28"/>
          <w:szCs w:val="28"/>
        </w:rPr>
        <w:t xml:space="preserve"> (“</w:t>
      </w:r>
      <w:r w:rsidRPr="00330FA0">
        <w:rPr>
          <w:sz w:val="28"/>
          <w:szCs w:val="28"/>
        </w:rPr>
        <w:t xml:space="preserve">Because a writ of mandate functions as an order, we do not issue along with it a </w:t>
      </w:r>
      <w:r w:rsidR="00E439A2">
        <w:rPr>
          <w:sz w:val="28"/>
          <w:szCs w:val="28"/>
        </w:rPr>
        <w:t>‘</w:t>
      </w:r>
      <w:r w:rsidRPr="00330FA0">
        <w:rPr>
          <w:sz w:val="28"/>
          <w:szCs w:val="28"/>
        </w:rPr>
        <w:t>mandate</w:t>
      </w:r>
      <w:r w:rsidR="00E439A2">
        <w:rPr>
          <w:sz w:val="28"/>
          <w:szCs w:val="28"/>
        </w:rPr>
        <w:t>’</w:t>
      </w:r>
      <w:r w:rsidRPr="00330FA0">
        <w:rPr>
          <w:sz w:val="28"/>
          <w:szCs w:val="28"/>
        </w:rPr>
        <w:t xml:space="preserve"> in the sense of a secondary decree relinquishing jurisdiction over the </w:t>
      </w:r>
      <w:r w:rsidRPr="00330FA0">
        <w:rPr>
          <w:sz w:val="28"/>
          <w:szCs w:val="28"/>
        </w:rPr>
        <w:lastRenderedPageBreak/>
        <w:t>case to the district court.</w:t>
      </w:r>
      <w:r w:rsidR="00E439A2">
        <w:rPr>
          <w:sz w:val="28"/>
          <w:szCs w:val="28"/>
        </w:rPr>
        <w:t xml:space="preserve">”).  </w:t>
      </w:r>
      <w:bookmarkEnd w:id="3"/>
      <w:r w:rsidR="00E439A2">
        <w:rPr>
          <w:sz w:val="28"/>
          <w:szCs w:val="28"/>
        </w:rPr>
        <w:t>The Ninth Circuit further explained that</w:t>
      </w:r>
      <w:r w:rsidRPr="00330FA0">
        <w:rPr>
          <w:sz w:val="28"/>
          <w:szCs w:val="28"/>
        </w:rPr>
        <w:t xml:space="preserve"> </w:t>
      </w:r>
      <w:r w:rsidR="00E439A2">
        <w:rPr>
          <w:sz w:val="28"/>
          <w:szCs w:val="28"/>
        </w:rPr>
        <w:t>“</w:t>
      </w:r>
      <w:r w:rsidR="00E439A2" w:rsidRPr="00E439A2">
        <w:rPr>
          <w:sz w:val="28"/>
          <w:szCs w:val="28"/>
        </w:rPr>
        <w:t>in the context of an extraordinary writ such as mandamus, there is no need for us to relinquish our jurisdiction to the district court because it was never deprived of jurisdiction over the underlying case.</w:t>
      </w:r>
      <w:r w:rsidR="00E439A2">
        <w:rPr>
          <w:sz w:val="28"/>
          <w:szCs w:val="28"/>
        </w:rPr>
        <w:t xml:space="preserve">”  </w:t>
      </w:r>
      <w:r w:rsidR="00E439A2">
        <w:rPr>
          <w:i/>
          <w:iCs/>
          <w:sz w:val="28"/>
          <w:szCs w:val="28"/>
        </w:rPr>
        <w:t xml:space="preserve">Id. </w:t>
      </w:r>
      <w:r w:rsidR="00E439A2" w:rsidRPr="00E439A2">
        <w:rPr>
          <w:sz w:val="28"/>
          <w:szCs w:val="28"/>
        </w:rPr>
        <w:t>at</w:t>
      </w:r>
      <w:r w:rsidR="00E439A2">
        <w:rPr>
          <w:i/>
          <w:iCs/>
          <w:sz w:val="28"/>
          <w:szCs w:val="28"/>
        </w:rPr>
        <w:t xml:space="preserve"> </w:t>
      </w:r>
      <w:r w:rsidR="00E439A2" w:rsidRPr="00E439A2">
        <w:rPr>
          <w:sz w:val="28"/>
          <w:szCs w:val="28"/>
        </w:rPr>
        <w:t>1023</w:t>
      </w:r>
      <w:r w:rsidR="00E439A2">
        <w:rPr>
          <w:sz w:val="28"/>
          <w:szCs w:val="28"/>
        </w:rPr>
        <w:t>.</w:t>
      </w:r>
    </w:p>
    <w:p w14:paraId="501FCD22" w14:textId="4FFDA193" w:rsidR="00330FA0" w:rsidRPr="00330FA0" w:rsidRDefault="00C20146" w:rsidP="00C20146">
      <w:pPr>
        <w:pStyle w:val="ListParagraph"/>
        <w:numPr>
          <w:ilvl w:val="0"/>
          <w:numId w:val="15"/>
        </w:numPr>
        <w:spacing w:before="240" w:after="0" w:line="240" w:lineRule="auto"/>
        <w:ind w:left="720"/>
        <w:contextualSpacing w:val="0"/>
        <w:rPr>
          <w:rFonts w:ascii="Times New Roman" w:hAnsi="Times New Roman" w:cs="Times New Roman"/>
          <w:b/>
          <w:bCs/>
          <w:sz w:val="28"/>
          <w:szCs w:val="28"/>
        </w:rPr>
      </w:pPr>
      <w:r>
        <w:rPr>
          <w:rFonts w:ascii="Times New Roman" w:hAnsi="Times New Roman" w:cs="Times New Roman"/>
          <w:b/>
          <w:bCs/>
          <w:sz w:val="28"/>
          <w:szCs w:val="28"/>
        </w:rPr>
        <w:t xml:space="preserve">PROPOSED SPECIAL ACTION RULE 17(C) REQUIRES THE </w:t>
      </w:r>
      <w:r w:rsidR="00180BD9">
        <w:rPr>
          <w:rFonts w:ascii="Times New Roman" w:hAnsi="Times New Roman" w:cs="Times New Roman"/>
          <w:b/>
          <w:bCs/>
          <w:sz w:val="28"/>
          <w:szCs w:val="28"/>
        </w:rPr>
        <w:t xml:space="preserve">APPELLATE </w:t>
      </w:r>
      <w:r>
        <w:rPr>
          <w:rFonts w:ascii="Times New Roman" w:hAnsi="Times New Roman" w:cs="Times New Roman"/>
          <w:b/>
          <w:bCs/>
          <w:sz w:val="28"/>
          <w:szCs w:val="28"/>
        </w:rPr>
        <w:t xml:space="preserve">COURT TO ISSUE A MANDATE </w:t>
      </w:r>
      <w:r w:rsidR="0062763B">
        <w:rPr>
          <w:rFonts w:ascii="Times New Roman" w:hAnsi="Times New Roman" w:cs="Times New Roman"/>
          <w:b/>
          <w:bCs/>
          <w:sz w:val="28"/>
          <w:szCs w:val="28"/>
        </w:rPr>
        <w:t xml:space="preserve">FOLLOWING </w:t>
      </w:r>
      <w:r>
        <w:rPr>
          <w:rFonts w:ascii="Times New Roman" w:hAnsi="Times New Roman" w:cs="Times New Roman"/>
          <w:b/>
          <w:bCs/>
          <w:sz w:val="28"/>
          <w:szCs w:val="28"/>
        </w:rPr>
        <w:t>A SPECIAL ACTION APPEAL.</w:t>
      </w:r>
    </w:p>
    <w:p w14:paraId="6D318E71" w14:textId="6476F448" w:rsidR="0060778D" w:rsidRDefault="00C20146" w:rsidP="00330FA0">
      <w:pPr>
        <w:pStyle w:val="Body"/>
        <w:widowControl w:val="0"/>
        <w:ind w:firstLine="720"/>
        <w:rPr>
          <w:sz w:val="28"/>
          <w:szCs w:val="28"/>
        </w:rPr>
      </w:pPr>
      <w:r>
        <w:rPr>
          <w:sz w:val="28"/>
          <w:szCs w:val="28"/>
        </w:rPr>
        <w:t xml:space="preserve">Proposed Special Action Rule 17 requires the </w:t>
      </w:r>
      <w:r w:rsidR="00180BD9">
        <w:rPr>
          <w:sz w:val="28"/>
          <w:szCs w:val="28"/>
        </w:rPr>
        <w:t xml:space="preserve">appellate </w:t>
      </w:r>
      <w:r>
        <w:rPr>
          <w:sz w:val="28"/>
          <w:szCs w:val="28"/>
        </w:rPr>
        <w:t>court to issue an order either accepting or declining special action jurisdiction.  If the court accepts jurisdiction, it must also enter an order granting or denying relief.</w:t>
      </w:r>
      <w:r w:rsidR="00AF5CE5">
        <w:rPr>
          <w:sz w:val="28"/>
          <w:szCs w:val="28"/>
        </w:rPr>
        <w:t xml:space="preserve">  Subsection (c)</w:t>
      </w:r>
      <w:r>
        <w:rPr>
          <w:sz w:val="28"/>
          <w:szCs w:val="28"/>
        </w:rPr>
        <w:t xml:space="preserve"> </w:t>
      </w:r>
      <w:r w:rsidR="00AF5CE5">
        <w:rPr>
          <w:sz w:val="28"/>
          <w:szCs w:val="28"/>
        </w:rPr>
        <w:t xml:space="preserve">of </w:t>
      </w:r>
      <w:r w:rsidR="004A3DEB">
        <w:rPr>
          <w:sz w:val="28"/>
          <w:szCs w:val="28"/>
        </w:rPr>
        <w:t xml:space="preserve">Proposed Special Action </w:t>
      </w:r>
      <w:r>
        <w:rPr>
          <w:sz w:val="28"/>
          <w:szCs w:val="28"/>
        </w:rPr>
        <w:t xml:space="preserve">Rule 17 then </w:t>
      </w:r>
      <w:r w:rsidR="0026472D">
        <w:rPr>
          <w:sz w:val="28"/>
          <w:szCs w:val="28"/>
        </w:rPr>
        <w:t xml:space="preserve">requires </w:t>
      </w:r>
      <w:r w:rsidR="005651BE">
        <w:rPr>
          <w:sz w:val="28"/>
          <w:szCs w:val="28"/>
        </w:rPr>
        <w:t xml:space="preserve">the appellate court to </w:t>
      </w:r>
      <w:r w:rsidR="0026472D">
        <w:rPr>
          <w:sz w:val="28"/>
          <w:szCs w:val="28"/>
        </w:rPr>
        <w:t>issu</w:t>
      </w:r>
      <w:r w:rsidR="005651BE">
        <w:rPr>
          <w:sz w:val="28"/>
          <w:szCs w:val="28"/>
        </w:rPr>
        <w:t>e</w:t>
      </w:r>
      <w:r w:rsidR="0026472D">
        <w:rPr>
          <w:sz w:val="28"/>
          <w:szCs w:val="28"/>
        </w:rPr>
        <w:t xml:space="preserve"> a mandate as follows</w:t>
      </w:r>
      <w:r>
        <w:rPr>
          <w:sz w:val="28"/>
          <w:szCs w:val="28"/>
        </w:rPr>
        <w:t>:  “</w:t>
      </w:r>
      <w:r w:rsidRPr="00C20146">
        <w:rPr>
          <w:sz w:val="28"/>
          <w:szCs w:val="28"/>
        </w:rPr>
        <w:t>The decision will become effective when the mandate or termination letter is issued unless the decision states that it is effective immediately.</w:t>
      </w:r>
      <w:r>
        <w:rPr>
          <w:sz w:val="28"/>
          <w:szCs w:val="28"/>
        </w:rPr>
        <w:t>”</w:t>
      </w:r>
    </w:p>
    <w:p w14:paraId="62E43ADA" w14:textId="26533EB7" w:rsidR="00491B2B" w:rsidRDefault="004A3DEB" w:rsidP="00AB43B4">
      <w:pPr>
        <w:pStyle w:val="Body"/>
        <w:widowControl w:val="0"/>
        <w:ind w:firstLine="720"/>
        <w:rPr>
          <w:sz w:val="28"/>
          <w:szCs w:val="28"/>
        </w:rPr>
      </w:pPr>
      <w:r w:rsidRPr="004A3DEB">
        <w:rPr>
          <w:sz w:val="28"/>
          <w:szCs w:val="28"/>
        </w:rPr>
        <w:t xml:space="preserve">Proposed Special Action </w:t>
      </w:r>
      <w:r w:rsidR="00C20146">
        <w:rPr>
          <w:sz w:val="28"/>
          <w:szCs w:val="28"/>
        </w:rPr>
        <w:t xml:space="preserve">Rule 10(a) </w:t>
      </w:r>
      <w:r w:rsidR="0062763B">
        <w:rPr>
          <w:sz w:val="28"/>
          <w:szCs w:val="28"/>
        </w:rPr>
        <w:t xml:space="preserve">incorporates </w:t>
      </w:r>
      <w:r w:rsidR="00C20146" w:rsidRPr="00C20146">
        <w:rPr>
          <w:sz w:val="28"/>
          <w:szCs w:val="28"/>
        </w:rPr>
        <w:t>ARCAP</w:t>
      </w:r>
      <w:r w:rsidR="00527755">
        <w:rPr>
          <w:sz w:val="28"/>
          <w:szCs w:val="28"/>
        </w:rPr>
        <w:t xml:space="preserve">, which, in turn, </w:t>
      </w:r>
      <w:r w:rsidR="00491B2B">
        <w:rPr>
          <w:sz w:val="28"/>
          <w:szCs w:val="28"/>
        </w:rPr>
        <w:t>requires</w:t>
      </w:r>
      <w:r>
        <w:rPr>
          <w:sz w:val="28"/>
          <w:szCs w:val="28"/>
        </w:rPr>
        <w:t xml:space="preserve"> </w:t>
      </w:r>
      <w:r w:rsidR="00314B73">
        <w:rPr>
          <w:sz w:val="28"/>
          <w:szCs w:val="28"/>
        </w:rPr>
        <w:t xml:space="preserve">the </w:t>
      </w:r>
      <w:r>
        <w:rPr>
          <w:sz w:val="28"/>
          <w:szCs w:val="28"/>
        </w:rPr>
        <w:t>appellate court to issue the mandate.</w:t>
      </w:r>
      <w:r w:rsidR="007B5AA4">
        <w:rPr>
          <w:sz w:val="28"/>
          <w:szCs w:val="28"/>
        </w:rPr>
        <w:t xml:space="preserve"> </w:t>
      </w:r>
      <w:bookmarkStart w:id="4" w:name="_Hlk162876249"/>
      <w:r w:rsidR="00491B2B" w:rsidRPr="00491B2B">
        <w:rPr>
          <w:sz w:val="28"/>
          <w:szCs w:val="28"/>
        </w:rPr>
        <w:t>ARCAP</w:t>
      </w:r>
      <w:r w:rsidR="00491B2B">
        <w:rPr>
          <w:sz w:val="28"/>
          <w:szCs w:val="28"/>
        </w:rPr>
        <w:t xml:space="preserve"> 24(b</w:t>
      </w:r>
      <w:bookmarkEnd w:id="4"/>
      <w:r w:rsidR="00491B2B">
        <w:rPr>
          <w:sz w:val="28"/>
          <w:szCs w:val="28"/>
        </w:rPr>
        <w:t xml:space="preserve">).  Subsection (a) </w:t>
      </w:r>
      <w:r w:rsidR="00693AD2">
        <w:rPr>
          <w:sz w:val="28"/>
          <w:szCs w:val="28"/>
        </w:rPr>
        <w:t xml:space="preserve">of ARCAP 24 </w:t>
      </w:r>
      <w:r w:rsidR="00491B2B">
        <w:rPr>
          <w:sz w:val="28"/>
          <w:szCs w:val="28"/>
        </w:rPr>
        <w:t xml:space="preserve">provides that “the appellate court </w:t>
      </w:r>
      <w:r w:rsidR="007B5AA4">
        <w:rPr>
          <w:sz w:val="28"/>
          <w:szCs w:val="28"/>
        </w:rPr>
        <w:t xml:space="preserve">retains jurisdiction </w:t>
      </w:r>
      <w:r w:rsidR="00A36948">
        <w:rPr>
          <w:sz w:val="28"/>
          <w:szCs w:val="28"/>
        </w:rPr>
        <w:t>of an appeal until it issues the mandate.”</w:t>
      </w:r>
      <w:r w:rsidR="0094449C">
        <w:rPr>
          <w:sz w:val="28"/>
          <w:szCs w:val="28"/>
        </w:rPr>
        <w:t xml:space="preserve">  The mandate is to issue 30 days after the decision if no petition for review is filed, or 15 days after a petition for review is denied.  ARCAP 24(b).</w:t>
      </w:r>
    </w:p>
    <w:p w14:paraId="023FBBD3" w14:textId="5D72B2AF" w:rsidR="004A3DEB" w:rsidRDefault="004A3DEB" w:rsidP="00AB43B4">
      <w:pPr>
        <w:pStyle w:val="Body"/>
        <w:widowControl w:val="0"/>
        <w:ind w:firstLine="720"/>
        <w:rPr>
          <w:sz w:val="28"/>
          <w:szCs w:val="28"/>
        </w:rPr>
      </w:pPr>
      <w:r>
        <w:rPr>
          <w:sz w:val="28"/>
          <w:szCs w:val="28"/>
        </w:rPr>
        <w:t xml:space="preserve">Thus, the </w:t>
      </w:r>
      <w:r w:rsidR="0060778D">
        <w:rPr>
          <w:sz w:val="28"/>
          <w:szCs w:val="28"/>
        </w:rPr>
        <w:t>p</w:t>
      </w:r>
      <w:r>
        <w:rPr>
          <w:sz w:val="28"/>
          <w:szCs w:val="28"/>
        </w:rPr>
        <w:t xml:space="preserve">roposed Special Action Rules for appellate special actions require the </w:t>
      </w:r>
      <w:r w:rsidR="00693AD2">
        <w:rPr>
          <w:sz w:val="28"/>
          <w:szCs w:val="28"/>
        </w:rPr>
        <w:t xml:space="preserve">trial court </w:t>
      </w:r>
      <w:r>
        <w:rPr>
          <w:sz w:val="28"/>
          <w:szCs w:val="28"/>
        </w:rPr>
        <w:t xml:space="preserve">to wait for a mandate, </w:t>
      </w:r>
      <w:r w:rsidR="00A36948">
        <w:rPr>
          <w:sz w:val="28"/>
          <w:szCs w:val="28"/>
        </w:rPr>
        <w:t xml:space="preserve">which presumes that jurisdiction is exclusively with the </w:t>
      </w:r>
      <w:r w:rsidR="00693AD2">
        <w:rPr>
          <w:sz w:val="28"/>
          <w:szCs w:val="28"/>
        </w:rPr>
        <w:t xml:space="preserve">appellate </w:t>
      </w:r>
      <w:r w:rsidR="00A36948">
        <w:rPr>
          <w:sz w:val="28"/>
          <w:szCs w:val="28"/>
        </w:rPr>
        <w:t xml:space="preserve">court, and </w:t>
      </w:r>
      <w:r>
        <w:rPr>
          <w:sz w:val="28"/>
          <w:szCs w:val="28"/>
        </w:rPr>
        <w:t>which is not issued until all further appeal times have lapsed, to carry out a</w:t>
      </w:r>
      <w:r w:rsidR="00AB43B4">
        <w:rPr>
          <w:sz w:val="28"/>
          <w:szCs w:val="28"/>
        </w:rPr>
        <w:t xml:space="preserve"> higher court’s decision </w:t>
      </w:r>
      <w:r w:rsidR="0060778D">
        <w:rPr>
          <w:sz w:val="28"/>
          <w:szCs w:val="28"/>
        </w:rPr>
        <w:t xml:space="preserve">that has already been issued </w:t>
      </w:r>
      <w:r w:rsidR="00613A03">
        <w:rPr>
          <w:sz w:val="28"/>
          <w:szCs w:val="28"/>
        </w:rPr>
        <w:t xml:space="preserve">in </w:t>
      </w:r>
      <w:r>
        <w:rPr>
          <w:sz w:val="28"/>
          <w:szCs w:val="28"/>
        </w:rPr>
        <w:t>a case over</w:t>
      </w:r>
      <w:r w:rsidR="00613A03">
        <w:rPr>
          <w:sz w:val="28"/>
          <w:szCs w:val="28"/>
        </w:rPr>
        <w:t xml:space="preserve"> </w:t>
      </w:r>
      <w:r>
        <w:rPr>
          <w:sz w:val="28"/>
          <w:szCs w:val="28"/>
        </w:rPr>
        <w:t xml:space="preserve">which </w:t>
      </w:r>
      <w:r w:rsidR="00A36948">
        <w:rPr>
          <w:sz w:val="28"/>
          <w:szCs w:val="28"/>
        </w:rPr>
        <w:t xml:space="preserve">the </w:t>
      </w:r>
      <w:r w:rsidR="00693AD2">
        <w:rPr>
          <w:sz w:val="28"/>
          <w:szCs w:val="28"/>
        </w:rPr>
        <w:t xml:space="preserve">trial </w:t>
      </w:r>
      <w:r w:rsidR="00A36948">
        <w:rPr>
          <w:sz w:val="28"/>
          <w:szCs w:val="28"/>
        </w:rPr>
        <w:t xml:space="preserve">court </w:t>
      </w:r>
      <w:r>
        <w:rPr>
          <w:sz w:val="28"/>
          <w:szCs w:val="28"/>
        </w:rPr>
        <w:t xml:space="preserve">continues to have jurisdiction.  The problem with this is that it needlessly </w:t>
      </w:r>
      <w:r w:rsidR="00613A03">
        <w:rPr>
          <w:sz w:val="28"/>
          <w:szCs w:val="28"/>
        </w:rPr>
        <w:t>s</w:t>
      </w:r>
      <w:r w:rsidR="00314B73">
        <w:rPr>
          <w:sz w:val="28"/>
          <w:szCs w:val="28"/>
        </w:rPr>
        <w:t>o</w:t>
      </w:r>
      <w:r w:rsidR="00613A03">
        <w:rPr>
          <w:sz w:val="28"/>
          <w:szCs w:val="28"/>
        </w:rPr>
        <w:t xml:space="preserve">ws confusion and </w:t>
      </w:r>
      <w:r>
        <w:rPr>
          <w:sz w:val="28"/>
          <w:szCs w:val="28"/>
        </w:rPr>
        <w:t>delays the pending case</w:t>
      </w:r>
      <w:r w:rsidR="00693AD2">
        <w:rPr>
          <w:sz w:val="28"/>
          <w:szCs w:val="28"/>
        </w:rPr>
        <w:t xml:space="preserve"> in the trial court</w:t>
      </w:r>
      <w:r>
        <w:rPr>
          <w:sz w:val="28"/>
          <w:szCs w:val="28"/>
        </w:rPr>
        <w:t>.</w:t>
      </w:r>
    </w:p>
    <w:p w14:paraId="65D0DA82" w14:textId="4AEA5223" w:rsidR="004A3DEB" w:rsidRDefault="004A3DEB" w:rsidP="00330FA0">
      <w:pPr>
        <w:pStyle w:val="Body"/>
        <w:widowControl w:val="0"/>
        <w:ind w:firstLine="720"/>
        <w:rPr>
          <w:sz w:val="28"/>
          <w:szCs w:val="28"/>
        </w:rPr>
      </w:pPr>
      <w:r>
        <w:rPr>
          <w:sz w:val="28"/>
          <w:szCs w:val="28"/>
        </w:rPr>
        <w:lastRenderedPageBreak/>
        <w:t xml:space="preserve">In reviewing special action appeals where I have been the respondent judge, and where no petition for review is filed, the court of appeals issues the mandate </w:t>
      </w:r>
      <w:r w:rsidR="005651BE">
        <w:rPr>
          <w:sz w:val="28"/>
          <w:szCs w:val="28"/>
        </w:rPr>
        <w:t>37</w:t>
      </w:r>
      <w:r>
        <w:rPr>
          <w:sz w:val="28"/>
          <w:szCs w:val="28"/>
        </w:rPr>
        <w:t xml:space="preserve"> days, on average, after it issues its decision.</w:t>
      </w:r>
      <w:r w:rsidR="008C64D9">
        <w:rPr>
          <w:sz w:val="28"/>
          <w:szCs w:val="28"/>
        </w:rPr>
        <w:t xml:space="preserve">  </w:t>
      </w:r>
      <w:r w:rsidR="005651BE">
        <w:rPr>
          <w:sz w:val="28"/>
          <w:szCs w:val="28"/>
        </w:rPr>
        <w:t xml:space="preserve">When a petition for review is filed and the Supreme Court does not grant review, the time between the Court of Appeals decision on the special action and the issuance of its mandate stretches well over 100 days.  </w:t>
      </w:r>
      <w:r w:rsidR="008C64D9">
        <w:rPr>
          <w:sz w:val="28"/>
          <w:szCs w:val="28"/>
        </w:rPr>
        <w:t xml:space="preserve">While </w:t>
      </w:r>
      <w:r w:rsidR="005651BE">
        <w:rPr>
          <w:sz w:val="28"/>
          <w:szCs w:val="28"/>
        </w:rPr>
        <w:t xml:space="preserve">that does </w:t>
      </w:r>
      <w:r w:rsidR="008C64D9">
        <w:rPr>
          <w:sz w:val="28"/>
          <w:szCs w:val="28"/>
        </w:rPr>
        <w:t>not seem</w:t>
      </w:r>
      <w:bookmarkEnd w:id="2"/>
      <w:r w:rsidR="008C64D9">
        <w:rPr>
          <w:sz w:val="28"/>
          <w:szCs w:val="28"/>
        </w:rPr>
        <w:t xml:space="preserve"> like a </w:t>
      </w:r>
      <w:r w:rsidR="00693AD2">
        <w:rPr>
          <w:sz w:val="28"/>
          <w:szCs w:val="28"/>
        </w:rPr>
        <w:t xml:space="preserve">long period of time, it can delay </w:t>
      </w:r>
      <w:r w:rsidR="0026472D">
        <w:rPr>
          <w:sz w:val="28"/>
          <w:szCs w:val="28"/>
        </w:rPr>
        <w:t xml:space="preserve">things </w:t>
      </w:r>
      <w:r w:rsidR="00693AD2">
        <w:rPr>
          <w:sz w:val="28"/>
          <w:szCs w:val="28"/>
        </w:rPr>
        <w:t>substantially in time sensitive matters.</w:t>
      </w:r>
      <w:r w:rsidR="00693AD2">
        <w:rPr>
          <w:rStyle w:val="FootnoteReference"/>
          <w:sz w:val="28"/>
          <w:szCs w:val="28"/>
        </w:rPr>
        <w:footnoteReference w:id="1"/>
      </w:r>
    </w:p>
    <w:p w14:paraId="4D3F7A7C" w14:textId="6E4CD990" w:rsidR="002B40E4" w:rsidRDefault="0062763B" w:rsidP="002B40E4">
      <w:pPr>
        <w:pStyle w:val="Body"/>
        <w:widowControl w:val="0"/>
        <w:ind w:firstLine="720"/>
        <w:rPr>
          <w:sz w:val="28"/>
          <w:szCs w:val="28"/>
        </w:rPr>
      </w:pPr>
      <w:bookmarkStart w:id="5" w:name="_Hlk162949072"/>
      <w:r>
        <w:rPr>
          <w:sz w:val="28"/>
          <w:szCs w:val="28"/>
        </w:rPr>
        <w:t>As the Wright and Miller treatise</w:t>
      </w:r>
      <w:r w:rsidR="002B40E4">
        <w:rPr>
          <w:sz w:val="28"/>
          <w:szCs w:val="28"/>
        </w:rPr>
        <w:t xml:space="preserve"> explains, </w:t>
      </w:r>
      <w:r w:rsidR="00E16666">
        <w:rPr>
          <w:sz w:val="28"/>
          <w:szCs w:val="28"/>
        </w:rPr>
        <w:t xml:space="preserve">there is </w:t>
      </w:r>
      <w:r w:rsidR="002B40E4">
        <w:rPr>
          <w:sz w:val="28"/>
          <w:szCs w:val="28"/>
        </w:rPr>
        <w:t xml:space="preserve">often </w:t>
      </w:r>
      <w:r>
        <w:rPr>
          <w:sz w:val="28"/>
          <w:szCs w:val="28"/>
        </w:rPr>
        <w:t xml:space="preserve">no reason to issue an order implementing a decision in a mandamus action </w:t>
      </w:r>
      <w:r w:rsidR="00491B2B">
        <w:rPr>
          <w:sz w:val="28"/>
          <w:szCs w:val="28"/>
        </w:rPr>
        <w:t>because</w:t>
      </w:r>
      <w:r>
        <w:rPr>
          <w:sz w:val="28"/>
          <w:szCs w:val="28"/>
        </w:rPr>
        <w:t xml:space="preserve"> the trial court is expected to follow the </w:t>
      </w:r>
      <w:r w:rsidR="00FC0F0B">
        <w:rPr>
          <w:sz w:val="28"/>
          <w:szCs w:val="28"/>
        </w:rPr>
        <w:t>higher court’s decision</w:t>
      </w:r>
      <w:r w:rsidR="002B40E4">
        <w:rPr>
          <w:sz w:val="28"/>
          <w:szCs w:val="28"/>
        </w:rPr>
        <w:t>.</w:t>
      </w:r>
      <w:r w:rsidR="002B40E4" w:rsidRPr="002B40E4">
        <w:rPr>
          <w:sz w:val="28"/>
          <w:szCs w:val="28"/>
        </w:rPr>
        <w:t xml:space="preserve"> </w:t>
      </w:r>
      <w:r w:rsidR="002B40E4">
        <w:rPr>
          <w:sz w:val="28"/>
          <w:szCs w:val="28"/>
        </w:rPr>
        <w:t xml:space="preserve"> </w:t>
      </w:r>
      <w:r w:rsidR="002B40E4" w:rsidRPr="002B40E4">
        <w:rPr>
          <w:sz w:val="28"/>
          <w:szCs w:val="28"/>
        </w:rPr>
        <w:t xml:space="preserve">§ 3932.2 Extraordinary Writ Review—Procedural Incidents, 16 Fed. Prac. &amp; Proc. Juris. </w:t>
      </w:r>
      <w:r w:rsidR="002B40E4">
        <w:rPr>
          <w:sz w:val="28"/>
          <w:szCs w:val="28"/>
        </w:rPr>
        <w:t>(</w:t>
      </w:r>
      <w:r w:rsidR="002B40E4" w:rsidRPr="002B40E4">
        <w:rPr>
          <w:sz w:val="28"/>
          <w:szCs w:val="28"/>
        </w:rPr>
        <w:t>3d ed.)</w:t>
      </w:r>
      <w:r w:rsidR="002B40E4">
        <w:rPr>
          <w:sz w:val="28"/>
          <w:szCs w:val="28"/>
        </w:rPr>
        <w:t xml:space="preserve"> (“</w:t>
      </w:r>
      <w:r w:rsidR="002B40E4" w:rsidRPr="002B40E4">
        <w:rPr>
          <w:sz w:val="28"/>
          <w:szCs w:val="28"/>
        </w:rPr>
        <w:t>The generally relaxed approach to choosing the form of the writ issued extends to the decision whether to actually issue a writ once it has been determined that a writ might appropriately issue. Perhaps the most obvious reason for withholding actual issuance of a writ is acquiescence by the trial court in the position adopted by the court of appeals.</w:t>
      </w:r>
      <w:r w:rsidR="002B40E4">
        <w:rPr>
          <w:sz w:val="28"/>
          <w:szCs w:val="28"/>
        </w:rPr>
        <w:t>”).</w:t>
      </w:r>
    </w:p>
    <w:p w14:paraId="0C03EE8D" w14:textId="2BBF9EF4" w:rsidR="002B40E4" w:rsidRPr="002B40E4" w:rsidRDefault="002B40E4" w:rsidP="002B40E4">
      <w:pPr>
        <w:pStyle w:val="Body"/>
        <w:widowControl w:val="0"/>
        <w:ind w:firstLine="720"/>
        <w:rPr>
          <w:sz w:val="28"/>
          <w:szCs w:val="28"/>
        </w:rPr>
      </w:pPr>
      <w:bookmarkStart w:id="6" w:name="_Hlk162949091"/>
      <w:bookmarkEnd w:id="5"/>
      <w:r>
        <w:rPr>
          <w:sz w:val="28"/>
          <w:szCs w:val="28"/>
        </w:rPr>
        <w:t xml:space="preserve">The proposed rule requiring the issuance of a mandate impedes what </w:t>
      </w:r>
      <w:r w:rsidR="005651BE">
        <w:rPr>
          <w:sz w:val="28"/>
          <w:szCs w:val="28"/>
        </w:rPr>
        <w:t xml:space="preserve">should </w:t>
      </w:r>
      <w:r>
        <w:rPr>
          <w:sz w:val="28"/>
          <w:szCs w:val="28"/>
        </w:rPr>
        <w:t xml:space="preserve">happen naturally, which is that upon receiving the </w:t>
      </w:r>
      <w:r w:rsidR="00494DDE">
        <w:rPr>
          <w:sz w:val="28"/>
          <w:szCs w:val="28"/>
        </w:rPr>
        <w:t xml:space="preserve">appellate </w:t>
      </w:r>
      <w:r>
        <w:rPr>
          <w:sz w:val="28"/>
          <w:szCs w:val="28"/>
        </w:rPr>
        <w:t>court’</w:t>
      </w:r>
      <w:r w:rsidR="00494DDE">
        <w:rPr>
          <w:sz w:val="28"/>
          <w:szCs w:val="28"/>
        </w:rPr>
        <w:t>s</w:t>
      </w:r>
      <w:r>
        <w:rPr>
          <w:sz w:val="28"/>
          <w:szCs w:val="28"/>
        </w:rPr>
        <w:t xml:space="preserve"> special action decision, the </w:t>
      </w:r>
      <w:r w:rsidR="00494DDE">
        <w:rPr>
          <w:sz w:val="28"/>
          <w:szCs w:val="28"/>
        </w:rPr>
        <w:t xml:space="preserve">trial court </w:t>
      </w:r>
      <w:r>
        <w:rPr>
          <w:sz w:val="28"/>
          <w:szCs w:val="28"/>
        </w:rPr>
        <w:t xml:space="preserve">either issues an order implementing the decision, or sets a </w:t>
      </w:r>
      <w:r>
        <w:rPr>
          <w:sz w:val="28"/>
          <w:szCs w:val="28"/>
        </w:rPr>
        <w:lastRenderedPageBreak/>
        <w:t>hearing to discuss with the parties on how to implement the decision.</w:t>
      </w:r>
    </w:p>
    <w:p w14:paraId="7EF86A0D" w14:textId="0392A1FE" w:rsidR="008C64D9" w:rsidRPr="008C64D9" w:rsidRDefault="008C64D9" w:rsidP="005651BE">
      <w:pPr>
        <w:pStyle w:val="ListParagraph"/>
        <w:keepNext/>
        <w:keepLines/>
        <w:numPr>
          <w:ilvl w:val="0"/>
          <w:numId w:val="15"/>
        </w:numPr>
        <w:spacing w:before="240" w:after="0" w:line="240" w:lineRule="auto"/>
        <w:ind w:left="720"/>
        <w:contextualSpacing w:val="0"/>
        <w:rPr>
          <w:rFonts w:ascii="Times New Roman" w:hAnsi="Times New Roman" w:cs="Times New Roman"/>
          <w:sz w:val="28"/>
          <w:szCs w:val="28"/>
        </w:rPr>
      </w:pPr>
      <w:r>
        <w:rPr>
          <w:rFonts w:ascii="Times New Roman" w:hAnsi="Times New Roman" w:cs="Times New Roman"/>
          <w:b/>
          <w:bCs/>
          <w:sz w:val="28"/>
          <w:szCs w:val="28"/>
        </w:rPr>
        <w:t xml:space="preserve">RATHER THAN ISSUING A MANDATE, THE </w:t>
      </w:r>
      <w:r w:rsidR="00494DDE">
        <w:rPr>
          <w:rFonts w:ascii="Times New Roman" w:hAnsi="Times New Roman" w:cs="Times New Roman"/>
          <w:b/>
          <w:bCs/>
          <w:sz w:val="28"/>
          <w:szCs w:val="28"/>
        </w:rPr>
        <w:t xml:space="preserve">APPELLATE </w:t>
      </w:r>
      <w:r>
        <w:rPr>
          <w:rFonts w:ascii="Times New Roman" w:hAnsi="Times New Roman" w:cs="Times New Roman"/>
          <w:b/>
          <w:bCs/>
          <w:sz w:val="28"/>
          <w:szCs w:val="28"/>
        </w:rPr>
        <w:t xml:space="preserve">COURT CAN USE ITS STAY </w:t>
      </w:r>
      <w:r w:rsidR="00D84F52">
        <w:rPr>
          <w:rFonts w:ascii="Times New Roman" w:hAnsi="Times New Roman" w:cs="Times New Roman"/>
          <w:b/>
          <w:bCs/>
          <w:sz w:val="28"/>
          <w:szCs w:val="28"/>
        </w:rPr>
        <w:t xml:space="preserve">AUTHORITY </w:t>
      </w:r>
      <w:r>
        <w:rPr>
          <w:rFonts w:ascii="Times New Roman" w:hAnsi="Times New Roman" w:cs="Times New Roman"/>
          <w:b/>
          <w:bCs/>
          <w:sz w:val="28"/>
          <w:szCs w:val="28"/>
        </w:rPr>
        <w:t>TO MANAGE THE CASE WHILE FURTHER APPEAL TIMES REMAIN OPEN.</w:t>
      </w:r>
    </w:p>
    <w:p w14:paraId="1090A01A" w14:textId="5B523534" w:rsidR="00043143" w:rsidRDefault="00613A03" w:rsidP="005651BE">
      <w:pPr>
        <w:pStyle w:val="Body"/>
        <w:keepNext/>
        <w:keepLines/>
        <w:widowControl w:val="0"/>
        <w:ind w:firstLine="720"/>
        <w:rPr>
          <w:sz w:val="28"/>
          <w:szCs w:val="28"/>
        </w:rPr>
      </w:pPr>
      <w:r>
        <w:rPr>
          <w:sz w:val="28"/>
          <w:szCs w:val="28"/>
        </w:rPr>
        <w:t xml:space="preserve">Under current </w:t>
      </w:r>
      <w:r w:rsidR="00043143">
        <w:rPr>
          <w:sz w:val="28"/>
          <w:szCs w:val="28"/>
        </w:rPr>
        <w:t>precedent</w:t>
      </w:r>
      <w:r>
        <w:rPr>
          <w:sz w:val="28"/>
          <w:szCs w:val="28"/>
        </w:rPr>
        <w:t xml:space="preserve">, </w:t>
      </w:r>
      <w:r w:rsidR="00043143">
        <w:rPr>
          <w:sz w:val="28"/>
          <w:szCs w:val="28"/>
        </w:rPr>
        <w:t xml:space="preserve">when a special action is filed, the </w:t>
      </w:r>
      <w:r w:rsidR="00494DDE">
        <w:rPr>
          <w:sz w:val="28"/>
          <w:szCs w:val="28"/>
        </w:rPr>
        <w:t xml:space="preserve">appellate </w:t>
      </w:r>
      <w:r w:rsidR="00043143">
        <w:rPr>
          <w:sz w:val="28"/>
          <w:szCs w:val="28"/>
        </w:rPr>
        <w:t>court manage</w:t>
      </w:r>
      <w:r w:rsidR="0060778D">
        <w:rPr>
          <w:sz w:val="28"/>
          <w:szCs w:val="28"/>
        </w:rPr>
        <w:t>s</w:t>
      </w:r>
      <w:r w:rsidR="00043143">
        <w:rPr>
          <w:sz w:val="28"/>
          <w:szCs w:val="28"/>
        </w:rPr>
        <w:t xml:space="preserve"> the relationship between itself and the </w:t>
      </w:r>
      <w:r w:rsidR="00494DDE">
        <w:rPr>
          <w:sz w:val="28"/>
          <w:szCs w:val="28"/>
        </w:rPr>
        <w:t xml:space="preserve">trial </w:t>
      </w:r>
      <w:r w:rsidR="00043143">
        <w:rPr>
          <w:sz w:val="28"/>
          <w:szCs w:val="28"/>
        </w:rPr>
        <w:t xml:space="preserve">court through the use of stay.  </w:t>
      </w:r>
      <w:r w:rsidR="00043143" w:rsidRPr="00043143">
        <w:rPr>
          <w:i/>
          <w:iCs/>
          <w:sz w:val="28"/>
          <w:szCs w:val="28"/>
        </w:rPr>
        <w:t>Coffee v. Ryan-Touhill</w:t>
      </w:r>
      <w:r w:rsidR="00043143" w:rsidRPr="00043143">
        <w:rPr>
          <w:sz w:val="28"/>
          <w:szCs w:val="28"/>
        </w:rPr>
        <w:t xml:space="preserve">, 247 Ariz. </w:t>
      </w:r>
      <w:r w:rsidR="00043143">
        <w:rPr>
          <w:sz w:val="28"/>
          <w:szCs w:val="28"/>
        </w:rPr>
        <w:t>at</w:t>
      </w:r>
      <w:r w:rsidR="00043143" w:rsidRPr="00043143">
        <w:rPr>
          <w:sz w:val="28"/>
          <w:szCs w:val="28"/>
        </w:rPr>
        <w:t xml:space="preserve"> 72, ¶ 15</w:t>
      </w:r>
      <w:r w:rsidR="00043143">
        <w:rPr>
          <w:sz w:val="28"/>
          <w:szCs w:val="28"/>
        </w:rPr>
        <w:t xml:space="preserve"> (“[U]</w:t>
      </w:r>
      <w:r w:rsidRPr="00613A03">
        <w:rPr>
          <w:sz w:val="28"/>
          <w:szCs w:val="28"/>
        </w:rPr>
        <w:t>nless the appellate court issues a stay, the superior court may proceed in the underlying action during a special action. And even when a stay is entered, the superior court is only limited in its actions by the express language of the stay order. Although the superior court must comply with such orders, it does not lose jurisdiction as it would when an appeal is commenced.</w:t>
      </w:r>
      <w:r w:rsidR="00043143">
        <w:rPr>
          <w:sz w:val="28"/>
          <w:szCs w:val="28"/>
        </w:rPr>
        <w:t>”).</w:t>
      </w:r>
      <w:r w:rsidR="00721208">
        <w:rPr>
          <w:sz w:val="28"/>
          <w:szCs w:val="28"/>
        </w:rPr>
        <w:t xml:space="preserve">  As a practical matter, </w:t>
      </w:r>
      <w:r w:rsidR="005651BE">
        <w:rPr>
          <w:sz w:val="28"/>
          <w:szCs w:val="28"/>
        </w:rPr>
        <w:t xml:space="preserve">the </w:t>
      </w:r>
      <w:r w:rsidR="00721208">
        <w:rPr>
          <w:sz w:val="28"/>
          <w:szCs w:val="28"/>
        </w:rPr>
        <w:t>trial judge generally enter</w:t>
      </w:r>
      <w:r w:rsidR="005651BE">
        <w:rPr>
          <w:sz w:val="28"/>
          <w:szCs w:val="28"/>
        </w:rPr>
        <w:t>s</w:t>
      </w:r>
      <w:r w:rsidR="00721208">
        <w:rPr>
          <w:sz w:val="28"/>
          <w:szCs w:val="28"/>
        </w:rPr>
        <w:t xml:space="preserve"> a stay </w:t>
      </w:r>
      <w:r w:rsidR="00E70D14">
        <w:rPr>
          <w:sz w:val="28"/>
          <w:szCs w:val="28"/>
        </w:rPr>
        <w:t xml:space="preserve">when an appellate special action is filed, </w:t>
      </w:r>
      <w:r w:rsidR="00721208">
        <w:rPr>
          <w:sz w:val="28"/>
          <w:szCs w:val="28"/>
        </w:rPr>
        <w:t xml:space="preserve">so the case is stayed while </w:t>
      </w:r>
      <w:r w:rsidR="00E70D14">
        <w:rPr>
          <w:sz w:val="28"/>
          <w:szCs w:val="28"/>
        </w:rPr>
        <w:t xml:space="preserve">it is before </w:t>
      </w:r>
      <w:r w:rsidR="00721208">
        <w:rPr>
          <w:sz w:val="28"/>
          <w:szCs w:val="28"/>
        </w:rPr>
        <w:t xml:space="preserve">the appellate court.  The only problem with </w:t>
      </w:r>
      <w:r w:rsidR="00E70D14">
        <w:rPr>
          <w:sz w:val="28"/>
          <w:szCs w:val="28"/>
        </w:rPr>
        <w:t xml:space="preserve">this </w:t>
      </w:r>
      <w:r w:rsidR="005651BE">
        <w:rPr>
          <w:sz w:val="28"/>
          <w:szCs w:val="28"/>
        </w:rPr>
        <w:t xml:space="preserve">practice </w:t>
      </w:r>
      <w:r w:rsidR="00721208">
        <w:rPr>
          <w:sz w:val="28"/>
          <w:szCs w:val="28"/>
        </w:rPr>
        <w:t>is the issue of when the trial court should dissolve it—once the appellate court has entered its decision</w:t>
      </w:r>
      <w:r w:rsidR="00E82A1D">
        <w:rPr>
          <w:sz w:val="28"/>
          <w:szCs w:val="28"/>
        </w:rPr>
        <w:t xml:space="preserve">—or </w:t>
      </w:r>
      <w:r w:rsidR="00721208">
        <w:rPr>
          <w:sz w:val="28"/>
          <w:szCs w:val="28"/>
        </w:rPr>
        <w:t>once the appellate court issues a mandate.</w:t>
      </w:r>
    </w:p>
    <w:p w14:paraId="1446C515" w14:textId="3092D452" w:rsidR="00857CA6" w:rsidRDefault="0092387C" w:rsidP="00330FA0">
      <w:pPr>
        <w:pStyle w:val="Body"/>
        <w:widowControl w:val="0"/>
        <w:ind w:firstLine="720"/>
        <w:rPr>
          <w:sz w:val="28"/>
          <w:szCs w:val="28"/>
        </w:rPr>
      </w:pPr>
      <w:r>
        <w:rPr>
          <w:sz w:val="28"/>
          <w:szCs w:val="28"/>
        </w:rPr>
        <w:t xml:space="preserve">Proposed Special Action Rule 15(h) </w:t>
      </w:r>
      <w:r w:rsidR="00DB129A">
        <w:rPr>
          <w:sz w:val="28"/>
          <w:szCs w:val="28"/>
        </w:rPr>
        <w:t xml:space="preserve">is consistent with current precedent in that it </w:t>
      </w:r>
      <w:r>
        <w:rPr>
          <w:sz w:val="28"/>
          <w:szCs w:val="28"/>
        </w:rPr>
        <w:t xml:space="preserve">allows the </w:t>
      </w:r>
      <w:r w:rsidR="00494DDE">
        <w:rPr>
          <w:sz w:val="28"/>
          <w:szCs w:val="28"/>
        </w:rPr>
        <w:t xml:space="preserve">appellate </w:t>
      </w:r>
      <w:r>
        <w:rPr>
          <w:sz w:val="28"/>
          <w:szCs w:val="28"/>
        </w:rPr>
        <w:t>court to issue a stay</w:t>
      </w:r>
      <w:r w:rsidR="002B40E4">
        <w:rPr>
          <w:sz w:val="28"/>
          <w:szCs w:val="28"/>
        </w:rPr>
        <w:t xml:space="preserve"> when an appellate special action is filed</w:t>
      </w:r>
      <w:r>
        <w:rPr>
          <w:sz w:val="28"/>
          <w:szCs w:val="28"/>
        </w:rPr>
        <w:t>:  “</w:t>
      </w:r>
      <w:r w:rsidRPr="0092387C">
        <w:rPr>
          <w:sz w:val="28"/>
          <w:szCs w:val="28"/>
        </w:rPr>
        <w:t>Unless the reviewing court issues a stay, the court from which special action relief is sought retains jurisdiction over the case, including those matters as to which relief is sought</w:t>
      </w:r>
      <w:r>
        <w:rPr>
          <w:sz w:val="28"/>
          <w:szCs w:val="28"/>
        </w:rPr>
        <w:t xml:space="preserve">.”  Therefore, </w:t>
      </w:r>
      <w:r w:rsidR="002B40E4">
        <w:rPr>
          <w:sz w:val="28"/>
          <w:szCs w:val="28"/>
        </w:rPr>
        <w:t xml:space="preserve">the proposed rule </w:t>
      </w:r>
      <w:r w:rsidR="007150EC">
        <w:rPr>
          <w:sz w:val="28"/>
          <w:szCs w:val="28"/>
        </w:rPr>
        <w:t>allows</w:t>
      </w:r>
      <w:r>
        <w:rPr>
          <w:sz w:val="28"/>
          <w:szCs w:val="28"/>
        </w:rPr>
        <w:t xml:space="preserve"> the </w:t>
      </w:r>
      <w:r w:rsidR="00494DDE">
        <w:rPr>
          <w:sz w:val="28"/>
          <w:szCs w:val="28"/>
        </w:rPr>
        <w:t xml:space="preserve">appellate </w:t>
      </w:r>
      <w:r>
        <w:rPr>
          <w:sz w:val="28"/>
          <w:szCs w:val="28"/>
        </w:rPr>
        <w:t>court to continue a stay after it issues its decision if it believes its decision should not be ca</w:t>
      </w:r>
      <w:r w:rsidR="0016338D">
        <w:rPr>
          <w:sz w:val="28"/>
          <w:szCs w:val="28"/>
        </w:rPr>
        <w:t>rried into effect immediately.</w:t>
      </w:r>
    </w:p>
    <w:p w14:paraId="207F5339" w14:textId="068E9F01" w:rsidR="008C64D9" w:rsidRDefault="00AB43B4" w:rsidP="00330FA0">
      <w:pPr>
        <w:pStyle w:val="Body"/>
        <w:widowControl w:val="0"/>
        <w:ind w:firstLine="720"/>
        <w:rPr>
          <w:sz w:val="28"/>
          <w:szCs w:val="28"/>
        </w:rPr>
      </w:pPr>
      <w:r>
        <w:rPr>
          <w:sz w:val="28"/>
          <w:szCs w:val="28"/>
        </w:rPr>
        <w:t xml:space="preserve">Continuing </w:t>
      </w:r>
      <w:r w:rsidR="0060778D">
        <w:rPr>
          <w:sz w:val="28"/>
          <w:szCs w:val="28"/>
        </w:rPr>
        <w:t xml:space="preserve">the stay </w:t>
      </w:r>
      <w:r w:rsidR="00E82A1D">
        <w:rPr>
          <w:sz w:val="28"/>
          <w:szCs w:val="28"/>
        </w:rPr>
        <w:t xml:space="preserve">following a special action decision </w:t>
      </w:r>
      <w:r w:rsidR="0060778D">
        <w:rPr>
          <w:sz w:val="28"/>
          <w:szCs w:val="28"/>
        </w:rPr>
        <w:t xml:space="preserve">should be based on </w:t>
      </w:r>
      <w:r w:rsidR="002B40E4">
        <w:rPr>
          <w:sz w:val="28"/>
          <w:szCs w:val="28"/>
        </w:rPr>
        <w:t>equitable principals weighing the need to implement the decision immediately versus</w:t>
      </w:r>
      <w:r w:rsidR="00495714">
        <w:rPr>
          <w:sz w:val="28"/>
          <w:szCs w:val="28"/>
        </w:rPr>
        <w:t xml:space="preserve"> a reasonable</w:t>
      </w:r>
      <w:r w:rsidR="0060778D">
        <w:rPr>
          <w:sz w:val="28"/>
          <w:szCs w:val="28"/>
        </w:rPr>
        <w:t xml:space="preserve"> belief that </w:t>
      </w:r>
      <w:r w:rsidR="00495714">
        <w:rPr>
          <w:sz w:val="28"/>
          <w:szCs w:val="28"/>
        </w:rPr>
        <w:t>t</w:t>
      </w:r>
      <w:r>
        <w:rPr>
          <w:sz w:val="28"/>
          <w:szCs w:val="28"/>
        </w:rPr>
        <w:t xml:space="preserve">he special action </w:t>
      </w:r>
      <w:r w:rsidR="0060778D">
        <w:rPr>
          <w:sz w:val="28"/>
          <w:szCs w:val="28"/>
        </w:rPr>
        <w:t xml:space="preserve">decision will be amended or </w:t>
      </w:r>
      <w:r w:rsidR="0060778D">
        <w:rPr>
          <w:sz w:val="28"/>
          <w:szCs w:val="28"/>
        </w:rPr>
        <w:lastRenderedPageBreak/>
        <w:t xml:space="preserve">reversed following a motion for reconsideration or </w:t>
      </w:r>
      <w:r w:rsidR="00494DDE">
        <w:rPr>
          <w:sz w:val="28"/>
          <w:szCs w:val="28"/>
        </w:rPr>
        <w:t xml:space="preserve">higher </w:t>
      </w:r>
      <w:r w:rsidR="0060778D">
        <w:rPr>
          <w:sz w:val="28"/>
          <w:szCs w:val="28"/>
        </w:rPr>
        <w:t>court action.</w:t>
      </w:r>
    </w:p>
    <w:p w14:paraId="2681FFAC" w14:textId="7E0BF875" w:rsidR="00C20146" w:rsidRPr="0016338D" w:rsidRDefault="0016338D" w:rsidP="005651BE">
      <w:pPr>
        <w:pStyle w:val="Body"/>
        <w:keepNext/>
        <w:keepLines/>
        <w:ind w:firstLine="720"/>
        <w:jc w:val="center"/>
        <w:rPr>
          <w:b/>
          <w:bCs/>
          <w:smallCaps/>
          <w:sz w:val="28"/>
          <w:szCs w:val="28"/>
        </w:rPr>
      </w:pPr>
      <w:r>
        <w:rPr>
          <w:b/>
          <w:bCs/>
          <w:smallCaps/>
          <w:sz w:val="28"/>
          <w:szCs w:val="28"/>
        </w:rPr>
        <w:t>Conclusion</w:t>
      </w:r>
    </w:p>
    <w:p w14:paraId="3411EBA6" w14:textId="55073AE3" w:rsidR="00381613" w:rsidRDefault="0016338D" w:rsidP="005651BE">
      <w:pPr>
        <w:pStyle w:val="Body"/>
        <w:keepNext/>
        <w:keepLines/>
        <w:ind w:firstLine="720"/>
        <w:rPr>
          <w:sz w:val="28"/>
          <w:szCs w:val="28"/>
        </w:rPr>
      </w:pPr>
      <w:r>
        <w:rPr>
          <w:sz w:val="28"/>
          <w:szCs w:val="28"/>
        </w:rPr>
        <w:t xml:space="preserve">Based on the foregoing, I respectfully recommend that </w:t>
      </w:r>
      <w:r w:rsidR="0060778D">
        <w:rPr>
          <w:sz w:val="28"/>
          <w:szCs w:val="28"/>
        </w:rPr>
        <w:t>p</w:t>
      </w:r>
      <w:r>
        <w:rPr>
          <w:sz w:val="28"/>
          <w:szCs w:val="28"/>
        </w:rPr>
        <w:t xml:space="preserve">roposed </w:t>
      </w:r>
      <w:r w:rsidR="00EE03F1">
        <w:rPr>
          <w:sz w:val="28"/>
          <w:szCs w:val="28"/>
        </w:rPr>
        <w:t>Special</w:t>
      </w:r>
      <w:r>
        <w:rPr>
          <w:sz w:val="28"/>
          <w:szCs w:val="28"/>
        </w:rPr>
        <w:t xml:space="preserve"> Action Rule 17(c) be amended as follows</w:t>
      </w:r>
      <w:r w:rsidR="00CF04F1">
        <w:rPr>
          <w:sz w:val="28"/>
          <w:szCs w:val="28"/>
        </w:rPr>
        <w:t xml:space="preserve"> (deletions shown as </w:t>
      </w:r>
      <w:r w:rsidR="00CF04F1" w:rsidRPr="00AB43B4">
        <w:rPr>
          <w:strike/>
          <w:sz w:val="28"/>
          <w:szCs w:val="28"/>
        </w:rPr>
        <w:t>strikethroughs</w:t>
      </w:r>
      <w:r w:rsidR="00CF04F1">
        <w:rPr>
          <w:sz w:val="28"/>
          <w:szCs w:val="28"/>
        </w:rPr>
        <w:t xml:space="preserve"> and additions shown as </w:t>
      </w:r>
      <w:r w:rsidR="00CF04F1" w:rsidRPr="00AB43B4">
        <w:rPr>
          <w:sz w:val="28"/>
          <w:szCs w:val="28"/>
          <w:u w:val="single"/>
        </w:rPr>
        <w:t>underlined</w:t>
      </w:r>
      <w:r w:rsidR="00CF04F1">
        <w:rPr>
          <w:sz w:val="28"/>
          <w:szCs w:val="28"/>
        </w:rPr>
        <w:t>)</w:t>
      </w:r>
      <w:r>
        <w:rPr>
          <w:sz w:val="28"/>
          <w:szCs w:val="28"/>
        </w:rPr>
        <w:t>:</w:t>
      </w:r>
    </w:p>
    <w:p w14:paraId="7AC6B623" w14:textId="454EF583" w:rsidR="00330FA0" w:rsidRPr="0016338D" w:rsidRDefault="0016338D" w:rsidP="0016338D">
      <w:pPr>
        <w:pStyle w:val="Body"/>
        <w:widowControl w:val="0"/>
        <w:ind w:left="720" w:right="720" w:firstLine="0"/>
        <w:rPr>
          <w:sz w:val="28"/>
          <w:szCs w:val="28"/>
        </w:rPr>
      </w:pPr>
      <w:r>
        <w:rPr>
          <w:b/>
          <w:bCs/>
          <w:sz w:val="28"/>
          <w:szCs w:val="28"/>
        </w:rPr>
        <w:t>(c) Effectiveness of Decision.</w:t>
      </w:r>
      <w:r w:rsidRPr="0016338D">
        <w:rPr>
          <w:sz w:val="28"/>
          <w:szCs w:val="28"/>
        </w:rPr>
        <w:t xml:space="preserve">  The decision will become effective </w:t>
      </w:r>
      <w:r w:rsidRPr="0016338D">
        <w:rPr>
          <w:strike/>
          <w:sz w:val="28"/>
          <w:szCs w:val="28"/>
        </w:rPr>
        <w:t>when the mandate or termination letter is issued unless the decision states that it is effective</w:t>
      </w:r>
      <w:r w:rsidRPr="0016338D">
        <w:rPr>
          <w:sz w:val="28"/>
          <w:szCs w:val="28"/>
        </w:rPr>
        <w:t xml:space="preserve"> </w:t>
      </w:r>
      <w:r w:rsidRPr="00D86135">
        <w:rPr>
          <w:sz w:val="28"/>
          <w:szCs w:val="28"/>
        </w:rPr>
        <w:t>i</w:t>
      </w:r>
      <w:r w:rsidRPr="00CF04F1">
        <w:rPr>
          <w:sz w:val="28"/>
          <w:szCs w:val="28"/>
        </w:rPr>
        <w:t>mmediately</w:t>
      </w:r>
      <w:r w:rsidR="00CF04F1">
        <w:rPr>
          <w:sz w:val="28"/>
          <w:szCs w:val="28"/>
        </w:rPr>
        <w:t xml:space="preserve"> </w:t>
      </w:r>
      <w:r w:rsidRPr="0016338D">
        <w:rPr>
          <w:sz w:val="28"/>
          <w:szCs w:val="28"/>
          <w:u w:val="single"/>
        </w:rPr>
        <w:t>unless further stayed by the court</w:t>
      </w:r>
      <w:r w:rsidRPr="00CF04F1">
        <w:rPr>
          <w:sz w:val="28"/>
          <w:szCs w:val="28"/>
        </w:rPr>
        <w:t>.</w:t>
      </w:r>
    </w:p>
    <w:p w14:paraId="6B337A58" w14:textId="329481B1" w:rsidR="0060778D" w:rsidRDefault="0060778D" w:rsidP="00BB3BC7">
      <w:pPr>
        <w:pStyle w:val="Body"/>
        <w:widowControl w:val="0"/>
        <w:tabs>
          <w:tab w:val="left" w:pos="720"/>
        </w:tabs>
        <w:ind w:firstLine="0"/>
        <w:rPr>
          <w:sz w:val="28"/>
          <w:szCs w:val="28"/>
        </w:rPr>
      </w:pPr>
      <w:r w:rsidRPr="0060778D">
        <w:rPr>
          <w:sz w:val="28"/>
          <w:szCs w:val="28"/>
        </w:rPr>
        <w:tab/>
        <w:t xml:space="preserve">The clean version of </w:t>
      </w:r>
      <w:r>
        <w:rPr>
          <w:sz w:val="28"/>
          <w:szCs w:val="28"/>
        </w:rPr>
        <w:t xml:space="preserve">my suggested amendment to </w:t>
      </w:r>
      <w:r w:rsidRPr="0060778D">
        <w:rPr>
          <w:sz w:val="28"/>
          <w:szCs w:val="28"/>
        </w:rPr>
        <w:t>proposed Special Action Rule 17(c)</w:t>
      </w:r>
      <w:r>
        <w:rPr>
          <w:sz w:val="28"/>
          <w:szCs w:val="28"/>
        </w:rPr>
        <w:t xml:space="preserve"> is as follows:</w:t>
      </w:r>
    </w:p>
    <w:p w14:paraId="65874768" w14:textId="55A60C73" w:rsidR="0060778D" w:rsidRDefault="0060778D" w:rsidP="0060778D">
      <w:pPr>
        <w:pStyle w:val="Body"/>
        <w:tabs>
          <w:tab w:val="left" w:pos="720"/>
        </w:tabs>
        <w:ind w:left="720" w:right="720" w:firstLine="0"/>
        <w:rPr>
          <w:sz w:val="28"/>
          <w:szCs w:val="28"/>
        </w:rPr>
      </w:pPr>
      <w:r w:rsidRPr="0060778D">
        <w:rPr>
          <w:b/>
          <w:bCs/>
          <w:sz w:val="28"/>
          <w:szCs w:val="28"/>
        </w:rPr>
        <w:t>(c) Effectiveness of Decision.</w:t>
      </w:r>
      <w:r w:rsidRPr="0060778D">
        <w:rPr>
          <w:sz w:val="28"/>
          <w:szCs w:val="28"/>
        </w:rPr>
        <w:t xml:space="preserve">  The decision will become effective immediately unless further stayed by the court.</w:t>
      </w:r>
    </w:p>
    <w:p w14:paraId="6145B94B" w14:textId="67C9DD83" w:rsidR="001D624D" w:rsidRPr="0060778D" w:rsidRDefault="001D624D" w:rsidP="001D624D">
      <w:pPr>
        <w:pStyle w:val="Body"/>
        <w:widowControl w:val="0"/>
        <w:ind w:firstLine="720"/>
        <w:rPr>
          <w:sz w:val="28"/>
          <w:szCs w:val="28"/>
        </w:rPr>
      </w:pPr>
      <w:r>
        <w:rPr>
          <w:sz w:val="28"/>
          <w:szCs w:val="28"/>
        </w:rPr>
        <w:t>Also, if the Court adopts this proposed change, it will have to amend the language of proposed Rule 18(b), which mentions the issuance of a mandate.  I suggest striking proposed Rule 18(b)(2)</w:t>
      </w:r>
      <w:r w:rsidR="004B63A9">
        <w:rPr>
          <w:sz w:val="28"/>
          <w:szCs w:val="28"/>
        </w:rPr>
        <w:t xml:space="preserve"> and then having (b)(1) moved up into (b).</w:t>
      </w:r>
    </w:p>
    <w:p w14:paraId="1E0DD089" w14:textId="77777777" w:rsidR="00495714" w:rsidRDefault="00495714" w:rsidP="00DE52B1">
      <w:pPr>
        <w:pStyle w:val="Body"/>
        <w:keepNext/>
        <w:keepLines/>
        <w:tabs>
          <w:tab w:val="left" w:pos="720"/>
        </w:tabs>
        <w:ind w:firstLine="0"/>
        <w:rPr>
          <w:sz w:val="28"/>
          <w:szCs w:val="28"/>
        </w:rPr>
      </w:pPr>
    </w:p>
    <w:p w14:paraId="56DC022B" w14:textId="019ACDF3" w:rsidR="000C48A9" w:rsidRPr="006F63FD" w:rsidRDefault="000C48A9" w:rsidP="00DE52B1">
      <w:pPr>
        <w:pStyle w:val="Body"/>
        <w:keepNext/>
        <w:keepLines/>
        <w:tabs>
          <w:tab w:val="left" w:pos="720"/>
        </w:tabs>
        <w:ind w:firstLine="0"/>
        <w:rPr>
          <w:sz w:val="28"/>
          <w:szCs w:val="28"/>
        </w:rPr>
      </w:pPr>
      <w:r w:rsidRPr="006F63FD">
        <w:rPr>
          <w:sz w:val="28"/>
          <w:szCs w:val="28"/>
        </w:rPr>
        <w:t>RESPECTFULLY SUBMITTED this</w:t>
      </w:r>
      <w:r w:rsidR="00513E78">
        <w:rPr>
          <w:sz w:val="28"/>
          <w:szCs w:val="28"/>
        </w:rPr>
        <w:t xml:space="preserve"> 3</w:t>
      </w:r>
      <w:r w:rsidR="00513E78" w:rsidRPr="00513E78">
        <w:rPr>
          <w:sz w:val="28"/>
          <w:szCs w:val="28"/>
          <w:vertAlign w:val="superscript"/>
        </w:rPr>
        <w:t>rd</w:t>
      </w:r>
      <w:r w:rsidR="00513E78">
        <w:rPr>
          <w:sz w:val="28"/>
          <w:szCs w:val="28"/>
        </w:rPr>
        <w:t xml:space="preserve"> </w:t>
      </w:r>
      <w:r w:rsidRPr="006F63FD">
        <w:rPr>
          <w:sz w:val="28"/>
          <w:szCs w:val="28"/>
        </w:rPr>
        <w:t>day of</w:t>
      </w:r>
      <w:r w:rsidR="00513E78">
        <w:rPr>
          <w:sz w:val="28"/>
          <w:szCs w:val="28"/>
        </w:rPr>
        <w:t xml:space="preserve"> April</w:t>
      </w:r>
      <w:r w:rsidR="00D60D9B">
        <w:rPr>
          <w:sz w:val="28"/>
          <w:szCs w:val="28"/>
        </w:rPr>
        <w:t>, 20</w:t>
      </w:r>
      <w:r w:rsidR="00954A5E">
        <w:rPr>
          <w:sz w:val="28"/>
          <w:szCs w:val="28"/>
        </w:rPr>
        <w:t>2</w:t>
      </w:r>
      <w:r w:rsidR="005E0586">
        <w:rPr>
          <w:sz w:val="28"/>
          <w:szCs w:val="28"/>
        </w:rPr>
        <w:t>4</w:t>
      </w:r>
      <w:r w:rsidRPr="006F63FD">
        <w:rPr>
          <w:sz w:val="28"/>
          <w:szCs w:val="28"/>
        </w:rPr>
        <w:t>.</w:t>
      </w:r>
    </w:p>
    <w:p w14:paraId="514BFEB7" w14:textId="77777777" w:rsidR="000C48A9" w:rsidRPr="000F7A7F" w:rsidRDefault="000C48A9" w:rsidP="00DE52B1">
      <w:pPr>
        <w:pStyle w:val="Body"/>
        <w:keepNext/>
        <w:keepLines/>
        <w:tabs>
          <w:tab w:val="left" w:pos="720"/>
        </w:tabs>
        <w:ind w:firstLine="0"/>
        <w:rPr>
          <w:szCs w:val="26"/>
        </w:rPr>
      </w:pPr>
    </w:p>
    <w:p w14:paraId="6B779D2D" w14:textId="52CA85EF" w:rsidR="000C48A9" w:rsidRPr="00186136" w:rsidRDefault="00186136" w:rsidP="00DE52B1">
      <w:pPr>
        <w:pStyle w:val="Body"/>
        <w:keepNext/>
        <w:keepLines/>
        <w:tabs>
          <w:tab w:val="left" w:pos="720"/>
        </w:tabs>
        <w:ind w:firstLine="0"/>
        <w:rPr>
          <w:i/>
          <w:iCs/>
          <w:szCs w:val="26"/>
        </w:rPr>
      </w:pPr>
      <w:r>
        <w:rPr>
          <w:szCs w:val="26"/>
        </w:rPr>
        <w:tab/>
      </w:r>
      <w:r>
        <w:rPr>
          <w:szCs w:val="26"/>
        </w:rPr>
        <w:tab/>
      </w:r>
      <w:r>
        <w:rPr>
          <w:szCs w:val="26"/>
        </w:rPr>
        <w:tab/>
      </w:r>
      <w:r>
        <w:rPr>
          <w:szCs w:val="26"/>
        </w:rPr>
        <w:tab/>
      </w:r>
      <w:r>
        <w:rPr>
          <w:szCs w:val="26"/>
        </w:rPr>
        <w:tab/>
      </w:r>
      <w:r>
        <w:rPr>
          <w:szCs w:val="26"/>
        </w:rPr>
        <w:tab/>
      </w:r>
      <w:r>
        <w:rPr>
          <w:szCs w:val="26"/>
        </w:rPr>
        <w:tab/>
      </w:r>
      <w:r w:rsidR="00494DDE">
        <w:rPr>
          <w:szCs w:val="26"/>
        </w:rPr>
        <w:t xml:space="preserve">  </w:t>
      </w:r>
      <w:r>
        <w:rPr>
          <w:i/>
          <w:iCs/>
          <w:szCs w:val="26"/>
        </w:rPr>
        <w:t xml:space="preserve">/s/ </w:t>
      </w:r>
      <w:r w:rsidR="00DE52B1">
        <w:rPr>
          <w:i/>
          <w:iCs/>
          <w:szCs w:val="26"/>
        </w:rPr>
        <w:t>D. Douglas Metcalf</w:t>
      </w:r>
    </w:p>
    <w:p w14:paraId="66D5BA5C" w14:textId="1B1E5B97" w:rsidR="000C48A9" w:rsidRPr="006F63FD" w:rsidRDefault="00EE03F1" w:rsidP="00494DDE">
      <w:pPr>
        <w:pStyle w:val="PleadingSignature"/>
        <w:widowControl/>
        <w:pBdr>
          <w:top w:val="single" w:sz="4" w:space="1" w:color="auto"/>
        </w:pBdr>
        <w:spacing w:line="240" w:lineRule="auto"/>
        <w:ind w:left="5220"/>
        <w:rPr>
          <w:sz w:val="28"/>
          <w:szCs w:val="28"/>
        </w:rPr>
      </w:pPr>
      <w:r>
        <w:rPr>
          <w:sz w:val="28"/>
          <w:szCs w:val="28"/>
        </w:rPr>
        <w:t>D. Douglas Metcalf</w:t>
      </w:r>
    </w:p>
    <w:p w14:paraId="34F25BDA" w14:textId="72FF95E5" w:rsidR="00EE03F1" w:rsidRDefault="00EE03F1" w:rsidP="00494DDE">
      <w:pPr>
        <w:pStyle w:val="PleadingSignature"/>
        <w:widowControl/>
        <w:spacing w:line="240" w:lineRule="auto"/>
        <w:ind w:left="5220"/>
        <w:rPr>
          <w:sz w:val="28"/>
          <w:szCs w:val="28"/>
        </w:rPr>
      </w:pPr>
      <w:r>
        <w:rPr>
          <w:sz w:val="28"/>
          <w:szCs w:val="28"/>
        </w:rPr>
        <w:t xml:space="preserve">Judge of the </w:t>
      </w:r>
      <w:r w:rsidR="00CA0F4B">
        <w:rPr>
          <w:sz w:val="28"/>
          <w:szCs w:val="28"/>
        </w:rPr>
        <w:t>Superior</w:t>
      </w:r>
      <w:r>
        <w:rPr>
          <w:sz w:val="28"/>
          <w:szCs w:val="28"/>
        </w:rPr>
        <w:t xml:space="preserve"> Court</w:t>
      </w:r>
    </w:p>
    <w:p w14:paraId="305B54BB" w14:textId="76B3D746" w:rsidR="000C48A9" w:rsidRPr="006F63FD" w:rsidRDefault="00EE03F1" w:rsidP="00494DDE">
      <w:pPr>
        <w:pStyle w:val="PleadingSignature"/>
        <w:widowControl/>
        <w:spacing w:line="240" w:lineRule="auto"/>
        <w:ind w:left="5220"/>
        <w:rPr>
          <w:sz w:val="28"/>
          <w:szCs w:val="28"/>
        </w:rPr>
      </w:pPr>
      <w:r>
        <w:rPr>
          <w:sz w:val="28"/>
          <w:szCs w:val="28"/>
        </w:rPr>
        <w:t>In and for Pima County</w:t>
      </w:r>
    </w:p>
    <w:p w14:paraId="3ACE66B2" w14:textId="77777777" w:rsidR="000C48A9" w:rsidRPr="000F7A7F" w:rsidRDefault="000C48A9" w:rsidP="00BB3BC7">
      <w:pPr>
        <w:pStyle w:val="PleadingSignature"/>
        <w:keepNext w:val="0"/>
        <w:keepLines w:val="0"/>
        <w:spacing w:line="240" w:lineRule="auto"/>
        <w:ind w:left="5070"/>
        <w:rPr>
          <w:szCs w:val="26"/>
        </w:rPr>
      </w:pPr>
    </w:p>
    <w:bookmarkEnd w:id="6"/>
    <w:p w14:paraId="1B468F8F" w14:textId="77777777" w:rsidR="000C48A9" w:rsidRPr="006F63FD" w:rsidRDefault="000C48A9" w:rsidP="00BB3BC7">
      <w:pPr>
        <w:pStyle w:val="PleadingSignature"/>
        <w:keepNext w:val="0"/>
        <w:keepLines w:val="0"/>
        <w:spacing w:line="240" w:lineRule="auto"/>
        <w:ind w:left="5070"/>
        <w:rPr>
          <w:sz w:val="28"/>
          <w:szCs w:val="28"/>
        </w:rPr>
      </w:pPr>
    </w:p>
    <w:sectPr w:rsidR="000C48A9" w:rsidRPr="006F63FD"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DE8BA" w14:textId="77777777" w:rsidR="00A070AD" w:rsidRDefault="00A070AD">
      <w:r>
        <w:separator/>
      </w:r>
    </w:p>
  </w:endnote>
  <w:endnote w:type="continuationSeparator" w:id="0">
    <w:p w14:paraId="144E155A" w14:textId="77777777" w:rsidR="00A070AD" w:rsidRDefault="00A0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F73925">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9787F" w14:textId="77777777" w:rsidR="00A070AD" w:rsidRDefault="00A070AD">
      <w:r>
        <w:separator/>
      </w:r>
    </w:p>
  </w:footnote>
  <w:footnote w:type="continuationSeparator" w:id="0">
    <w:p w14:paraId="05A1C34D" w14:textId="77777777" w:rsidR="00A070AD" w:rsidRDefault="00A070AD">
      <w:r>
        <w:continuationSeparator/>
      </w:r>
    </w:p>
  </w:footnote>
  <w:footnote w:id="1">
    <w:p w14:paraId="4F9E8E5F" w14:textId="33D66891" w:rsidR="00693AD2" w:rsidRPr="00C4333E" w:rsidRDefault="00693AD2">
      <w:pPr>
        <w:pStyle w:val="FootnoteText"/>
        <w:rPr>
          <w:sz w:val="28"/>
          <w:szCs w:val="28"/>
        </w:rPr>
      </w:pPr>
      <w:r w:rsidRPr="00C4333E">
        <w:rPr>
          <w:rStyle w:val="FootnoteReference"/>
          <w:sz w:val="28"/>
          <w:szCs w:val="28"/>
        </w:rPr>
        <w:footnoteRef/>
      </w:r>
      <w:r w:rsidRPr="00C4333E">
        <w:rPr>
          <w:sz w:val="28"/>
          <w:szCs w:val="28"/>
        </w:rPr>
        <w:t xml:space="preserve"> </w:t>
      </w:r>
      <w:r w:rsidR="00C4333E">
        <w:rPr>
          <w:sz w:val="28"/>
          <w:szCs w:val="28"/>
        </w:rPr>
        <w:tab/>
      </w:r>
      <w:r w:rsidR="00C4333E" w:rsidRPr="00C4333E">
        <w:rPr>
          <w:sz w:val="28"/>
          <w:szCs w:val="28"/>
        </w:rPr>
        <w:t xml:space="preserve">For example, </w:t>
      </w:r>
      <w:r w:rsidR="0026472D">
        <w:rPr>
          <w:sz w:val="28"/>
          <w:szCs w:val="28"/>
        </w:rPr>
        <w:t xml:space="preserve">a </w:t>
      </w:r>
      <w:r w:rsidRPr="00C4333E">
        <w:rPr>
          <w:sz w:val="28"/>
          <w:szCs w:val="28"/>
        </w:rPr>
        <w:t xml:space="preserve">dependency adjudication hearing must be completed within 90 days after service of the dependency petition, a termination adjudication hearing must commence 90 days after the permanency hearing, trial of an in custody criminal defendant must commence 150 days after arraignment,  while trial of an out of custody defendant must commence 180 days after arraignment.  </w:t>
      </w:r>
      <w:r w:rsidR="00E82A1D">
        <w:rPr>
          <w:sz w:val="28"/>
          <w:szCs w:val="28"/>
        </w:rPr>
        <w:t xml:space="preserve">Dependency and criminal cases make up roughly one-half of all cases in the superior court.  </w:t>
      </w:r>
      <w:r w:rsidRPr="00C4333E">
        <w:rPr>
          <w:sz w:val="28"/>
          <w:szCs w:val="28"/>
        </w:rPr>
        <w:t xml:space="preserve">There </w:t>
      </w:r>
      <w:proofErr w:type="gramStart"/>
      <w:r w:rsidRPr="00C4333E">
        <w:rPr>
          <w:sz w:val="28"/>
          <w:szCs w:val="28"/>
        </w:rPr>
        <w:t>are</w:t>
      </w:r>
      <w:proofErr w:type="gramEnd"/>
      <w:r w:rsidRPr="00C4333E">
        <w:rPr>
          <w:sz w:val="28"/>
          <w:szCs w:val="28"/>
        </w:rPr>
        <w:t xml:space="preserve"> no doubt many more examples of short deadlines in </w:t>
      </w:r>
      <w:r w:rsidR="00E82A1D">
        <w:rPr>
          <w:sz w:val="28"/>
          <w:szCs w:val="28"/>
        </w:rPr>
        <w:t xml:space="preserve">other </w:t>
      </w:r>
      <w:r w:rsidRPr="00C4333E">
        <w:rPr>
          <w:sz w:val="28"/>
          <w:szCs w:val="28"/>
        </w:rPr>
        <w:t>cases filed in the superior court.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EEE" w14:textId="1D424744" w:rsidR="007870CB" w:rsidRDefault="00513E78">
    <w:pPr>
      <w:pStyle w:val="Header"/>
    </w:pPr>
    <w:r>
      <w:rPr>
        <w:noProof/>
      </w:rPr>
      <w:pict w14:anchorId="31213855">
        <v:line id="RightBorder" o:spid="_x0000_s1028"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nE8hndAAAACQEAAA8AAAAAAAAAAAAAAAAACgQAAGRycy9kb3ducmV2&#10;LnhtbFBLBQYAAAAABAAEAPMAAAAUBQAAAAA=&#10;">
          <w10:wrap anchorx="margin" anchory="page"/>
        </v:line>
      </w:pict>
    </w:r>
    <w:r>
      <w:rPr>
        <w:noProof/>
      </w:rPr>
      <w:pict w14:anchorId="3381B13F">
        <v:line id="LeftBorder2" o:spid="_x0000_s1027"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w:r>
    <w:r>
      <w:rPr>
        <w:noProof/>
      </w:rPr>
      <w:pict w14:anchorId="05A0BDDD">
        <v:line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w:r>
  </w:p>
  <w:p w14:paraId="5BF4D0D3" w14:textId="7624745F" w:rsidR="007D5C49" w:rsidRDefault="00513E78">
    <w:r>
      <w:rPr>
        <w:noProof/>
      </w:rPr>
      <w:pict w14:anchorId="2F11FFCE">
        <v:shapetype id="_x0000_t202" coordsize="21600,21600" o:spt="202" path="m,l,21600r21600,l21600,xe">
          <v:stroke joinstyle="miter"/>
          <v:path gradientshapeok="t" o:connecttype="rect"/>
        </v:shapetype>
        <v:shape id="LineNumbers" o:spid="_x0000_s1025"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1F6DAA"/>
    <w:multiLevelType w:val="hybridMultilevel"/>
    <w:tmpl w:val="E7EA933E"/>
    <w:lvl w:ilvl="0" w:tplc="59660E00">
      <w:start w:val="1"/>
      <w:numFmt w:val="upperRoman"/>
      <w:lvlText w:val="%1."/>
      <w:lvlJc w:val="left"/>
      <w:pPr>
        <w:ind w:left="81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0029977">
    <w:abstractNumId w:val="12"/>
  </w:num>
  <w:num w:numId="2" w16cid:durableId="717557523">
    <w:abstractNumId w:val="13"/>
  </w:num>
  <w:num w:numId="3" w16cid:durableId="995913688">
    <w:abstractNumId w:val="0"/>
  </w:num>
  <w:num w:numId="4" w16cid:durableId="1165515985">
    <w:abstractNumId w:val="4"/>
  </w:num>
  <w:num w:numId="5" w16cid:durableId="347828681">
    <w:abstractNumId w:val="7"/>
  </w:num>
  <w:num w:numId="6" w16cid:durableId="1237012168">
    <w:abstractNumId w:val="8"/>
  </w:num>
  <w:num w:numId="7" w16cid:durableId="533346723">
    <w:abstractNumId w:val="1"/>
  </w:num>
  <w:num w:numId="8" w16cid:durableId="2040351953">
    <w:abstractNumId w:val="14"/>
  </w:num>
  <w:num w:numId="9" w16cid:durableId="903179556">
    <w:abstractNumId w:val="9"/>
  </w:num>
  <w:num w:numId="10" w16cid:durableId="1127354173">
    <w:abstractNumId w:val="11"/>
  </w:num>
  <w:num w:numId="11" w16cid:durableId="505901022">
    <w:abstractNumId w:val="10"/>
  </w:num>
  <w:num w:numId="12" w16cid:durableId="792359189">
    <w:abstractNumId w:val="5"/>
  </w:num>
  <w:num w:numId="13" w16cid:durableId="17312709">
    <w:abstractNumId w:val="2"/>
  </w:num>
  <w:num w:numId="14" w16cid:durableId="1773087965">
    <w:abstractNumId w:val="3"/>
  </w:num>
  <w:num w:numId="15" w16cid:durableId="11926897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81E11"/>
    <w:rsid w:val="00000C35"/>
    <w:rsid w:val="00001EB5"/>
    <w:rsid w:val="0000225E"/>
    <w:rsid w:val="0004082C"/>
    <w:rsid w:val="000410B3"/>
    <w:rsid w:val="00043143"/>
    <w:rsid w:val="00043D4D"/>
    <w:rsid w:val="00052372"/>
    <w:rsid w:val="000666D1"/>
    <w:rsid w:val="0008003D"/>
    <w:rsid w:val="000917C0"/>
    <w:rsid w:val="000A1D6B"/>
    <w:rsid w:val="000B7924"/>
    <w:rsid w:val="000C1175"/>
    <w:rsid w:val="000C48A9"/>
    <w:rsid w:val="000E6975"/>
    <w:rsid w:val="000F7A7F"/>
    <w:rsid w:val="000F7C13"/>
    <w:rsid w:val="00107020"/>
    <w:rsid w:val="00135326"/>
    <w:rsid w:val="0016338D"/>
    <w:rsid w:val="00180BD9"/>
    <w:rsid w:val="00186136"/>
    <w:rsid w:val="001A2520"/>
    <w:rsid w:val="001D624D"/>
    <w:rsid w:val="001F591C"/>
    <w:rsid w:val="00207336"/>
    <w:rsid w:val="00223D7B"/>
    <w:rsid w:val="00252BD3"/>
    <w:rsid w:val="0026472D"/>
    <w:rsid w:val="00274D6A"/>
    <w:rsid w:val="002B40E4"/>
    <w:rsid w:val="00314B73"/>
    <w:rsid w:val="00330FA0"/>
    <w:rsid w:val="00334B42"/>
    <w:rsid w:val="00352347"/>
    <w:rsid w:val="003566D6"/>
    <w:rsid w:val="00357F4D"/>
    <w:rsid w:val="003617D1"/>
    <w:rsid w:val="00377199"/>
    <w:rsid w:val="00381613"/>
    <w:rsid w:val="003A28AC"/>
    <w:rsid w:val="003A478C"/>
    <w:rsid w:val="003C6037"/>
    <w:rsid w:val="003E01A2"/>
    <w:rsid w:val="00407E2D"/>
    <w:rsid w:val="00417DE0"/>
    <w:rsid w:val="004331B2"/>
    <w:rsid w:val="00440E4C"/>
    <w:rsid w:val="00461299"/>
    <w:rsid w:val="0046142F"/>
    <w:rsid w:val="00463734"/>
    <w:rsid w:val="00491B2B"/>
    <w:rsid w:val="00494BDF"/>
    <w:rsid w:val="00494DDE"/>
    <w:rsid w:val="00495714"/>
    <w:rsid w:val="004A3DEB"/>
    <w:rsid w:val="004B63A9"/>
    <w:rsid w:val="004C3AE3"/>
    <w:rsid w:val="00504E1E"/>
    <w:rsid w:val="00506859"/>
    <w:rsid w:val="00513E78"/>
    <w:rsid w:val="00520F93"/>
    <w:rsid w:val="00527755"/>
    <w:rsid w:val="005651BE"/>
    <w:rsid w:val="00565AFE"/>
    <w:rsid w:val="00566856"/>
    <w:rsid w:val="005845AE"/>
    <w:rsid w:val="005A21B0"/>
    <w:rsid w:val="005B5161"/>
    <w:rsid w:val="005C3623"/>
    <w:rsid w:val="005D6AD4"/>
    <w:rsid w:val="005E0586"/>
    <w:rsid w:val="005E68F5"/>
    <w:rsid w:val="0060778D"/>
    <w:rsid w:val="00613A03"/>
    <w:rsid w:val="0062763B"/>
    <w:rsid w:val="006276D7"/>
    <w:rsid w:val="006338C1"/>
    <w:rsid w:val="00636F5E"/>
    <w:rsid w:val="00656C06"/>
    <w:rsid w:val="00665CCF"/>
    <w:rsid w:val="006666D1"/>
    <w:rsid w:val="006721EC"/>
    <w:rsid w:val="006766BF"/>
    <w:rsid w:val="00682932"/>
    <w:rsid w:val="00692391"/>
    <w:rsid w:val="006932BA"/>
    <w:rsid w:val="00693AD2"/>
    <w:rsid w:val="006B4F9A"/>
    <w:rsid w:val="006E4770"/>
    <w:rsid w:val="006F63FD"/>
    <w:rsid w:val="007150EC"/>
    <w:rsid w:val="007153E6"/>
    <w:rsid w:val="00721208"/>
    <w:rsid w:val="00732169"/>
    <w:rsid w:val="00735659"/>
    <w:rsid w:val="007427C6"/>
    <w:rsid w:val="0077110E"/>
    <w:rsid w:val="00781127"/>
    <w:rsid w:val="007870CB"/>
    <w:rsid w:val="007A3F0F"/>
    <w:rsid w:val="007B2EC5"/>
    <w:rsid w:val="007B5AA4"/>
    <w:rsid w:val="007B6870"/>
    <w:rsid w:val="007D5C49"/>
    <w:rsid w:val="007D73FF"/>
    <w:rsid w:val="007E3CCB"/>
    <w:rsid w:val="008006ED"/>
    <w:rsid w:val="00822598"/>
    <w:rsid w:val="008360A1"/>
    <w:rsid w:val="00857CA6"/>
    <w:rsid w:val="00861563"/>
    <w:rsid w:val="00867EF8"/>
    <w:rsid w:val="00871AAA"/>
    <w:rsid w:val="00876F57"/>
    <w:rsid w:val="00891AAA"/>
    <w:rsid w:val="008A4EB3"/>
    <w:rsid w:val="008C64D9"/>
    <w:rsid w:val="00905730"/>
    <w:rsid w:val="0092387C"/>
    <w:rsid w:val="00933EA1"/>
    <w:rsid w:val="0094449C"/>
    <w:rsid w:val="00951416"/>
    <w:rsid w:val="00954A5E"/>
    <w:rsid w:val="0095731B"/>
    <w:rsid w:val="00960D21"/>
    <w:rsid w:val="00981D29"/>
    <w:rsid w:val="00981E11"/>
    <w:rsid w:val="009D3D9E"/>
    <w:rsid w:val="009D5422"/>
    <w:rsid w:val="009E04C9"/>
    <w:rsid w:val="009F6202"/>
    <w:rsid w:val="00A00269"/>
    <w:rsid w:val="00A070AD"/>
    <w:rsid w:val="00A1564B"/>
    <w:rsid w:val="00A36948"/>
    <w:rsid w:val="00A4249C"/>
    <w:rsid w:val="00A5194F"/>
    <w:rsid w:val="00A82621"/>
    <w:rsid w:val="00A871D6"/>
    <w:rsid w:val="00A93A7C"/>
    <w:rsid w:val="00AB43B4"/>
    <w:rsid w:val="00AF282C"/>
    <w:rsid w:val="00AF3FF7"/>
    <w:rsid w:val="00AF5CE5"/>
    <w:rsid w:val="00B1491D"/>
    <w:rsid w:val="00B47B7D"/>
    <w:rsid w:val="00BB3BC7"/>
    <w:rsid w:val="00BD3CD2"/>
    <w:rsid w:val="00C03E0F"/>
    <w:rsid w:val="00C20146"/>
    <w:rsid w:val="00C4333E"/>
    <w:rsid w:val="00C52E56"/>
    <w:rsid w:val="00C5407A"/>
    <w:rsid w:val="00C662B0"/>
    <w:rsid w:val="00C84FD4"/>
    <w:rsid w:val="00C958EE"/>
    <w:rsid w:val="00CA0F4B"/>
    <w:rsid w:val="00CD21FB"/>
    <w:rsid w:val="00CE736E"/>
    <w:rsid w:val="00CF04F1"/>
    <w:rsid w:val="00D176AB"/>
    <w:rsid w:val="00D423FE"/>
    <w:rsid w:val="00D442E4"/>
    <w:rsid w:val="00D60D9B"/>
    <w:rsid w:val="00D80EDC"/>
    <w:rsid w:val="00D84F52"/>
    <w:rsid w:val="00D86135"/>
    <w:rsid w:val="00DA0189"/>
    <w:rsid w:val="00DB129A"/>
    <w:rsid w:val="00DE52B1"/>
    <w:rsid w:val="00DF4F15"/>
    <w:rsid w:val="00DF52E6"/>
    <w:rsid w:val="00E01447"/>
    <w:rsid w:val="00E047D3"/>
    <w:rsid w:val="00E16666"/>
    <w:rsid w:val="00E266B7"/>
    <w:rsid w:val="00E321C5"/>
    <w:rsid w:val="00E439A2"/>
    <w:rsid w:val="00E5772B"/>
    <w:rsid w:val="00E67511"/>
    <w:rsid w:val="00E70D14"/>
    <w:rsid w:val="00E81026"/>
    <w:rsid w:val="00E81CBC"/>
    <w:rsid w:val="00E82A1D"/>
    <w:rsid w:val="00E82D0F"/>
    <w:rsid w:val="00E950B5"/>
    <w:rsid w:val="00EE03F1"/>
    <w:rsid w:val="00F05879"/>
    <w:rsid w:val="00F06F5B"/>
    <w:rsid w:val="00F148A6"/>
    <w:rsid w:val="00F2485D"/>
    <w:rsid w:val="00F33926"/>
    <w:rsid w:val="00F60C61"/>
    <w:rsid w:val="00F64B52"/>
    <w:rsid w:val="00F73925"/>
    <w:rsid w:val="00F850BE"/>
    <w:rsid w:val="00F970A4"/>
    <w:rsid w:val="00F972DF"/>
    <w:rsid w:val="00FB5291"/>
    <w:rsid w:val="00FB5E84"/>
    <w:rsid w:val="00FC0F0B"/>
    <w:rsid w:val="00FF0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5F33E"/>
  <w15:docId w15:val="{BDAB6B90-A2AD-4492-BD59-AC8A45B5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qFormat/>
    <w:rsid w:val="00186136"/>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9E0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7499">
      <w:bodyDiv w:val="1"/>
      <w:marLeft w:val="0"/>
      <w:marRight w:val="0"/>
      <w:marTop w:val="0"/>
      <w:marBottom w:val="0"/>
      <w:divBdr>
        <w:top w:val="none" w:sz="0" w:space="0" w:color="auto"/>
        <w:left w:val="none" w:sz="0" w:space="0" w:color="auto"/>
        <w:bottom w:val="none" w:sz="0" w:space="0" w:color="auto"/>
        <w:right w:val="none" w:sz="0" w:space="0" w:color="auto"/>
      </w:divBdr>
      <w:divsChild>
        <w:div w:id="98139355">
          <w:marLeft w:val="0"/>
          <w:marRight w:val="0"/>
          <w:marTop w:val="0"/>
          <w:marBottom w:val="0"/>
          <w:divBdr>
            <w:top w:val="none" w:sz="0" w:space="0" w:color="3D3D3D"/>
            <w:left w:val="none" w:sz="0" w:space="0" w:color="3D3D3D"/>
            <w:bottom w:val="none" w:sz="0" w:space="0" w:color="3D3D3D"/>
            <w:right w:val="none" w:sz="0" w:space="0" w:color="3D3D3D"/>
          </w:divBdr>
          <w:divsChild>
            <w:div w:id="19204783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44600556">
      <w:bodyDiv w:val="1"/>
      <w:marLeft w:val="0"/>
      <w:marRight w:val="0"/>
      <w:marTop w:val="0"/>
      <w:marBottom w:val="0"/>
      <w:divBdr>
        <w:top w:val="none" w:sz="0" w:space="0" w:color="auto"/>
        <w:left w:val="none" w:sz="0" w:space="0" w:color="auto"/>
        <w:bottom w:val="none" w:sz="0" w:space="0" w:color="auto"/>
        <w:right w:val="none" w:sz="0" w:space="0" w:color="auto"/>
      </w:divBdr>
      <w:divsChild>
        <w:div w:id="291135599">
          <w:marLeft w:val="0"/>
          <w:marRight w:val="0"/>
          <w:marTop w:val="0"/>
          <w:marBottom w:val="0"/>
          <w:divBdr>
            <w:top w:val="none" w:sz="0" w:space="0" w:color="3D3D3D"/>
            <w:left w:val="none" w:sz="0" w:space="0" w:color="3D3D3D"/>
            <w:bottom w:val="none" w:sz="0" w:space="0" w:color="3D3D3D"/>
            <w:right w:val="none" w:sz="0" w:space="0" w:color="3D3D3D"/>
          </w:divBdr>
          <w:divsChild>
            <w:div w:id="7715164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22473170">
      <w:bodyDiv w:val="1"/>
      <w:marLeft w:val="0"/>
      <w:marRight w:val="0"/>
      <w:marTop w:val="0"/>
      <w:marBottom w:val="0"/>
      <w:divBdr>
        <w:top w:val="none" w:sz="0" w:space="0" w:color="auto"/>
        <w:left w:val="none" w:sz="0" w:space="0" w:color="auto"/>
        <w:bottom w:val="none" w:sz="0" w:space="0" w:color="auto"/>
        <w:right w:val="none" w:sz="0" w:space="0" w:color="auto"/>
      </w:divBdr>
      <w:divsChild>
        <w:div w:id="740828727">
          <w:marLeft w:val="0"/>
          <w:marRight w:val="0"/>
          <w:marTop w:val="0"/>
          <w:marBottom w:val="0"/>
          <w:divBdr>
            <w:top w:val="none" w:sz="0" w:space="0" w:color="3D3D3D"/>
            <w:left w:val="none" w:sz="0" w:space="0" w:color="3D3D3D"/>
            <w:bottom w:val="none" w:sz="0" w:space="0" w:color="3D3D3D"/>
            <w:right w:val="none" w:sz="0" w:space="0" w:color="3D3D3D"/>
          </w:divBdr>
          <w:divsChild>
            <w:div w:id="12700446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12719249">
      <w:bodyDiv w:val="1"/>
      <w:marLeft w:val="0"/>
      <w:marRight w:val="0"/>
      <w:marTop w:val="0"/>
      <w:marBottom w:val="0"/>
      <w:divBdr>
        <w:top w:val="none" w:sz="0" w:space="0" w:color="auto"/>
        <w:left w:val="none" w:sz="0" w:space="0" w:color="auto"/>
        <w:bottom w:val="none" w:sz="0" w:space="0" w:color="auto"/>
        <w:right w:val="none" w:sz="0" w:space="0" w:color="auto"/>
      </w:divBdr>
      <w:divsChild>
        <w:div w:id="425198950">
          <w:marLeft w:val="0"/>
          <w:marRight w:val="0"/>
          <w:marTop w:val="0"/>
          <w:marBottom w:val="0"/>
          <w:divBdr>
            <w:top w:val="none" w:sz="0" w:space="0" w:color="3D3D3D"/>
            <w:left w:val="none" w:sz="0" w:space="0" w:color="3D3D3D"/>
            <w:bottom w:val="none" w:sz="0" w:space="0" w:color="3D3D3D"/>
            <w:right w:val="none" w:sz="0" w:space="0" w:color="3D3D3D"/>
          </w:divBdr>
          <w:divsChild>
            <w:div w:id="11589583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13207352">
      <w:bodyDiv w:val="1"/>
      <w:marLeft w:val="0"/>
      <w:marRight w:val="0"/>
      <w:marTop w:val="0"/>
      <w:marBottom w:val="0"/>
      <w:divBdr>
        <w:top w:val="none" w:sz="0" w:space="0" w:color="auto"/>
        <w:left w:val="none" w:sz="0" w:space="0" w:color="auto"/>
        <w:bottom w:val="none" w:sz="0" w:space="0" w:color="auto"/>
        <w:right w:val="none" w:sz="0" w:space="0" w:color="auto"/>
      </w:divBdr>
      <w:divsChild>
        <w:div w:id="1211111611">
          <w:marLeft w:val="0"/>
          <w:marRight w:val="0"/>
          <w:marTop w:val="0"/>
          <w:marBottom w:val="0"/>
          <w:divBdr>
            <w:top w:val="none" w:sz="0" w:space="0" w:color="3D3D3D"/>
            <w:left w:val="none" w:sz="0" w:space="0" w:color="3D3D3D"/>
            <w:bottom w:val="none" w:sz="0" w:space="0" w:color="3D3D3D"/>
            <w:right w:val="none" w:sz="0" w:space="0" w:color="3D3D3D"/>
          </w:divBdr>
          <w:divsChild>
            <w:div w:id="68976823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93687496">
      <w:bodyDiv w:val="1"/>
      <w:marLeft w:val="0"/>
      <w:marRight w:val="0"/>
      <w:marTop w:val="0"/>
      <w:marBottom w:val="0"/>
      <w:divBdr>
        <w:top w:val="none" w:sz="0" w:space="0" w:color="auto"/>
        <w:left w:val="none" w:sz="0" w:space="0" w:color="auto"/>
        <w:bottom w:val="none" w:sz="0" w:space="0" w:color="auto"/>
        <w:right w:val="none" w:sz="0" w:space="0" w:color="auto"/>
      </w:divBdr>
      <w:divsChild>
        <w:div w:id="179859389">
          <w:marLeft w:val="0"/>
          <w:marRight w:val="0"/>
          <w:marTop w:val="0"/>
          <w:marBottom w:val="0"/>
          <w:divBdr>
            <w:top w:val="none" w:sz="0" w:space="0" w:color="3D3D3D"/>
            <w:left w:val="none" w:sz="0" w:space="0" w:color="3D3D3D"/>
            <w:bottom w:val="none" w:sz="0" w:space="0" w:color="3D3D3D"/>
            <w:right w:val="none" w:sz="0" w:space="0" w:color="3D3D3D"/>
          </w:divBdr>
          <w:divsChild>
            <w:div w:id="140090352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07018098">
      <w:bodyDiv w:val="1"/>
      <w:marLeft w:val="0"/>
      <w:marRight w:val="0"/>
      <w:marTop w:val="0"/>
      <w:marBottom w:val="0"/>
      <w:divBdr>
        <w:top w:val="none" w:sz="0" w:space="0" w:color="auto"/>
        <w:left w:val="none" w:sz="0" w:space="0" w:color="auto"/>
        <w:bottom w:val="none" w:sz="0" w:space="0" w:color="auto"/>
        <w:right w:val="none" w:sz="0" w:space="0" w:color="auto"/>
      </w:divBdr>
      <w:divsChild>
        <w:div w:id="83307108">
          <w:marLeft w:val="0"/>
          <w:marRight w:val="0"/>
          <w:marTop w:val="0"/>
          <w:marBottom w:val="0"/>
          <w:divBdr>
            <w:top w:val="none" w:sz="0" w:space="0" w:color="3D3D3D"/>
            <w:left w:val="none" w:sz="0" w:space="0" w:color="3D3D3D"/>
            <w:bottom w:val="none" w:sz="0" w:space="0" w:color="3D3D3D"/>
            <w:right w:val="none" w:sz="0" w:space="0" w:color="3D3D3D"/>
          </w:divBdr>
          <w:divsChild>
            <w:div w:id="206008908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02184554">
      <w:bodyDiv w:val="1"/>
      <w:marLeft w:val="0"/>
      <w:marRight w:val="0"/>
      <w:marTop w:val="0"/>
      <w:marBottom w:val="0"/>
      <w:divBdr>
        <w:top w:val="none" w:sz="0" w:space="0" w:color="auto"/>
        <w:left w:val="none" w:sz="0" w:space="0" w:color="auto"/>
        <w:bottom w:val="none" w:sz="0" w:space="0" w:color="auto"/>
        <w:right w:val="none" w:sz="0" w:space="0" w:color="auto"/>
      </w:divBdr>
      <w:divsChild>
        <w:div w:id="1673487456">
          <w:marLeft w:val="0"/>
          <w:marRight w:val="0"/>
          <w:marTop w:val="0"/>
          <w:marBottom w:val="0"/>
          <w:divBdr>
            <w:top w:val="none" w:sz="0" w:space="0" w:color="3D3D3D"/>
            <w:left w:val="none" w:sz="0" w:space="0" w:color="3D3D3D"/>
            <w:bottom w:val="none" w:sz="0" w:space="0" w:color="3D3D3D"/>
            <w:right w:val="none" w:sz="0" w:space="0" w:color="3D3D3D"/>
          </w:divBdr>
          <w:divsChild>
            <w:div w:id="18201520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26953268">
      <w:bodyDiv w:val="1"/>
      <w:marLeft w:val="0"/>
      <w:marRight w:val="0"/>
      <w:marTop w:val="0"/>
      <w:marBottom w:val="0"/>
      <w:divBdr>
        <w:top w:val="none" w:sz="0" w:space="0" w:color="auto"/>
        <w:left w:val="none" w:sz="0" w:space="0" w:color="auto"/>
        <w:bottom w:val="none" w:sz="0" w:space="0" w:color="auto"/>
        <w:right w:val="none" w:sz="0" w:space="0" w:color="auto"/>
      </w:divBdr>
      <w:divsChild>
        <w:div w:id="1607081695">
          <w:marLeft w:val="0"/>
          <w:marRight w:val="0"/>
          <w:marTop w:val="0"/>
          <w:marBottom w:val="0"/>
          <w:divBdr>
            <w:top w:val="none" w:sz="0" w:space="0" w:color="3D3D3D"/>
            <w:left w:val="none" w:sz="0" w:space="0" w:color="3D3D3D"/>
            <w:bottom w:val="none" w:sz="0" w:space="0" w:color="3D3D3D"/>
            <w:right w:val="none" w:sz="0" w:space="0" w:color="3D3D3D"/>
          </w:divBdr>
          <w:divsChild>
            <w:div w:id="89392784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68835165">
      <w:bodyDiv w:val="1"/>
      <w:marLeft w:val="0"/>
      <w:marRight w:val="0"/>
      <w:marTop w:val="0"/>
      <w:marBottom w:val="0"/>
      <w:divBdr>
        <w:top w:val="none" w:sz="0" w:space="0" w:color="auto"/>
        <w:left w:val="none" w:sz="0" w:space="0" w:color="auto"/>
        <w:bottom w:val="none" w:sz="0" w:space="0" w:color="auto"/>
        <w:right w:val="none" w:sz="0" w:space="0" w:color="auto"/>
      </w:divBdr>
      <w:divsChild>
        <w:div w:id="1218393575">
          <w:marLeft w:val="0"/>
          <w:marRight w:val="0"/>
          <w:marTop w:val="0"/>
          <w:marBottom w:val="0"/>
          <w:divBdr>
            <w:top w:val="none" w:sz="0" w:space="0" w:color="3D3D3D"/>
            <w:left w:val="none" w:sz="0" w:space="0" w:color="3D3D3D"/>
            <w:bottom w:val="none" w:sz="0" w:space="0" w:color="3D3D3D"/>
            <w:right w:val="none" w:sz="0" w:space="0" w:color="3D3D3D"/>
          </w:divBdr>
          <w:divsChild>
            <w:div w:id="17666056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9D4F6-2CCE-485A-8CEE-9599A177A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7</Pages>
  <Words>1675</Words>
  <Characters>9550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Metcalf, D. Douglas</dc:creator>
  <cp:keywords/>
  <dc:description/>
  <cp:lastModifiedBy>Metcalf, D. Douglas</cp:lastModifiedBy>
  <cp:revision>9</cp:revision>
  <cp:lastPrinted>2024-04-03T20:10:00Z</cp:lastPrinted>
  <dcterms:created xsi:type="dcterms:W3CDTF">2024-03-27T23:01:00Z</dcterms:created>
  <dcterms:modified xsi:type="dcterms:W3CDTF">2024-04-04T18:44:00Z</dcterms:modified>
</cp:coreProperties>
</file>