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35FA" w:rsidRDefault="00000000" w14:paraId="16DE80EC" w14:textId="77777777">
      <w:pPr>
        <w:pStyle w:val="BodyText"/>
        <w:spacing w:before="60" w:line="322" w:lineRule="exact"/>
        <w:ind w:left="170"/>
      </w:pPr>
      <w:r>
        <w:t>Joel</w:t>
      </w:r>
      <w:r>
        <w:rPr>
          <w:spacing w:val="-10"/>
        </w:rPr>
        <w:t xml:space="preserve"> </w:t>
      </w:r>
      <w:r>
        <w:t>W.</w:t>
      </w:r>
      <w:r>
        <w:rPr>
          <w:spacing w:val="-12"/>
        </w:rPr>
        <w:t xml:space="preserve"> </w:t>
      </w:r>
      <w:proofErr w:type="spellStart"/>
      <w:r>
        <w:t>Nomkin</w:t>
      </w:r>
      <w:proofErr w:type="spellEnd"/>
      <w:r>
        <w:t>,</w:t>
      </w:r>
      <w:r>
        <w:rPr>
          <w:spacing w:val="-11"/>
        </w:rPr>
        <w:t xml:space="preserve"> </w:t>
      </w:r>
      <w:r>
        <w:t>(Bar</w:t>
      </w:r>
      <w:r>
        <w:rPr>
          <w:spacing w:val="-16"/>
        </w:rPr>
        <w:t xml:space="preserve"> </w:t>
      </w:r>
      <w:r>
        <w:t>No.</w:t>
      </w:r>
      <w:r>
        <w:rPr>
          <w:spacing w:val="-13"/>
        </w:rPr>
        <w:t xml:space="preserve"> </w:t>
      </w:r>
      <w:r>
        <w:rPr>
          <w:spacing w:val="-2"/>
        </w:rPr>
        <w:t>011939)</w:t>
      </w:r>
    </w:p>
    <w:p w:rsidR="004435FA" w:rsidRDefault="00000000" w14:paraId="71048B5D" w14:textId="77777777">
      <w:pPr>
        <w:spacing w:line="322" w:lineRule="exact"/>
        <w:ind w:left="170"/>
        <w:rPr>
          <w:b/>
          <w:sz w:val="28"/>
        </w:rPr>
      </w:pPr>
      <w:r>
        <w:rPr>
          <w:b/>
          <w:sz w:val="28"/>
        </w:rPr>
        <w:t>PERKINS</w:t>
      </w:r>
      <w:r>
        <w:rPr>
          <w:b/>
          <w:spacing w:val="-8"/>
          <w:sz w:val="28"/>
        </w:rPr>
        <w:t xml:space="preserve"> </w:t>
      </w:r>
      <w:r>
        <w:rPr>
          <w:b/>
          <w:sz w:val="28"/>
        </w:rPr>
        <w:t>COIE</w:t>
      </w:r>
      <w:r>
        <w:rPr>
          <w:b/>
          <w:spacing w:val="-3"/>
          <w:sz w:val="28"/>
        </w:rPr>
        <w:t xml:space="preserve"> </w:t>
      </w:r>
      <w:r>
        <w:rPr>
          <w:b/>
          <w:spacing w:val="-5"/>
          <w:sz w:val="28"/>
        </w:rPr>
        <w:t>LLP</w:t>
      </w:r>
    </w:p>
    <w:p w:rsidR="004435FA" w:rsidRDefault="00000000" w14:paraId="56636060" w14:textId="77777777">
      <w:pPr>
        <w:pStyle w:val="BodyText"/>
        <w:spacing w:line="322" w:lineRule="exact"/>
        <w:ind w:left="170"/>
      </w:pPr>
      <w:r>
        <w:t>2901</w:t>
      </w:r>
      <w:r>
        <w:rPr>
          <w:spacing w:val="-11"/>
        </w:rPr>
        <w:t xml:space="preserve"> </w:t>
      </w:r>
      <w:r>
        <w:t>North</w:t>
      </w:r>
      <w:r>
        <w:rPr>
          <w:spacing w:val="-7"/>
        </w:rPr>
        <w:t xml:space="preserve"> </w:t>
      </w:r>
      <w:r>
        <w:t>Central</w:t>
      </w:r>
      <w:r>
        <w:rPr>
          <w:spacing w:val="-7"/>
        </w:rPr>
        <w:t xml:space="preserve"> </w:t>
      </w:r>
      <w:r>
        <w:t>Avenue,</w:t>
      </w:r>
      <w:r>
        <w:rPr>
          <w:spacing w:val="-9"/>
        </w:rPr>
        <w:t xml:space="preserve"> </w:t>
      </w:r>
      <w:r>
        <w:t>Suite</w:t>
      </w:r>
      <w:r>
        <w:rPr>
          <w:spacing w:val="-10"/>
        </w:rPr>
        <w:t xml:space="preserve"> </w:t>
      </w:r>
      <w:r>
        <w:rPr>
          <w:spacing w:val="-4"/>
        </w:rPr>
        <w:t>2000</w:t>
      </w:r>
    </w:p>
    <w:p w:rsidR="004435FA" w:rsidRDefault="00000000" w14:paraId="3D752ACD" w14:textId="77777777">
      <w:pPr>
        <w:pStyle w:val="BodyText"/>
        <w:spacing w:line="322" w:lineRule="exact"/>
        <w:ind w:left="170"/>
      </w:pPr>
      <w:r>
        <w:t>Phoenix,</w:t>
      </w:r>
      <w:r>
        <w:rPr>
          <w:spacing w:val="-16"/>
        </w:rPr>
        <w:t xml:space="preserve"> </w:t>
      </w:r>
      <w:r>
        <w:t>Arizona</w:t>
      </w:r>
      <w:r>
        <w:rPr>
          <w:spacing w:val="-15"/>
        </w:rPr>
        <w:t xml:space="preserve"> </w:t>
      </w:r>
      <w:r>
        <w:t>85012-</w:t>
      </w:r>
      <w:r>
        <w:rPr>
          <w:spacing w:val="-4"/>
        </w:rPr>
        <w:t>2788</w:t>
      </w:r>
    </w:p>
    <w:p w:rsidR="004435FA" w:rsidRDefault="00000000" w14:paraId="52F7D1D7" w14:textId="77777777">
      <w:pPr>
        <w:pStyle w:val="BodyText"/>
        <w:spacing w:before="2" w:line="322" w:lineRule="exact"/>
        <w:ind w:left="120"/>
      </w:pPr>
      <w:r>
        <w:t>Telephone:</w:t>
      </w:r>
      <w:r>
        <w:rPr>
          <w:spacing w:val="-13"/>
        </w:rPr>
        <w:t xml:space="preserve"> </w:t>
      </w:r>
      <w:r>
        <w:rPr>
          <w:spacing w:val="-2"/>
        </w:rPr>
        <w:t>+1.602.351.8000</w:t>
      </w:r>
    </w:p>
    <w:p w:rsidR="004435FA" w:rsidRDefault="00000000" w14:paraId="0839F701" w14:textId="77777777">
      <w:pPr>
        <w:pStyle w:val="BodyText"/>
        <w:ind w:left="170" w:right="3224"/>
      </w:pPr>
      <w:r>
        <w:t xml:space="preserve">Facsimile: +1.602.648.7000 </w:t>
      </w:r>
      <w:hyperlink r:id="rId6">
        <w:r>
          <w:rPr>
            <w:spacing w:val="-2"/>
          </w:rPr>
          <w:t>JNomkin@perkinscoie.com</w:t>
        </w:r>
      </w:hyperlink>
      <w:r>
        <w:rPr>
          <w:spacing w:val="-2"/>
        </w:rPr>
        <w:t xml:space="preserve"> </w:t>
      </w:r>
      <w:hyperlink r:id="rId7">
        <w:r>
          <w:rPr>
            <w:spacing w:val="-4"/>
          </w:rPr>
          <w:t>Docketphx@perkinscoie.com</w:t>
        </w:r>
      </w:hyperlink>
    </w:p>
    <w:p w:rsidR="004435FA" w:rsidRDefault="004435FA" w14:paraId="32C5A94C" w14:textId="77777777">
      <w:pPr>
        <w:pStyle w:val="BodyText"/>
        <w:rPr>
          <w:sz w:val="30"/>
        </w:rPr>
      </w:pPr>
    </w:p>
    <w:p w:rsidR="004435FA" w:rsidRDefault="004435FA" w14:paraId="63FC8A78" w14:textId="77777777">
      <w:pPr>
        <w:pStyle w:val="BodyText"/>
        <w:rPr>
          <w:sz w:val="26"/>
        </w:rPr>
      </w:pPr>
    </w:p>
    <w:p w:rsidR="004435FA" w:rsidRDefault="00000000" w14:paraId="6A5910D5" w14:textId="77777777">
      <w:pPr>
        <w:pStyle w:val="BodyText"/>
        <w:ind w:left="2760" w:right="2760"/>
        <w:jc w:val="center"/>
      </w:pPr>
      <w:r>
        <w:t>SUPREME</w:t>
      </w:r>
      <w:r>
        <w:rPr>
          <w:spacing w:val="-6"/>
        </w:rPr>
        <w:t xml:space="preserve"> </w:t>
      </w:r>
      <w:r>
        <w:t>COURT</w:t>
      </w:r>
      <w:r>
        <w:rPr>
          <w:spacing w:val="-5"/>
        </w:rPr>
        <w:t xml:space="preserve"> </w:t>
      </w:r>
      <w:r>
        <w:t>OF</w:t>
      </w:r>
      <w:r>
        <w:rPr>
          <w:spacing w:val="-4"/>
        </w:rPr>
        <w:t xml:space="preserve"> </w:t>
      </w:r>
      <w:r>
        <w:rPr>
          <w:spacing w:val="-2"/>
        </w:rPr>
        <w:t>ARIZONA</w:t>
      </w:r>
    </w:p>
    <w:p w:rsidR="004435FA" w:rsidRDefault="004435FA" w14:paraId="75E7A327" w14:textId="77777777">
      <w:pPr>
        <w:pStyle w:val="BodyText"/>
        <w:rPr>
          <w:sz w:val="30"/>
        </w:rPr>
      </w:pPr>
    </w:p>
    <w:p w:rsidR="004435FA" w:rsidRDefault="004435FA" w14:paraId="526AFEF6" w14:textId="77777777">
      <w:pPr>
        <w:pStyle w:val="BodyText"/>
        <w:spacing w:before="10"/>
        <w:rPr>
          <w:sz w:val="25"/>
        </w:rPr>
      </w:pPr>
    </w:p>
    <w:p w:rsidR="004435FA" w:rsidRDefault="00000000" w14:paraId="6DC3FD81" w14:textId="77777777">
      <w:pPr>
        <w:pStyle w:val="BodyText"/>
        <w:tabs>
          <w:tab w:val="left" w:pos="4439"/>
          <w:tab w:val="left" w:pos="4741"/>
        </w:tabs>
        <w:ind w:left="119" w:right="1385"/>
        <w:rPr>
          <w:b/>
        </w:rPr>
      </w:pPr>
      <w:r>
        <w:t>PETITION TO AMEND THE</w:t>
      </w:r>
      <w:r>
        <w:tab/>
      </w:r>
      <w:r>
        <w:rPr>
          <w:b/>
          <w:spacing w:val="-10"/>
        </w:rPr>
        <w:t>)</w:t>
      </w:r>
      <w:r>
        <w:rPr>
          <w:b/>
        </w:rPr>
        <w:tab/>
      </w:r>
      <w:r>
        <w:t>Supreme</w:t>
      </w:r>
      <w:r>
        <w:rPr>
          <w:spacing w:val="-12"/>
        </w:rPr>
        <w:t xml:space="preserve"> </w:t>
      </w:r>
      <w:r>
        <w:t>Court</w:t>
      </w:r>
      <w:r>
        <w:rPr>
          <w:spacing w:val="-13"/>
        </w:rPr>
        <w:t xml:space="preserve"> </w:t>
      </w:r>
      <w:r>
        <w:t>No.</w:t>
      </w:r>
      <w:r>
        <w:rPr>
          <w:spacing w:val="-12"/>
        </w:rPr>
        <w:t xml:space="preserve"> </w:t>
      </w:r>
      <w:r>
        <w:t>R-23-0055 RULES OF PROCEDURE FOR</w:t>
      </w:r>
      <w:r>
        <w:tab/>
      </w:r>
      <w:r>
        <w:rPr>
          <w:b/>
          <w:spacing w:val="-10"/>
        </w:rPr>
        <w:t>)</w:t>
      </w:r>
    </w:p>
    <w:p w:rsidR="004435FA" w:rsidRDefault="00000000" w14:paraId="12E12B69" w14:textId="77777777">
      <w:pPr>
        <w:tabs>
          <w:tab w:val="left" w:pos="4307"/>
          <w:tab w:val="left" w:pos="4610"/>
        </w:tabs>
        <w:spacing w:line="321" w:lineRule="exact"/>
        <w:ind w:right="306"/>
        <w:jc w:val="right"/>
        <w:rPr>
          <w:b/>
          <w:sz w:val="28"/>
        </w:rPr>
      </w:pPr>
      <w:r>
        <w:rPr>
          <w:sz w:val="28"/>
        </w:rPr>
        <w:t>SPECIAL</w:t>
      </w:r>
      <w:r>
        <w:rPr>
          <w:spacing w:val="-7"/>
          <w:sz w:val="28"/>
        </w:rPr>
        <w:t xml:space="preserve"> </w:t>
      </w:r>
      <w:r>
        <w:rPr>
          <w:spacing w:val="-2"/>
          <w:sz w:val="28"/>
        </w:rPr>
        <w:t>ACTIONS</w:t>
      </w:r>
      <w:r>
        <w:rPr>
          <w:sz w:val="28"/>
        </w:rPr>
        <w:tab/>
      </w:r>
      <w:r>
        <w:rPr>
          <w:b/>
          <w:spacing w:val="-10"/>
          <w:sz w:val="28"/>
        </w:rPr>
        <w:t>)</w:t>
      </w:r>
      <w:r>
        <w:rPr>
          <w:b/>
          <w:sz w:val="28"/>
        </w:rPr>
        <w:tab/>
        <w:t>COMMENT</w:t>
      </w:r>
      <w:r>
        <w:rPr>
          <w:b/>
          <w:spacing w:val="-5"/>
          <w:sz w:val="28"/>
        </w:rPr>
        <w:t xml:space="preserve"> </w:t>
      </w:r>
      <w:r>
        <w:rPr>
          <w:b/>
          <w:sz w:val="28"/>
        </w:rPr>
        <w:t>OF</w:t>
      </w:r>
      <w:r>
        <w:rPr>
          <w:b/>
          <w:spacing w:val="-3"/>
          <w:sz w:val="28"/>
        </w:rPr>
        <w:t xml:space="preserve"> </w:t>
      </w:r>
      <w:r>
        <w:rPr>
          <w:b/>
          <w:sz w:val="28"/>
        </w:rPr>
        <w:t>JOEL</w:t>
      </w:r>
      <w:r>
        <w:rPr>
          <w:b/>
          <w:spacing w:val="-4"/>
          <w:sz w:val="28"/>
        </w:rPr>
        <w:t xml:space="preserve"> </w:t>
      </w:r>
      <w:proofErr w:type="spellStart"/>
      <w:r>
        <w:rPr>
          <w:b/>
          <w:sz w:val="28"/>
        </w:rPr>
        <w:t>NOMKIN</w:t>
      </w:r>
      <w:proofErr w:type="spellEnd"/>
      <w:r>
        <w:rPr>
          <w:b/>
          <w:spacing w:val="-5"/>
          <w:sz w:val="28"/>
        </w:rPr>
        <w:t xml:space="preserve"> ON</w:t>
      </w:r>
    </w:p>
    <w:p w:rsidR="004435FA" w:rsidRDefault="00000000" w14:paraId="634B2433" w14:textId="77777777">
      <w:pPr>
        <w:tabs>
          <w:tab w:val="left" w:pos="302"/>
        </w:tabs>
        <w:spacing w:line="322" w:lineRule="exact"/>
        <w:ind w:right="219"/>
        <w:jc w:val="right"/>
        <w:rPr>
          <w:b/>
          <w:sz w:val="28"/>
        </w:rPr>
      </w:pPr>
      <w:r>
        <w:rPr>
          <w:b/>
          <w:spacing w:val="-10"/>
          <w:sz w:val="28"/>
        </w:rPr>
        <w:t>)</w:t>
      </w:r>
      <w:r>
        <w:rPr>
          <w:b/>
          <w:sz w:val="28"/>
        </w:rPr>
        <w:tab/>
        <w:t>PETITION</w:t>
      </w:r>
      <w:r>
        <w:rPr>
          <w:b/>
          <w:spacing w:val="-4"/>
          <w:sz w:val="28"/>
        </w:rPr>
        <w:t xml:space="preserve"> </w:t>
      </w:r>
      <w:r>
        <w:rPr>
          <w:b/>
          <w:sz w:val="28"/>
        </w:rPr>
        <w:t>TO</w:t>
      </w:r>
      <w:r>
        <w:rPr>
          <w:b/>
          <w:spacing w:val="-6"/>
          <w:sz w:val="28"/>
        </w:rPr>
        <w:t xml:space="preserve"> </w:t>
      </w:r>
      <w:r>
        <w:rPr>
          <w:b/>
          <w:sz w:val="28"/>
        </w:rPr>
        <w:t>AMEND</w:t>
      </w:r>
      <w:r>
        <w:rPr>
          <w:b/>
          <w:spacing w:val="-3"/>
          <w:sz w:val="28"/>
        </w:rPr>
        <w:t xml:space="preserve"> </w:t>
      </w:r>
      <w:r>
        <w:rPr>
          <w:b/>
          <w:sz w:val="28"/>
        </w:rPr>
        <w:t>THE</w:t>
      </w:r>
      <w:r>
        <w:rPr>
          <w:b/>
          <w:spacing w:val="-5"/>
          <w:sz w:val="28"/>
        </w:rPr>
        <w:t xml:space="preserve"> </w:t>
      </w:r>
      <w:r>
        <w:rPr>
          <w:b/>
          <w:spacing w:val="-4"/>
          <w:sz w:val="28"/>
        </w:rPr>
        <w:t>RULES</w:t>
      </w:r>
    </w:p>
    <w:p w:rsidR="004435FA" w:rsidRDefault="00000000" w14:paraId="54B89630" w14:textId="77777777">
      <w:pPr>
        <w:tabs>
          <w:tab w:val="left" w:pos="4741"/>
        </w:tabs>
        <w:spacing w:before="2" w:line="322" w:lineRule="exact"/>
        <w:ind w:left="4439"/>
        <w:rPr>
          <w:b/>
          <w:sz w:val="28"/>
        </w:rPr>
      </w:pPr>
      <w:r>
        <w:rPr>
          <w:b/>
          <w:spacing w:val="-10"/>
          <w:sz w:val="28"/>
        </w:rPr>
        <w:t>)</w:t>
      </w:r>
      <w:r>
        <w:rPr>
          <w:b/>
          <w:sz w:val="28"/>
        </w:rPr>
        <w:tab/>
        <w:t>OF</w:t>
      </w:r>
      <w:r>
        <w:rPr>
          <w:b/>
          <w:spacing w:val="-4"/>
          <w:sz w:val="28"/>
        </w:rPr>
        <w:t xml:space="preserve"> </w:t>
      </w:r>
      <w:r>
        <w:rPr>
          <w:b/>
          <w:sz w:val="28"/>
        </w:rPr>
        <w:t>PROCEDURE</w:t>
      </w:r>
      <w:r>
        <w:rPr>
          <w:b/>
          <w:spacing w:val="-5"/>
          <w:sz w:val="28"/>
        </w:rPr>
        <w:t xml:space="preserve"> </w:t>
      </w:r>
      <w:r>
        <w:rPr>
          <w:b/>
          <w:sz w:val="28"/>
        </w:rPr>
        <w:t>FOR</w:t>
      </w:r>
      <w:r>
        <w:rPr>
          <w:b/>
          <w:spacing w:val="-3"/>
          <w:sz w:val="28"/>
        </w:rPr>
        <w:t xml:space="preserve"> </w:t>
      </w:r>
      <w:r>
        <w:rPr>
          <w:b/>
          <w:spacing w:val="-2"/>
          <w:sz w:val="28"/>
        </w:rPr>
        <w:t>SPECIAL</w:t>
      </w:r>
    </w:p>
    <w:p w:rsidR="004435FA" w:rsidRDefault="00000000" w14:paraId="48668B39" w14:textId="77777777">
      <w:pPr>
        <w:spacing w:line="322" w:lineRule="exact"/>
        <w:ind w:left="4439"/>
        <w:rPr>
          <w:b/>
          <w:sz w:val="28"/>
        </w:rPr>
      </w:pPr>
      <w:r>
        <w:rPr>
          <w:b/>
          <w:sz w:val="28"/>
        </w:rPr>
        <w:t>)</w:t>
      </w:r>
      <w:r>
        <w:rPr>
          <w:b/>
          <w:spacing w:val="69"/>
          <w:sz w:val="28"/>
        </w:rPr>
        <w:t xml:space="preserve"> </w:t>
      </w:r>
      <w:r>
        <w:rPr>
          <w:b/>
          <w:spacing w:val="-2"/>
          <w:sz w:val="28"/>
        </w:rPr>
        <w:t>ACTIONS</w:t>
      </w:r>
    </w:p>
    <w:p w:rsidR="004435FA" w:rsidRDefault="00000000" w14:paraId="20F7F71B" w14:textId="77777777">
      <w:pPr>
        <w:spacing w:line="322" w:lineRule="exact"/>
        <w:ind w:right="5065"/>
        <w:jc w:val="right"/>
        <w:rPr>
          <w:b/>
          <w:sz w:val="28"/>
        </w:rPr>
      </w:pPr>
      <w:r>
        <w:rPr>
          <w:b/>
          <w:sz w:val="28"/>
        </w:rPr>
        <w:t>)</w:t>
      </w:r>
    </w:p>
    <w:p w:rsidR="004435FA" w:rsidRDefault="00000000" w14:paraId="63CF81C6" w14:textId="77777777">
      <w:pPr>
        <w:tabs>
          <w:tab w:val="left" w:pos="4342"/>
        </w:tabs>
        <w:spacing w:line="322" w:lineRule="exact"/>
        <w:ind w:right="5041"/>
        <w:jc w:val="right"/>
        <w:rPr>
          <w:b/>
          <w:sz w:val="28"/>
        </w:rPr>
      </w:pPr>
      <w:r>
        <w:rPr>
          <w:b/>
          <w:sz w:val="28"/>
          <w:u w:val="single"/>
        </w:rPr>
        <w:tab/>
      </w:r>
      <w:r>
        <w:rPr>
          <w:b/>
          <w:spacing w:val="-10"/>
          <w:sz w:val="28"/>
        </w:rPr>
        <w:t>)</w:t>
      </w:r>
    </w:p>
    <w:p w:rsidR="004435FA" w:rsidRDefault="004435FA" w14:paraId="2AB28743" w14:textId="77777777">
      <w:pPr>
        <w:pStyle w:val="BodyText"/>
        <w:rPr>
          <w:b/>
          <w:sz w:val="30"/>
        </w:rPr>
      </w:pPr>
    </w:p>
    <w:p w:rsidR="004435FA" w:rsidRDefault="004435FA" w14:paraId="1DFBD242" w14:textId="77777777">
      <w:pPr>
        <w:pStyle w:val="BodyText"/>
        <w:spacing w:before="1"/>
        <w:rPr>
          <w:b/>
          <w:sz w:val="26"/>
        </w:rPr>
      </w:pPr>
    </w:p>
    <w:p w:rsidR="004435FA" w:rsidRDefault="00000000" w14:paraId="60BDFB4D" w14:textId="77777777">
      <w:pPr>
        <w:pStyle w:val="BodyText"/>
        <w:spacing w:line="480" w:lineRule="auto"/>
        <w:ind w:left="119" w:right="116" w:firstLine="719"/>
        <w:jc w:val="both"/>
      </w:pPr>
      <w:r>
        <w:t>Pursuant to Rule 28 of the Arizona Rules of the Supreme Court, and in my individual capacity as an Arizona appellate practitioner, I submit this comment on the</w:t>
      </w:r>
      <w:r>
        <w:rPr>
          <w:spacing w:val="-10"/>
        </w:rPr>
        <w:t xml:space="preserve"> </w:t>
      </w:r>
      <w:r>
        <w:t>Task</w:t>
      </w:r>
      <w:r>
        <w:rPr>
          <w:spacing w:val="-7"/>
        </w:rPr>
        <w:t xml:space="preserve"> </w:t>
      </w:r>
      <w:r>
        <w:t>Force’s</w:t>
      </w:r>
      <w:r>
        <w:rPr>
          <w:spacing w:val="-7"/>
        </w:rPr>
        <w:t xml:space="preserve"> </w:t>
      </w:r>
      <w:r>
        <w:t>Petition</w:t>
      </w:r>
      <w:r>
        <w:rPr>
          <w:spacing w:val="-7"/>
        </w:rPr>
        <w:t xml:space="preserve"> </w:t>
      </w:r>
      <w:r>
        <w:t>to</w:t>
      </w:r>
      <w:r>
        <w:rPr>
          <w:spacing w:val="-9"/>
        </w:rPr>
        <w:t xml:space="preserve"> </w:t>
      </w:r>
      <w:r>
        <w:t>Amend</w:t>
      </w:r>
      <w:r>
        <w:rPr>
          <w:spacing w:val="-9"/>
        </w:rPr>
        <w:t xml:space="preserve"> </w:t>
      </w:r>
      <w:r>
        <w:t>the</w:t>
      </w:r>
      <w:r>
        <w:rPr>
          <w:spacing w:val="-7"/>
        </w:rPr>
        <w:t xml:space="preserve"> </w:t>
      </w:r>
      <w:r>
        <w:t>Rules</w:t>
      </w:r>
      <w:r>
        <w:rPr>
          <w:spacing w:val="-7"/>
        </w:rPr>
        <w:t xml:space="preserve"> </w:t>
      </w:r>
      <w:r>
        <w:t>of</w:t>
      </w:r>
      <w:r>
        <w:rPr>
          <w:spacing w:val="-8"/>
        </w:rPr>
        <w:t xml:space="preserve"> </w:t>
      </w:r>
      <w:r>
        <w:t>Procedure</w:t>
      </w:r>
      <w:r>
        <w:rPr>
          <w:spacing w:val="-7"/>
        </w:rPr>
        <w:t xml:space="preserve"> </w:t>
      </w:r>
      <w:r>
        <w:t>for</w:t>
      </w:r>
      <w:r>
        <w:rPr>
          <w:spacing w:val="-8"/>
        </w:rPr>
        <w:t xml:space="preserve"> </w:t>
      </w:r>
      <w:r>
        <w:t>Special</w:t>
      </w:r>
      <w:r>
        <w:rPr>
          <w:spacing w:val="-9"/>
        </w:rPr>
        <w:t xml:space="preserve"> </w:t>
      </w:r>
      <w:r>
        <w:t>Actions.</w:t>
      </w:r>
      <w:r>
        <w:rPr>
          <w:spacing w:val="-9"/>
        </w:rPr>
        <w:t xml:space="preserve"> </w:t>
      </w:r>
      <w:r>
        <w:t>The Petition</w:t>
      </w:r>
      <w:r>
        <w:rPr>
          <w:spacing w:val="-4"/>
        </w:rPr>
        <w:t xml:space="preserve"> </w:t>
      </w:r>
      <w:r>
        <w:t>brings</w:t>
      </w:r>
      <w:r>
        <w:rPr>
          <w:spacing w:val="-4"/>
        </w:rPr>
        <w:t xml:space="preserve"> </w:t>
      </w:r>
      <w:r>
        <w:t>much</w:t>
      </w:r>
      <w:r>
        <w:rPr>
          <w:spacing w:val="-4"/>
        </w:rPr>
        <w:t xml:space="preserve"> </w:t>
      </w:r>
      <w:r>
        <w:t>needed</w:t>
      </w:r>
      <w:r>
        <w:rPr>
          <w:spacing w:val="-2"/>
        </w:rPr>
        <w:t xml:space="preserve"> </w:t>
      </w:r>
      <w:r>
        <w:t>clarity</w:t>
      </w:r>
      <w:r>
        <w:rPr>
          <w:spacing w:val="-2"/>
        </w:rPr>
        <w:t xml:space="preserve"> </w:t>
      </w:r>
      <w:r>
        <w:t>and</w:t>
      </w:r>
      <w:r>
        <w:rPr>
          <w:spacing w:val="-4"/>
        </w:rPr>
        <w:t xml:space="preserve"> </w:t>
      </w:r>
      <w:r>
        <w:t>reform</w:t>
      </w:r>
      <w:r>
        <w:rPr>
          <w:spacing w:val="-5"/>
        </w:rPr>
        <w:t xml:space="preserve"> </w:t>
      </w:r>
      <w:r>
        <w:t>to</w:t>
      </w:r>
      <w:r>
        <w:rPr>
          <w:spacing w:val="-4"/>
        </w:rPr>
        <w:t xml:space="preserve"> </w:t>
      </w:r>
      <w:r>
        <w:t>the</w:t>
      </w:r>
      <w:r>
        <w:rPr>
          <w:spacing w:val="-5"/>
        </w:rPr>
        <w:t xml:space="preserve"> </w:t>
      </w:r>
      <w:r>
        <w:t>special</w:t>
      </w:r>
      <w:r>
        <w:rPr>
          <w:spacing w:val="-2"/>
        </w:rPr>
        <w:t xml:space="preserve"> </w:t>
      </w:r>
      <w:r>
        <w:t>action</w:t>
      </w:r>
      <w:r>
        <w:rPr>
          <w:spacing w:val="-2"/>
        </w:rPr>
        <w:t xml:space="preserve"> </w:t>
      </w:r>
      <w:r>
        <w:t>rules.</w:t>
      </w:r>
      <w:r>
        <w:rPr>
          <w:spacing w:val="-3"/>
        </w:rPr>
        <w:t xml:space="preserve"> </w:t>
      </w:r>
      <w:r>
        <w:t>I</w:t>
      </w:r>
      <w:r>
        <w:rPr>
          <w:spacing w:val="-5"/>
        </w:rPr>
        <w:t xml:space="preserve"> </w:t>
      </w:r>
      <w:r>
        <w:t>write</w:t>
      </w:r>
      <w:r>
        <w:rPr>
          <w:spacing w:val="-3"/>
        </w:rPr>
        <w:t xml:space="preserve"> </w:t>
      </w:r>
      <w:r>
        <w:t>to raise concern with only one aspect of the Petition—Proposed Rule 11.</w:t>
      </w:r>
    </w:p>
    <w:p w:rsidR="004435FA" w:rsidRDefault="00000000" w14:paraId="735EA431" w14:textId="77777777">
      <w:pPr>
        <w:pStyle w:val="BodyText"/>
        <w:spacing w:line="480" w:lineRule="auto"/>
        <w:ind w:left="119" w:right="116" w:firstLine="719"/>
        <w:jc w:val="both"/>
      </w:pPr>
      <w:r>
        <w:t>Proposed Rule 11 would replace the current guidepost for the exercise of special action jurisdiction with thirteen non-dispositive factors—weighing for and against</w:t>
      </w:r>
      <w:r>
        <w:rPr>
          <w:spacing w:val="8"/>
        </w:rPr>
        <w:t xml:space="preserve"> </w:t>
      </w:r>
      <w:r>
        <w:t>jurisdiction</w:t>
      </w:r>
      <w:proofErr w:type="gramStart"/>
      <w:r>
        <w:t>—“</w:t>
      </w:r>
      <w:proofErr w:type="gramEnd"/>
      <w:r>
        <w:t>the</w:t>
      </w:r>
      <w:r>
        <w:rPr>
          <w:spacing w:val="9"/>
        </w:rPr>
        <w:t xml:space="preserve"> </w:t>
      </w:r>
      <w:r>
        <w:t>court</w:t>
      </w:r>
      <w:r>
        <w:rPr>
          <w:spacing w:val="8"/>
        </w:rPr>
        <w:t xml:space="preserve"> </w:t>
      </w:r>
      <w:r>
        <w:t>should</w:t>
      </w:r>
      <w:r>
        <w:rPr>
          <w:spacing w:val="10"/>
        </w:rPr>
        <w:t xml:space="preserve"> </w:t>
      </w:r>
      <w:r>
        <w:t>consider.”</w:t>
      </w:r>
      <w:r>
        <w:rPr>
          <w:spacing w:val="6"/>
        </w:rPr>
        <w:t xml:space="preserve"> </w:t>
      </w:r>
      <w:r>
        <w:t>As</w:t>
      </w:r>
      <w:r>
        <w:rPr>
          <w:spacing w:val="11"/>
        </w:rPr>
        <w:t xml:space="preserve"> </w:t>
      </w:r>
      <w:r>
        <w:t>drafted,</w:t>
      </w:r>
      <w:r>
        <w:rPr>
          <w:spacing w:val="5"/>
        </w:rPr>
        <w:t xml:space="preserve"> </w:t>
      </w:r>
      <w:r>
        <w:t>that</w:t>
      </w:r>
      <w:r>
        <w:rPr>
          <w:spacing w:val="8"/>
        </w:rPr>
        <w:t xml:space="preserve"> </w:t>
      </w:r>
      <w:r>
        <w:t>group</w:t>
      </w:r>
      <w:r>
        <w:rPr>
          <w:spacing w:val="10"/>
        </w:rPr>
        <w:t xml:space="preserve"> </w:t>
      </w:r>
      <w:r>
        <w:t>of</w:t>
      </w:r>
      <w:r>
        <w:rPr>
          <w:spacing w:val="10"/>
        </w:rPr>
        <w:t xml:space="preserve"> </w:t>
      </w:r>
      <w:r>
        <w:rPr>
          <w:spacing w:val="-2"/>
        </w:rPr>
        <w:t>factors</w:t>
      </w:r>
    </w:p>
    <w:p w:rsidR="004435FA" w:rsidRDefault="004435FA" w14:paraId="10CDE93C" w14:textId="77777777">
      <w:pPr>
        <w:spacing w:line="480" w:lineRule="auto"/>
        <w:jc w:val="both"/>
        <w:sectPr w:rsidR="004435FA">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1320" w:bottom="880" w:left="1320" w:header="0" w:footer="697" w:gutter="0"/>
          <w:pgNumType w:start="1"/>
          <w:cols w:space="720"/>
        </w:sectPr>
      </w:pPr>
    </w:p>
    <w:p w:rsidR="004435FA" w:rsidRDefault="00000000" w14:paraId="467958F8" w14:textId="77777777">
      <w:pPr>
        <w:pStyle w:val="BodyText"/>
        <w:spacing w:before="60" w:line="480" w:lineRule="auto"/>
        <w:ind w:left="120" w:right="118"/>
        <w:jc w:val="both"/>
      </w:pPr>
      <w:r>
        <w:lastRenderedPageBreak/>
        <w:t>may sanction and encourage appellate special actions that go beyond the intended scope and purpose of special action relief.</w:t>
      </w:r>
    </w:p>
    <w:p w:rsidR="004435FA" w:rsidRDefault="00000000" w14:paraId="38570872" w14:textId="77777777">
      <w:pPr>
        <w:pStyle w:val="BodyText"/>
        <w:spacing w:before="1" w:line="480" w:lineRule="auto"/>
        <w:ind w:left="120" w:right="116" w:firstLine="719"/>
        <w:jc w:val="both"/>
      </w:pPr>
      <w:r>
        <w:t>For</w:t>
      </w:r>
      <w:r>
        <w:rPr>
          <w:spacing w:val="-7"/>
        </w:rPr>
        <w:t xml:space="preserve"> </w:t>
      </w:r>
      <w:r>
        <w:t>over</w:t>
      </w:r>
      <w:r>
        <w:rPr>
          <w:spacing w:val="-9"/>
        </w:rPr>
        <w:t xml:space="preserve"> </w:t>
      </w:r>
      <w:r>
        <w:t>50</w:t>
      </w:r>
      <w:r>
        <w:rPr>
          <w:spacing w:val="-6"/>
        </w:rPr>
        <w:t xml:space="preserve"> </w:t>
      </w:r>
      <w:r>
        <w:t>years,</w:t>
      </w:r>
      <w:r>
        <w:rPr>
          <w:spacing w:val="-7"/>
        </w:rPr>
        <w:t xml:space="preserve"> </w:t>
      </w:r>
      <w:r>
        <w:t>Rule</w:t>
      </w:r>
      <w:r>
        <w:rPr>
          <w:spacing w:val="-6"/>
        </w:rPr>
        <w:t xml:space="preserve"> </w:t>
      </w:r>
      <w:r>
        <w:t>1(a)</w:t>
      </w:r>
      <w:r>
        <w:rPr>
          <w:spacing w:val="-7"/>
        </w:rPr>
        <w:t xml:space="preserve"> </w:t>
      </w:r>
      <w:r>
        <w:t>has</w:t>
      </w:r>
      <w:r>
        <w:rPr>
          <w:spacing w:val="-6"/>
        </w:rPr>
        <w:t xml:space="preserve"> </w:t>
      </w:r>
      <w:r>
        <w:t>stated</w:t>
      </w:r>
      <w:r>
        <w:rPr>
          <w:spacing w:val="-5"/>
        </w:rPr>
        <w:t xml:space="preserve"> </w:t>
      </w:r>
      <w:r>
        <w:t>the</w:t>
      </w:r>
      <w:r>
        <w:rPr>
          <w:spacing w:val="-9"/>
        </w:rPr>
        <w:t xml:space="preserve"> </w:t>
      </w:r>
      <w:r>
        <w:t>standard</w:t>
      </w:r>
      <w:r>
        <w:rPr>
          <w:spacing w:val="-5"/>
        </w:rPr>
        <w:t xml:space="preserve"> </w:t>
      </w:r>
      <w:r>
        <w:t>for</w:t>
      </w:r>
      <w:r>
        <w:rPr>
          <w:spacing w:val="-9"/>
        </w:rPr>
        <w:t xml:space="preserve"> </w:t>
      </w:r>
      <w:r>
        <w:t>the</w:t>
      </w:r>
      <w:r>
        <w:rPr>
          <w:spacing w:val="-7"/>
        </w:rPr>
        <w:t xml:space="preserve"> </w:t>
      </w:r>
      <w:r>
        <w:t>exercise</w:t>
      </w:r>
      <w:r>
        <w:rPr>
          <w:spacing w:val="-9"/>
        </w:rPr>
        <w:t xml:space="preserve"> </w:t>
      </w:r>
      <w:r>
        <w:t>of</w:t>
      </w:r>
      <w:r>
        <w:rPr>
          <w:spacing w:val="-7"/>
        </w:rPr>
        <w:t xml:space="preserve"> </w:t>
      </w:r>
      <w:r>
        <w:t>special action jurisdiction. That Rule recognizes that special actions are meant only to replace, without broadening, traditional writ relief, and that as with the old writs, special actions should be available only in the absence of an adequate appellate remedy. To quote Rule 1(a):</w:t>
      </w:r>
    </w:p>
    <w:p w:rsidR="004435FA" w:rsidRDefault="00000000" w14:paraId="7DEBDBE5" w14:textId="77777777">
      <w:pPr>
        <w:pStyle w:val="BodyText"/>
        <w:ind w:left="1560" w:right="1555"/>
        <w:jc w:val="both"/>
      </w:pPr>
      <w:r>
        <w:t>Except</w:t>
      </w:r>
      <w:r>
        <w:rPr>
          <w:spacing w:val="-16"/>
        </w:rPr>
        <w:t xml:space="preserve"> </w:t>
      </w:r>
      <w:r>
        <w:t>as</w:t>
      </w:r>
      <w:r>
        <w:rPr>
          <w:spacing w:val="-16"/>
        </w:rPr>
        <w:t xml:space="preserve"> </w:t>
      </w:r>
      <w:r>
        <w:t>authorized</w:t>
      </w:r>
      <w:r>
        <w:rPr>
          <w:spacing w:val="-18"/>
        </w:rPr>
        <w:t xml:space="preserve"> </w:t>
      </w:r>
      <w:r>
        <w:t>by</w:t>
      </w:r>
      <w:r>
        <w:rPr>
          <w:spacing w:val="-17"/>
        </w:rPr>
        <w:t xml:space="preserve"> </w:t>
      </w:r>
      <w:r>
        <w:t>statute,</w:t>
      </w:r>
      <w:r>
        <w:rPr>
          <w:spacing w:val="-17"/>
        </w:rPr>
        <w:t xml:space="preserve"> </w:t>
      </w:r>
      <w:r>
        <w:t>the</w:t>
      </w:r>
      <w:r>
        <w:rPr>
          <w:spacing w:val="-18"/>
        </w:rPr>
        <w:t xml:space="preserve"> </w:t>
      </w:r>
      <w:r>
        <w:t>special</w:t>
      </w:r>
      <w:r>
        <w:rPr>
          <w:spacing w:val="-17"/>
        </w:rPr>
        <w:t xml:space="preserve"> </w:t>
      </w:r>
      <w:r>
        <w:t>action</w:t>
      </w:r>
      <w:r>
        <w:rPr>
          <w:spacing w:val="-18"/>
        </w:rPr>
        <w:t xml:space="preserve"> </w:t>
      </w:r>
      <w:r>
        <w:t>shall</w:t>
      </w:r>
      <w:r>
        <w:rPr>
          <w:spacing w:val="-15"/>
        </w:rPr>
        <w:t xml:space="preserve"> </w:t>
      </w:r>
      <w:r>
        <w:t>not be available where there is an equally plain, speedy, and adequate remedy by appeal; and nothing in these rules shall be construed as enlarging the scope of the relief traditionally granted under the writs of certiorari, mandamus, and prohibition.</w:t>
      </w:r>
    </w:p>
    <w:p w:rsidR="004435FA" w:rsidRDefault="00000000" w14:paraId="5C5FE244" w14:textId="77777777">
      <w:pPr>
        <w:pStyle w:val="BodyText"/>
        <w:spacing w:before="239" w:line="480" w:lineRule="auto"/>
        <w:ind w:left="120" w:right="115"/>
        <w:jc w:val="both"/>
      </w:pPr>
      <w:r>
        <w:t>The same standard of “</w:t>
      </w:r>
      <w:proofErr w:type="gramStart"/>
      <w:r>
        <w:t>no</w:t>
      </w:r>
      <w:proofErr w:type="gramEnd"/>
      <w:r>
        <w:t xml:space="preserve"> equally plain, speedy, and adequate remedy by appeal” appears in current Rule 8(a), which specifically concerns appellate special actions.</w:t>
      </w:r>
    </w:p>
    <w:p w:rsidR="004435FA" w:rsidRDefault="00000000" w14:paraId="65783121" w14:textId="77777777">
      <w:pPr>
        <w:pStyle w:val="BodyText"/>
        <w:spacing w:before="1" w:line="480" w:lineRule="auto"/>
        <w:ind w:left="120" w:right="115" w:firstLine="719"/>
        <w:jc w:val="both"/>
      </w:pPr>
      <w:r>
        <w:t>The</w:t>
      </w:r>
      <w:r>
        <w:rPr>
          <w:spacing w:val="-5"/>
        </w:rPr>
        <w:t xml:space="preserve"> </w:t>
      </w:r>
      <w:r>
        <w:t>Petition</w:t>
      </w:r>
      <w:r>
        <w:rPr>
          <w:spacing w:val="-5"/>
        </w:rPr>
        <w:t xml:space="preserve"> </w:t>
      </w:r>
      <w:r>
        <w:t>acknowledges</w:t>
      </w:r>
      <w:r>
        <w:rPr>
          <w:spacing w:val="-5"/>
        </w:rPr>
        <w:t xml:space="preserve"> </w:t>
      </w:r>
      <w:r>
        <w:t>(at</w:t>
      </w:r>
      <w:r>
        <w:rPr>
          <w:spacing w:val="-5"/>
        </w:rPr>
        <w:t xml:space="preserve"> </w:t>
      </w:r>
      <w:r>
        <w:t>10)</w:t>
      </w:r>
      <w:r>
        <w:rPr>
          <w:spacing w:val="-5"/>
        </w:rPr>
        <w:t xml:space="preserve"> </w:t>
      </w:r>
      <w:r>
        <w:t>that</w:t>
      </w:r>
      <w:r>
        <w:rPr>
          <w:spacing w:val="-5"/>
        </w:rPr>
        <w:t xml:space="preserve"> </w:t>
      </w:r>
      <w:r>
        <w:t>it</w:t>
      </w:r>
      <w:r>
        <w:rPr>
          <w:spacing w:val="-5"/>
        </w:rPr>
        <w:t xml:space="preserve"> </w:t>
      </w:r>
      <w:r>
        <w:t>deliberately</w:t>
      </w:r>
      <w:r>
        <w:rPr>
          <w:spacing w:val="-5"/>
        </w:rPr>
        <w:t xml:space="preserve"> </w:t>
      </w:r>
      <w:r>
        <w:t>“omitted</w:t>
      </w:r>
      <w:r>
        <w:rPr>
          <w:spacing w:val="-5"/>
        </w:rPr>
        <w:t xml:space="preserve"> </w:t>
      </w:r>
      <w:r>
        <w:t>the</w:t>
      </w:r>
      <w:r>
        <w:rPr>
          <w:spacing w:val="-5"/>
        </w:rPr>
        <w:t xml:space="preserve"> </w:t>
      </w:r>
      <w:r>
        <w:t>phrase</w:t>
      </w:r>
      <w:r>
        <w:rPr>
          <w:spacing w:val="-5"/>
        </w:rPr>
        <w:t xml:space="preserve"> </w:t>
      </w:r>
      <w:r>
        <w:t>‘no [equally] plain, speedy, and adequate remedy be appeal’ from</w:t>
      </w:r>
      <w:r>
        <w:rPr>
          <w:spacing w:val="-2"/>
        </w:rPr>
        <w:t xml:space="preserve"> </w:t>
      </w:r>
      <w:r>
        <w:t>the Rule 11 factors.” In</w:t>
      </w:r>
      <w:r>
        <w:rPr>
          <w:spacing w:val="-6"/>
        </w:rPr>
        <w:t xml:space="preserve"> </w:t>
      </w:r>
      <w:r>
        <w:t>doing</w:t>
      </w:r>
      <w:r>
        <w:rPr>
          <w:spacing w:val="-6"/>
        </w:rPr>
        <w:t xml:space="preserve"> </w:t>
      </w:r>
      <w:r>
        <w:t>so,</w:t>
      </w:r>
      <w:r>
        <w:rPr>
          <w:spacing w:val="-7"/>
        </w:rPr>
        <w:t xml:space="preserve"> </w:t>
      </w:r>
      <w:r>
        <w:t>the</w:t>
      </w:r>
      <w:r>
        <w:rPr>
          <w:spacing w:val="-6"/>
        </w:rPr>
        <w:t xml:space="preserve"> </w:t>
      </w:r>
      <w:r>
        <w:t>Petition</w:t>
      </w:r>
      <w:r>
        <w:rPr>
          <w:spacing w:val="-6"/>
        </w:rPr>
        <w:t xml:space="preserve"> </w:t>
      </w:r>
      <w:r>
        <w:t>does</w:t>
      </w:r>
      <w:r>
        <w:rPr>
          <w:spacing w:val="-6"/>
        </w:rPr>
        <w:t xml:space="preserve"> </w:t>
      </w:r>
      <w:r>
        <w:t>not</w:t>
      </w:r>
      <w:r>
        <w:rPr>
          <w:spacing w:val="-6"/>
        </w:rPr>
        <w:t xml:space="preserve"> </w:t>
      </w:r>
      <w:r>
        <w:t>question</w:t>
      </w:r>
      <w:r>
        <w:rPr>
          <w:spacing w:val="-6"/>
        </w:rPr>
        <w:t xml:space="preserve"> </w:t>
      </w:r>
      <w:r>
        <w:t>the</w:t>
      </w:r>
      <w:r>
        <w:rPr>
          <w:spacing w:val="-7"/>
        </w:rPr>
        <w:t xml:space="preserve"> </w:t>
      </w:r>
      <w:r>
        <w:t>substance</w:t>
      </w:r>
      <w:r>
        <w:rPr>
          <w:spacing w:val="-6"/>
        </w:rPr>
        <w:t xml:space="preserve"> </w:t>
      </w:r>
      <w:r>
        <w:t>of</w:t>
      </w:r>
      <w:r>
        <w:rPr>
          <w:spacing w:val="-7"/>
        </w:rPr>
        <w:t xml:space="preserve"> </w:t>
      </w:r>
      <w:r>
        <w:t>that</w:t>
      </w:r>
      <w:r>
        <w:rPr>
          <w:spacing w:val="-5"/>
        </w:rPr>
        <w:t xml:space="preserve"> </w:t>
      </w:r>
      <w:r>
        <w:t>standard,</w:t>
      </w:r>
      <w:r>
        <w:rPr>
          <w:spacing w:val="-7"/>
        </w:rPr>
        <w:t xml:space="preserve"> </w:t>
      </w:r>
      <w:r>
        <w:t>nor</w:t>
      </w:r>
      <w:r>
        <w:rPr>
          <w:spacing w:val="-7"/>
        </w:rPr>
        <w:t xml:space="preserve"> </w:t>
      </w:r>
      <w:r>
        <w:t>does</w:t>
      </w:r>
      <w:r>
        <w:rPr>
          <w:spacing w:val="-6"/>
        </w:rPr>
        <w:t xml:space="preserve"> </w:t>
      </w:r>
      <w:r>
        <w:t>it express an intent to broaden the circumstances in which special action relief is appropriate. Rather, the Petition says (</w:t>
      </w:r>
      <w:r>
        <w:rPr>
          <w:i/>
        </w:rPr>
        <w:t>id.</w:t>
      </w:r>
      <w:r>
        <w:t>) that “sometimes the phrase is merely a recital and</w:t>
      </w:r>
      <w:r>
        <w:rPr>
          <w:spacing w:val="-2"/>
        </w:rPr>
        <w:t xml:space="preserve"> </w:t>
      </w:r>
      <w:r>
        <w:t>is</w:t>
      </w:r>
      <w:r>
        <w:rPr>
          <w:spacing w:val="-2"/>
        </w:rPr>
        <w:t xml:space="preserve"> </w:t>
      </w:r>
      <w:r>
        <w:t>not</w:t>
      </w:r>
      <w:r>
        <w:rPr>
          <w:spacing w:val="-2"/>
        </w:rPr>
        <w:t xml:space="preserve"> </w:t>
      </w:r>
      <w:r>
        <w:t>tethered</w:t>
      </w:r>
      <w:r>
        <w:rPr>
          <w:spacing w:val="-2"/>
        </w:rPr>
        <w:t xml:space="preserve"> </w:t>
      </w:r>
      <w:r>
        <w:t>to specific circumstances,”</w:t>
      </w:r>
      <w:r>
        <w:rPr>
          <w:spacing w:val="-3"/>
        </w:rPr>
        <w:t xml:space="preserve"> </w:t>
      </w:r>
      <w:r>
        <w:t>and</w:t>
      </w:r>
      <w:r>
        <w:rPr>
          <w:spacing w:val="-2"/>
        </w:rPr>
        <w:t xml:space="preserve"> </w:t>
      </w:r>
      <w:r>
        <w:t>that</w:t>
      </w:r>
      <w:r>
        <w:rPr>
          <w:spacing w:val="-2"/>
        </w:rPr>
        <w:t xml:space="preserve"> </w:t>
      </w:r>
      <w:r>
        <w:t>the</w:t>
      </w:r>
      <w:r>
        <w:rPr>
          <w:spacing w:val="-3"/>
        </w:rPr>
        <w:t xml:space="preserve"> </w:t>
      </w:r>
      <w:r>
        <w:t>proposed “factors in Rule 11 are more tangible for guiding the exercise of special action discretion.”</w:t>
      </w:r>
    </w:p>
    <w:p w:rsidR="004435FA" w:rsidRDefault="004435FA" w14:paraId="4F01A471" w14:textId="77777777">
      <w:pPr>
        <w:spacing w:line="480" w:lineRule="auto"/>
        <w:jc w:val="both"/>
        <w:sectPr w:rsidR="004435FA">
          <w:footerReference w:type="default" r:id="rId14"/>
          <w:pgSz w:w="12240" w:h="15840"/>
          <w:pgMar w:top="1380" w:right="1320" w:bottom="1160" w:left="1320" w:header="0" w:footer="971" w:gutter="0"/>
          <w:pgNumType w:start="2"/>
          <w:cols w:space="720"/>
        </w:sectPr>
      </w:pPr>
    </w:p>
    <w:p w:rsidR="004435FA" w:rsidRDefault="00000000" w14:paraId="0D0E5AA5" w14:textId="77777777">
      <w:pPr>
        <w:pStyle w:val="BodyText"/>
        <w:spacing w:before="60" w:line="480" w:lineRule="auto"/>
        <w:ind w:left="120" w:right="114" w:firstLine="719"/>
        <w:jc w:val="both"/>
      </w:pPr>
      <w:r>
        <w:lastRenderedPageBreak/>
        <w:t>The Task Force’s desire to provide better guidance deserves applause. Yet, it’s</w:t>
      </w:r>
      <w:r>
        <w:rPr>
          <w:spacing w:val="-11"/>
        </w:rPr>
        <w:t xml:space="preserve"> </w:t>
      </w:r>
      <w:r>
        <w:t>worth</w:t>
      </w:r>
      <w:r>
        <w:rPr>
          <w:spacing w:val="-14"/>
        </w:rPr>
        <w:t xml:space="preserve"> </w:t>
      </w:r>
      <w:r>
        <w:t>noting</w:t>
      </w:r>
      <w:r>
        <w:rPr>
          <w:spacing w:val="-11"/>
        </w:rPr>
        <w:t xml:space="preserve"> </w:t>
      </w:r>
      <w:r>
        <w:t>that</w:t>
      </w:r>
      <w:r>
        <w:rPr>
          <w:spacing w:val="-14"/>
        </w:rPr>
        <w:t xml:space="preserve"> </w:t>
      </w:r>
      <w:r>
        <w:t>the</w:t>
      </w:r>
      <w:r>
        <w:rPr>
          <w:spacing w:val="-12"/>
        </w:rPr>
        <w:t xml:space="preserve"> </w:t>
      </w:r>
      <w:r>
        <w:t>“</w:t>
      </w:r>
      <w:proofErr w:type="gramStart"/>
      <w:r>
        <w:t>no</w:t>
      </w:r>
      <w:proofErr w:type="gramEnd"/>
      <w:r>
        <w:rPr>
          <w:spacing w:val="-11"/>
        </w:rPr>
        <w:t xml:space="preserve"> </w:t>
      </w:r>
      <w:r>
        <w:t>equally</w:t>
      </w:r>
      <w:r>
        <w:rPr>
          <w:spacing w:val="-11"/>
        </w:rPr>
        <w:t xml:space="preserve"> </w:t>
      </w:r>
      <w:r>
        <w:t>plain,</w:t>
      </w:r>
      <w:r>
        <w:rPr>
          <w:spacing w:val="-15"/>
        </w:rPr>
        <w:t xml:space="preserve"> </w:t>
      </w:r>
      <w:r>
        <w:t>speedy,</w:t>
      </w:r>
      <w:r>
        <w:rPr>
          <w:spacing w:val="-13"/>
        </w:rPr>
        <w:t xml:space="preserve"> </w:t>
      </w:r>
      <w:r>
        <w:t>and</w:t>
      </w:r>
      <w:r>
        <w:rPr>
          <w:spacing w:val="-11"/>
        </w:rPr>
        <w:t xml:space="preserve"> </w:t>
      </w:r>
      <w:r>
        <w:t>adequate</w:t>
      </w:r>
      <w:r>
        <w:rPr>
          <w:spacing w:val="-15"/>
        </w:rPr>
        <w:t xml:space="preserve"> </w:t>
      </w:r>
      <w:r>
        <w:t>remedy</w:t>
      </w:r>
      <w:r>
        <w:rPr>
          <w:spacing w:val="-11"/>
        </w:rPr>
        <w:t xml:space="preserve"> </w:t>
      </w:r>
      <w:r>
        <w:t>by</w:t>
      </w:r>
      <w:r>
        <w:rPr>
          <w:spacing w:val="-11"/>
        </w:rPr>
        <w:t xml:space="preserve"> </w:t>
      </w:r>
      <w:r>
        <w:t>appeal” language is entrenched in Arizona case law. According to a Westlaw search on March</w:t>
      </w:r>
      <w:r>
        <w:rPr>
          <w:spacing w:val="-9"/>
        </w:rPr>
        <w:t xml:space="preserve"> </w:t>
      </w:r>
      <w:r>
        <w:t>7,</w:t>
      </w:r>
      <w:r>
        <w:rPr>
          <w:spacing w:val="-8"/>
        </w:rPr>
        <w:t xml:space="preserve"> </w:t>
      </w:r>
      <w:r>
        <w:t>2024,</w:t>
      </w:r>
      <w:r>
        <w:rPr>
          <w:spacing w:val="-8"/>
        </w:rPr>
        <w:t xml:space="preserve"> </w:t>
      </w:r>
      <w:r>
        <w:t>that</w:t>
      </w:r>
      <w:r>
        <w:rPr>
          <w:spacing w:val="-6"/>
        </w:rPr>
        <w:t xml:space="preserve"> </w:t>
      </w:r>
      <w:r>
        <w:t>standard</w:t>
      </w:r>
      <w:r>
        <w:rPr>
          <w:spacing w:val="-7"/>
        </w:rPr>
        <w:t xml:space="preserve"> </w:t>
      </w:r>
      <w:r>
        <w:t>appears</w:t>
      </w:r>
      <w:r>
        <w:rPr>
          <w:spacing w:val="-6"/>
        </w:rPr>
        <w:t xml:space="preserve"> </w:t>
      </w:r>
      <w:r>
        <w:t>in</w:t>
      </w:r>
      <w:r>
        <w:rPr>
          <w:spacing w:val="-6"/>
        </w:rPr>
        <w:t xml:space="preserve"> </w:t>
      </w:r>
      <w:r>
        <w:t>433</w:t>
      </w:r>
      <w:r>
        <w:rPr>
          <w:spacing w:val="-9"/>
        </w:rPr>
        <w:t xml:space="preserve"> </w:t>
      </w:r>
      <w:r>
        <w:t>Arizona</w:t>
      </w:r>
      <w:r>
        <w:rPr>
          <w:spacing w:val="-7"/>
        </w:rPr>
        <w:t xml:space="preserve"> </w:t>
      </w:r>
      <w:r>
        <w:t>appellate</w:t>
      </w:r>
      <w:r>
        <w:rPr>
          <w:spacing w:val="-7"/>
        </w:rPr>
        <w:t xml:space="preserve"> </w:t>
      </w:r>
      <w:r>
        <w:t>decisions.</w:t>
      </w:r>
      <w:r>
        <w:rPr>
          <w:spacing w:val="-8"/>
        </w:rPr>
        <w:t xml:space="preserve"> </w:t>
      </w:r>
      <w:r>
        <w:t>Moreover, that standard mirrors the blackletter and universal principle that equitable relief is unavailable</w:t>
      </w:r>
      <w:r>
        <w:rPr>
          <w:spacing w:val="-9"/>
        </w:rPr>
        <w:t xml:space="preserve"> </w:t>
      </w:r>
      <w:r>
        <w:t>when</w:t>
      </w:r>
      <w:r>
        <w:rPr>
          <w:spacing w:val="-5"/>
        </w:rPr>
        <w:t xml:space="preserve"> </w:t>
      </w:r>
      <w:r>
        <w:t>an</w:t>
      </w:r>
      <w:r>
        <w:rPr>
          <w:spacing w:val="-10"/>
        </w:rPr>
        <w:t xml:space="preserve"> </w:t>
      </w:r>
      <w:r>
        <w:t>alternative</w:t>
      </w:r>
      <w:r>
        <w:rPr>
          <w:spacing w:val="-6"/>
        </w:rPr>
        <w:t xml:space="preserve"> </w:t>
      </w:r>
      <w:r>
        <w:t>remedy</w:t>
      </w:r>
      <w:r>
        <w:rPr>
          <w:spacing w:val="-5"/>
        </w:rPr>
        <w:t xml:space="preserve"> </w:t>
      </w:r>
      <w:r>
        <w:t>exists.</w:t>
      </w:r>
      <w:r>
        <w:rPr>
          <w:spacing w:val="-7"/>
        </w:rPr>
        <w:t xml:space="preserve"> </w:t>
      </w:r>
      <w:r>
        <w:t>But</w:t>
      </w:r>
      <w:r>
        <w:rPr>
          <w:spacing w:val="-5"/>
        </w:rPr>
        <w:t xml:space="preserve"> </w:t>
      </w:r>
      <w:r>
        <w:t>even</w:t>
      </w:r>
      <w:r>
        <w:rPr>
          <w:spacing w:val="-7"/>
        </w:rPr>
        <w:t xml:space="preserve"> </w:t>
      </w:r>
      <w:r>
        <w:t>accepting</w:t>
      </w:r>
      <w:r>
        <w:rPr>
          <w:spacing w:val="-7"/>
        </w:rPr>
        <w:t xml:space="preserve"> </w:t>
      </w:r>
      <w:r>
        <w:t>the</w:t>
      </w:r>
      <w:r>
        <w:rPr>
          <w:spacing w:val="-8"/>
        </w:rPr>
        <w:t xml:space="preserve"> </w:t>
      </w:r>
      <w:r>
        <w:t>Task</w:t>
      </w:r>
      <w:r>
        <w:rPr>
          <w:spacing w:val="-5"/>
        </w:rPr>
        <w:t xml:space="preserve"> </w:t>
      </w:r>
      <w:r>
        <w:t>Force’s premise—that</w:t>
      </w:r>
      <w:r>
        <w:rPr>
          <w:spacing w:val="-5"/>
        </w:rPr>
        <w:t xml:space="preserve"> </w:t>
      </w:r>
      <w:r>
        <w:t>sometimes</w:t>
      </w:r>
      <w:r>
        <w:rPr>
          <w:spacing w:val="-5"/>
        </w:rPr>
        <w:t xml:space="preserve"> </w:t>
      </w:r>
      <w:r>
        <w:t>the</w:t>
      </w:r>
      <w:r>
        <w:rPr>
          <w:spacing w:val="-6"/>
        </w:rPr>
        <w:t xml:space="preserve"> </w:t>
      </w:r>
      <w:r>
        <w:t>phrase</w:t>
      </w:r>
      <w:r>
        <w:rPr>
          <w:spacing w:val="-4"/>
        </w:rPr>
        <w:t xml:space="preserve"> </w:t>
      </w:r>
      <w:r>
        <w:t>is</w:t>
      </w:r>
      <w:r>
        <w:rPr>
          <w:spacing w:val="-3"/>
        </w:rPr>
        <w:t xml:space="preserve"> </w:t>
      </w:r>
      <w:r>
        <w:t>merely</w:t>
      </w:r>
      <w:r>
        <w:rPr>
          <w:spacing w:val="-5"/>
        </w:rPr>
        <w:t xml:space="preserve"> </w:t>
      </w:r>
      <w:r>
        <w:t>a</w:t>
      </w:r>
      <w:r>
        <w:rPr>
          <w:spacing w:val="-4"/>
        </w:rPr>
        <w:t xml:space="preserve"> </w:t>
      </w:r>
      <w:r>
        <w:t>recital—the</w:t>
      </w:r>
      <w:r>
        <w:rPr>
          <w:spacing w:val="-4"/>
        </w:rPr>
        <w:t xml:space="preserve"> </w:t>
      </w:r>
      <w:r>
        <w:t>phrase’s</w:t>
      </w:r>
      <w:r>
        <w:rPr>
          <w:spacing w:val="-3"/>
        </w:rPr>
        <w:t xml:space="preserve"> </w:t>
      </w:r>
      <w:r>
        <w:t>removal</w:t>
      </w:r>
      <w:r>
        <w:rPr>
          <w:spacing w:val="-3"/>
        </w:rPr>
        <w:t xml:space="preserve"> </w:t>
      </w:r>
      <w:r>
        <w:t xml:space="preserve">from the rules may have unintended substantive consequences. It may signal that special action jurisdiction </w:t>
      </w:r>
      <w:r>
        <w:rPr>
          <w:i/>
        </w:rPr>
        <w:t xml:space="preserve">may be appropriate </w:t>
      </w:r>
      <w:r>
        <w:t xml:space="preserve">even when there </w:t>
      </w:r>
      <w:r>
        <w:rPr>
          <w:i/>
        </w:rPr>
        <w:t xml:space="preserve">is </w:t>
      </w:r>
      <w:r>
        <w:t xml:space="preserve">an adequate remedy by </w:t>
      </w:r>
      <w:r>
        <w:rPr>
          <w:spacing w:val="-2"/>
        </w:rPr>
        <w:t>appeal.</w:t>
      </w:r>
    </w:p>
    <w:p w:rsidR="004435FA" w:rsidRDefault="00000000" w14:paraId="7AB82C60" w14:textId="77777777">
      <w:pPr>
        <w:pStyle w:val="BodyText"/>
        <w:spacing w:line="480" w:lineRule="auto"/>
        <w:ind w:left="119" w:right="113" w:firstLine="721"/>
        <w:jc w:val="both"/>
      </w:pPr>
      <w:r>
        <w:t>That</w:t>
      </w:r>
      <w:r>
        <w:rPr>
          <w:spacing w:val="-9"/>
        </w:rPr>
        <w:t xml:space="preserve"> </w:t>
      </w:r>
      <w:r>
        <w:t>signal</w:t>
      </w:r>
      <w:r>
        <w:rPr>
          <w:spacing w:val="-9"/>
        </w:rPr>
        <w:t xml:space="preserve"> </w:t>
      </w:r>
      <w:r>
        <w:t>is</w:t>
      </w:r>
      <w:r>
        <w:rPr>
          <w:spacing w:val="-9"/>
        </w:rPr>
        <w:t xml:space="preserve"> </w:t>
      </w:r>
      <w:r>
        <w:t>especially</w:t>
      </w:r>
      <w:r>
        <w:rPr>
          <w:spacing w:val="-9"/>
        </w:rPr>
        <w:t xml:space="preserve"> </w:t>
      </w:r>
      <w:r>
        <w:t>possible</w:t>
      </w:r>
      <w:r>
        <w:rPr>
          <w:spacing w:val="-10"/>
        </w:rPr>
        <w:t xml:space="preserve"> </w:t>
      </w:r>
      <w:r>
        <w:t>given</w:t>
      </w:r>
      <w:r>
        <w:rPr>
          <w:spacing w:val="-9"/>
        </w:rPr>
        <w:t xml:space="preserve"> </w:t>
      </w:r>
      <w:r>
        <w:t>the</w:t>
      </w:r>
      <w:r>
        <w:rPr>
          <w:spacing w:val="-12"/>
        </w:rPr>
        <w:t xml:space="preserve"> </w:t>
      </w:r>
      <w:r>
        <w:t>factors</w:t>
      </w:r>
      <w:r>
        <w:rPr>
          <w:spacing w:val="-9"/>
        </w:rPr>
        <w:t xml:space="preserve"> </w:t>
      </w:r>
      <w:r>
        <w:t>listed</w:t>
      </w:r>
      <w:r>
        <w:rPr>
          <w:spacing w:val="-9"/>
        </w:rPr>
        <w:t xml:space="preserve"> </w:t>
      </w:r>
      <w:r>
        <w:t>in</w:t>
      </w:r>
      <w:r>
        <w:rPr>
          <w:spacing w:val="-9"/>
        </w:rPr>
        <w:t xml:space="preserve"> </w:t>
      </w:r>
      <w:r>
        <w:t>Proposed</w:t>
      </w:r>
      <w:r>
        <w:rPr>
          <w:spacing w:val="-8"/>
        </w:rPr>
        <w:t xml:space="preserve"> </w:t>
      </w:r>
      <w:r>
        <w:t>Rule</w:t>
      </w:r>
      <w:r>
        <w:rPr>
          <w:spacing w:val="-10"/>
        </w:rPr>
        <w:t xml:space="preserve"> </w:t>
      </w:r>
      <w:r>
        <w:t>11. Subsection (b) lists eight factors that support the exercise of special action jurisdiction. Several of these factors are consistent with the “</w:t>
      </w:r>
      <w:proofErr w:type="gramStart"/>
      <w:r>
        <w:t>no</w:t>
      </w:r>
      <w:proofErr w:type="gramEnd"/>
      <w:r>
        <w:t xml:space="preserve"> equally plain, speedy, and adequate remedy by appeal” standard. But practitioners could read at least some of the other listed factors as invitations for special actions even when there is an adequate appellate remedy—like factor 3 (a question “of first impression”)</w:t>
      </w:r>
      <w:r>
        <w:rPr>
          <w:spacing w:val="-4"/>
        </w:rPr>
        <w:t xml:space="preserve"> </w:t>
      </w:r>
      <w:r>
        <w:t>or</w:t>
      </w:r>
      <w:r>
        <w:rPr>
          <w:spacing w:val="-2"/>
        </w:rPr>
        <w:t xml:space="preserve"> </w:t>
      </w:r>
      <w:r>
        <w:t>factor</w:t>
      </w:r>
      <w:r>
        <w:rPr>
          <w:spacing w:val="-2"/>
        </w:rPr>
        <w:t xml:space="preserve"> </w:t>
      </w:r>
      <w:r>
        <w:t>4</w:t>
      </w:r>
      <w:r>
        <w:rPr>
          <w:spacing w:val="-1"/>
        </w:rPr>
        <w:t xml:space="preserve"> </w:t>
      </w:r>
      <w:r>
        <w:t>(a</w:t>
      </w:r>
      <w:r>
        <w:rPr>
          <w:spacing w:val="-2"/>
        </w:rPr>
        <w:t xml:space="preserve"> </w:t>
      </w:r>
      <w:r>
        <w:t>question</w:t>
      </w:r>
      <w:r>
        <w:rPr>
          <w:spacing w:val="-1"/>
        </w:rPr>
        <w:t xml:space="preserve"> </w:t>
      </w:r>
      <w:r>
        <w:t>“of</w:t>
      </w:r>
      <w:r>
        <w:rPr>
          <w:spacing w:val="-2"/>
        </w:rPr>
        <w:t xml:space="preserve"> </w:t>
      </w:r>
      <w:r>
        <w:t>statewide</w:t>
      </w:r>
      <w:r>
        <w:rPr>
          <w:spacing w:val="-2"/>
        </w:rPr>
        <w:t xml:space="preserve"> </w:t>
      </w:r>
      <w:r>
        <w:t>importance”).</w:t>
      </w:r>
      <w:hyperlink w:history="1" w:anchor="_bookmark0">
        <w:r>
          <w:rPr>
            <w:vertAlign w:val="superscript"/>
          </w:rPr>
          <w:t>1</w:t>
        </w:r>
      </w:hyperlink>
      <w:r>
        <w:t xml:space="preserve"> This</w:t>
      </w:r>
      <w:r>
        <w:rPr>
          <w:spacing w:val="-1"/>
        </w:rPr>
        <w:t xml:space="preserve"> </w:t>
      </w:r>
      <w:r>
        <w:t>concern</w:t>
      </w:r>
      <w:r>
        <w:rPr>
          <w:spacing w:val="-1"/>
        </w:rPr>
        <w:t xml:space="preserve"> </w:t>
      </w:r>
      <w:r>
        <w:t>isn’t cured</w:t>
      </w:r>
      <w:r>
        <w:rPr>
          <w:spacing w:val="44"/>
        </w:rPr>
        <w:t xml:space="preserve"> </w:t>
      </w:r>
      <w:r>
        <w:t>by</w:t>
      </w:r>
      <w:r>
        <w:rPr>
          <w:spacing w:val="45"/>
        </w:rPr>
        <w:t xml:space="preserve"> </w:t>
      </w:r>
      <w:r>
        <w:t>subsection</w:t>
      </w:r>
      <w:r>
        <w:rPr>
          <w:spacing w:val="45"/>
        </w:rPr>
        <w:t xml:space="preserve"> </w:t>
      </w:r>
      <w:r>
        <w:t>(c),</w:t>
      </w:r>
      <w:r>
        <w:rPr>
          <w:spacing w:val="43"/>
        </w:rPr>
        <w:t xml:space="preserve"> </w:t>
      </w:r>
      <w:r>
        <w:t>which</w:t>
      </w:r>
      <w:r>
        <w:rPr>
          <w:spacing w:val="45"/>
        </w:rPr>
        <w:t xml:space="preserve"> </w:t>
      </w:r>
      <w:r>
        <w:t>lists</w:t>
      </w:r>
      <w:r>
        <w:rPr>
          <w:spacing w:val="45"/>
        </w:rPr>
        <w:t xml:space="preserve"> </w:t>
      </w:r>
      <w:r>
        <w:t>five</w:t>
      </w:r>
      <w:r>
        <w:rPr>
          <w:spacing w:val="42"/>
        </w:rPr>
        <w:t xml:space="preserve"> </w:t>
      </w:r>
      <w:r>
        <w:t>factors</w:t>
      </w:r>
      <w:r>
        <w:rPr>
          <w:spacing w:val="44"/>
        </w:rPr>
        <w:t xml:space="preserve"> </w:t>
      </w:r>
      <w:r>
        <w:t>for</w:t>
      </w:r>
      <w:r>
        <w:rPr>
          <w:spacing w:val="44"/>
        </w:rPr>
        <w:t xml:space="preserve"> </w:t>
      </w:r>
      <w:r>
        <w:t>declining</w:t>
      </w:r>
      <w:r>
        <w:rPr>
          <w:spacing w:val="43"/>
        </w:rPr>
        <w:t xml:space="preserve"> </w:t>
      </w:r>
      <w:r>
        <w:t>jurisdictions.</w:t>
      </w:r>
      <w:r>
        <w:rPr>
          <w:spacing w:val="44"/>
        </w:rPr>
        <w:t xml:space="preserve"> </w:t>
      </w:r>
      <w:r>
        <w:rPr>
          <w:spacing w:val="-5"/>
        </w:rPr>
        <w:t>The</w:t>
      </w:r>
    </w:p>
    <w:p w:rsidR="004435FA" w:rsidRDefault="00000000" w14:paraId="068B672C" w14:textId="77777777">
      <w:pPr>
        <w:pStyle w:val="BodyText"/>
        <w:rPr>
          <w:sz w:val="23"/>
        </w:rPr>
      </w:pPr>
      <w:r>
        <w:pict w14:anchorId="721B99F8">
          <v:rect id="docshape4" style="position:absolute;margin-left:1in;margin-top:14.45pt;width:2in;height:.6pt;z-index:-15728640;mso-wrap-distance-left:0;mso-wrap-distance-right:0;mso-position-horizontal-relative:page" o:spid="_x0000_s2051" fillcolor="black" stroked="f">
            <w10:wrap type="topAndBottom" anchorx="page"/>
          </v:rect>
        </w:pict>
      </w:r>
    </w:p>
    <w:p w:rsidR="004435FA" w:rsidRDefault="00000000" w14:paraId="2D01C60C" w14:textId="77777777">
      <w:pPr>
        <w:pStyle w:val="BodyText"/>
        <w:spacing w:before="103"/>
        <w:ind w:left="119" w:right="112"/>
        <w:jc w:val="both"/>
      </w:pPr>
      <w:bookmarkStart w:name="_bookmark0" w:id="0"/>
      <w:bookmarkEnd w:id="0"/>
      <w:r>
        <w:rPr>
          <w:vertAlign w:val="superscript"/>
        </w:rPr>
        <w:t>1</w:t>
      </w:r>
      <w:r>
        <w:t xml:space="preserve"> The uniqueness and importance of an issue may well be </w:t>
      </w:r>
      <w:proofErr w:type="gramStart"/>
      <w:r>
        <w:t>plus-factors</w:t>
      </w:r>
      <w:proofErr w:type="gramEnd"/>
      <w:r>
        <w:t xml:space="preserve"> for the exercise of special action jurisdiction. But those factors alone should not make a question</w:t>
      </w:r>
      <w:r>
        <w:rPr>
          <w:spacing w:val="-13"/>
        </w:rPr>
        <w:t xml:space="preserve"> </w:t>
      </w:r>
      <w:r>
        <w:t>special-action</w:t>
      </w:r>
      <w:r>
        <w:rPr>
          <w:spacing w:val="-12"/>
        </w:rPr>
        <w:t xml:space="preserve"> </w:t>
      </w:r>
      <w:r>
        <w:t>worthy</w:t>
      </w:r>
      <w:r>
        <w:rPr>
          <w:spacing w:val="-13"/>
        </w:rPr>
        <w:t xml:space="preserve"> </w:t>
      </w:r>
      <w:r>
        <w:t>when</w:t>
      </w:r>
      <w:r>
        <w:rPr>
          <w:spacing w:val="-12"/>
        </w:rPr>
        <w:t xml:space="preserve"> </w:t>
      </w:r>
      <w:r>
        <w:t>a</w:t>
      </w:r>
      <w:r>
        <w:rPr>
          <w:spacing w:val="-13"/>
        </w:rPr>
        <w:t xml:space="preserve"> </w:t>
      </w:r>
      <w:r>
        <w:t>regular</w:t>
      </w:r>
      <w:r>
        <w:rPr>
          <w:spacing w:val="-12"/>
        </w:rPr>
        <w:t xml:space="preserve"> </w:t>
      </w:r>
      <w:r>
        <w:t>appeal</w:t>
      </w:r>
      <w:r>
        <w:rPr>
          <w:spacing w:val="-12"/>
        </w:rPr>
        <w:t xml:space="preserve"> </w:t>
      </w:r>
      <w:r>
        <w:t>would</w:t>
      </w:r>
      <w:r>
        <w:rPr>
          <w:spacing w:val="-13"/>
        </w:rPr>
        <w:t xml:space="preserve"> </w:t>
      </w:r>
      <w:r>
        <w:t>be</w:t>
      </w:r>
      <w:r>
        <w:rPr>
          <w:spacing w:val="-12"/>
        </w:rPr>
        <w:t xml:space="preserve"> </w:t>
      </w:r>
      <w:r>
        <w:t>an</w:t>
      </w:r>
      <w:r>
        <w:rPr>
          <w:spacing w:val="-13"/>
        </w:rPr>
        <w:t xml:space="preserve"> </w:t>
      </w:r>
      <w:r>
        <w:t>adequate</w:t>
      </w:r>
      <w:r>
        <w:rPr>
          <w:spacing w:val="-12"/>
        </w:rPr>
        <w:t xml:space="preserve"> </w:t>
      </w:r>
      <w:r>
        <w:rPr>
          <w:spacing w:val="-2"/>
        </w:rPr>
        <w:t>remedy.</w:t>
      </w:r>
    </w:p>
    <w:p w:rsidR="004435FA" w:rsidRDefault="004435FA" w14:paraId="381783A4" w14:textId="77777777">
      <w:pPr>
        <w:jc w:val="both"/>
        <w:sectPr w:rsidR="004435FA">
          <w:pgSz w:w="12240" w:h="15840"/>
          <w:pgMar w:top="1380" w:right="1320" w:bottom="1160" w:left="1320" w:header="0" w:footer="971" w:gutter="0"/>
          <w:cols w:space="720"/>
        </w:sectPr>
      </w:pPr>
    </w:p>
    <w:p w:rsidR="004435FA" w:rsidRDefault="00000000" w14:paraId="7921F6C7" w14:textId="77777777">
      <w:pPr>
        <w:pStyle w:val="BodyText"/>
        <w:spacing w:before="60" w:line="480" w:lineRule="auto"/>
        <w:ind w:left="119" w:right="116"/>
        <w:jc w:val="both"/>
      </w:pPr>
      <w:r>
        <w:lastRenderedPageBreak/>
        <w:t>fourth listed factor asks whether the question presented is “equally appropriate to address</w:t>
      </w:r>
      <w:r>
        <w:rPr>
          <w:spacing w:val="-15"/>
        </w:rPr>
        <w:t xml:space="preserve"> </w:t>
      </w:r>
      <w:r>
        <w:t>by</w:t>
      </w:r>
      <w:r>
        <w:rPr>
          <w:spacing w:val="-12"/>
        </w:rPr>
        <w:t xml:space="preserve"> </w:t>
      </w:r>
      <w:r>
        <w:t>appeal.”</w:t>
      </w:r>
      <w:r>
        <w:rPr>
          <w:spacing w:val="-13"/>
        </w:rPr>
        <w:t xml:space="preserve"> </w:t>
      </w:r>
      <w:r>
        <w:t>But</w:t>
      </w:r>
      <w:r>
        <w:rPr>
          <w:spacing w:val="-15"/>
        </w:rPr>
        <w:t xml:space="preserve"> </w:t>
      </w:r>
      <w:r>
        <w:t>that</w:t>
      </w:r>
      <w:r>
        <w:rPr>
          <w:spacing w:val="-12"/>
        </w:rPr>
        <w:t xml:space="preserve"> </w:t>
      </w:r>
      <w:r>
        <w:t>factor,</w:t>
      </w:r>
      <w:r>
        <w:rPr>
          <w:spacing w:val="-14"/>
        </w:rPr>
        <w:t xml:space="preserve"> </w:t>
      </w:r>
      <w:r>
        <w:t>like</w:t>
      </w:r>
      <w:r>
        <w:rPr>
          <w:spacing w:val="-13"/>
        </w:rPr>
        <w:t xml:space="preserve"> </w:t>
      </w:r>
      <w:r>
        <w:t>the</w:t>
      </w:r>
      <w:r>
        <w:rPr>
          <w:spacing w:val="-16"/>
        </w:rPr>
        <w:t xml:space="preserve"> </w:t>
      </w:r>
      <w:r>
        <w:t>others</w:t>
      </w:r>
      <w:r>
        <w:rPr>
          <w:spacing w:val="-12"/>
        </w:rPr>
        <w:t xml:space="preserve"> </w:t>
      </w:r>
      <w:r>
        <w:t>in</w:t>
      </w:r>
      <w:r>
        <w:rPr>
          <w:spacing w:val="-12"/>
        </w:rPr>
        <w:t xml:space="preserve"> </w:t>
      </w:r>
      <w:r>
        <w:t>subsection</w:t>
      </w:r>
      <w:r>
        <w:rPr>
          <w:spacing w:val="-12"/>
        </w:rPr>
        <w:t xml:space="preserve"> </w:t>
      </w:r>
      <w:r>
        <w:t>(c),</w:t>
      </w:r>
      <w:r>
        <w:rPr>
          <w:spacing w:val="-14"/>
        </w:rPr>
        <w:t xml:space="preserve"> </w:t>
      </w:r>
      <w:r>
        <w:t>only</w:t>
      </w:r>
      <w:r>
        <w:rPr>
          <w:spacing w:val="-12"/>
        </w:rPr>
        <w:t xml:space="preserve"> </w:t>
      </w:r>
      <w:r>
        <w:t>“support[s] but do[es] not require declining jurisdiction.”</w:t>
      </w:r>
    </w:p>
    <w:p w:rsidR="004435FA" w:rsidRDefault="00000000" w14:paraId="27052615" w14:textId="77777777">
      <w:pPr>
        <w:pStyle w:val="BodyText"/>
        <w:spacing w:line="480" w:lineRule="auto"/>
        <w:ind w:left="119" w:right="114" w:firstLine="719"/>
        <w:jc w:val="both"/>
      </w:pPr>
      <w:r>
        <w:t>If the absence of an adequate appellate remedy is to become only one of thirteen non-dispositive factors for special action jurisdiction, then the rules may well “enlarge[e] the scope of the relief traditionally granted,” Rule 1(a), under the old</w:t>
      </w:r>
      <w:r>
        <w:rPr>
          <w:spacing w:val="-18"/>
        </w:rPr>
        <w:t xml:space="preserve"> </w:t>
      </w:r>
      <w:r>
        <w:t>writs.</w:t>
      </w:r>
      <w:r>
        <w:rPr>
          <w:spacing w:val="-17"/>
        </w:rPr>
        <w:t xml:space="preserve"> </w:t>
      </w:r>
      <w:r>
        <w:t>That</w:t>
      </w:r>
      <w:r>
        <w:rPr>
          <w:spacing w:val="-18"/>
        </w:rPr>
        <w:t xml:space="preserve"> </w:t>
      </w:r>
      <w:r>
        <w:t>would</w:t>
      </w:r>
      <w:r>
        <w:rPr>
          <w:spacing w:val="-17"/>
        </w:rPr>
        <w:t xml:space="preserve"> </w:t>
      </w:r>
      <w:r>
        <w:t>not</w:t>
      </w:r>
      <w:r>
        <w:rPr>
          <w:spacing w:val="-18"/>
        </w:rPr>
        <w:t xml:space="preserve"> </w:t>
      </w:r>
      <w:r>
        <w:t>only</w:t>
      </w:r>
      <w:r>
        <w:rPr>
          <w:spacing w:val="-17"/>
        </w:rPr>
        <w:t xml:space="preserve"> </w:t>
      </w:r>
      <w:r>
        <w:t>be</w:t>
      </w:r>
      <w:r>
        <w:rPr>
          <w:spacing w:val="-18"/>
        </w:rPr>
        <w:t xml:space="preserve"> </w:t>
      </w:r>
      <w:r>
        <w:t>contrary</w:t>
      </w:r>
      <w:r>
        <w:rPr>
          <w:spacing w:val="-17"/>
        </w:rPr>
        <w:t xml:space="preserve"> </w:t>
      </w:r>
      <w:r>
        <w:t>to</w:t>
      </w:r>
      <w:r>
        <w:rPr>
          <w:spacing w:val="-18"/>
        </w:rPr>
        <w:t xml:space="preserve"> </w:t>
      </w:r>
      <w:r>
        <w:t>current</w:t>
      </w:r>
      <w:r>
        <w:rPr>
          <w:spacing w:val="-17"/>
        </w:rPr>
        <w:t xml:space="preserve"> </w:t>
      </w:r>
      <w:r>
        <w:t>Rules</w:t>
      </w:r>
      <w:r>
        <w:rPr>
          <w:spacing w:val="-18"/>
        </w:rPr>
        <w:t xml:space="preserve"> </w:t>
      </w:r>
      <w:r>
        <w:t>1(a)</w:t>
      </w:r>
      <w:r>
        <w:rPr>
          <w:spacing w:val="-17"/>
        </w:rPr>
        <w:t xml:space="preserve"> </w:t>
      </w:r>
      <w:r>
        <w:t>and</w:t>
      </w:r>
      <w:r>
        <w:rPr>
          <w:spacing w:val="-18"/>
        </w:rPr>
        <w:t xml:space="preserve"> </w:t>
      </w:r>
      <w:r>
        <w:t>8(a),</w:t>
      </w:r>
      <w:r>
        <w:rPr>
          <w:spacing w:val="-17"/>
        </w:rPr>
        <w:t xml:space="preserve"> </w:t>
      </w:r>
      <w:r>
        <w:t>but</w:t>
      </w:r>
      <w:r>
        <w:rPr>
          <w:spacing w:val="-18"/>
        </w:rPr>
        <w:t xml:space="preserve"> </w:t>
      </w:r>
      <w:r>
        <w:t>it</w:t>
      </w:r>
      <w:r>
        <w:rPr>
          <w:spacing w:val="-17"/>
        </w:rPr>
        <w:t xml:space="preserve"> </w:t>
      </w:r>
      <w:r>
        <w:t>would also</w:t>
      </w:r>
      <w:r>
        <w:rPr>
          <w:spacing w:val="-7"/>
        </w:rPr>
        <w:t xml:space="preserve"> </w:t>
      </w:r>
      <w:r>
        <w:t>be</w:t>
      </w:r>
      <w:r>
        <w:rPr>
          <w:spacing w:val="-7"/>
        </w:rPr>
        <w:t xml:space="preserve"> </w:t>
      </w:r>
      <w:r>
        <w:t>contrary</w:t>
      </w:r>
      <w:r>
        <w:rPr>
          <w:spacing w:val="-7"/>
        </w:rPr>
        <w:t xml:space="preserve"> </w:t>
      </w:r>
      <w:r>
        <w:t>to</w:t>
      </w:r>
      <w:r>
        <w:rPr>
          <w:spacing w:val="-6"/>
        </w:rPr>
        <w:t xml:space="preserve"> </w:t>
      </w:r>
      <w:r>
        <w:t>the</w:t>
      </w:r>
      <w:r>
        <w:rPr>
          <w:spacing w:val="-5"/>
        </w:rPr>
        <w:t xml:space="preserve"> </w:t>
      </w:r>
      <w:r>
        <w:t>Petition’s</w:t>
      </w:r>
      <w:r>
        <w:rPr>
          <w:spacing w:val="-7"/>
        </w:rPr>
        <w:t xml:space="preserve"> </w:t>
      </w:r>
      <w:r>
        <w:t>Proposed</w:t>
      </w:r>
      <w:r>
        <w:rPr>
          <w:spacing w:val="-7"/>
        </w:rPr>
        <w:t xml:space="preserve"> </w:t>
      </w:r>
      <w:r>
        <w:t>Rule</w:t>
      </w:r>
      <w:r>
        <w:rPr>
          <w:spacing w:val="-7"/>
        </w:rPr>
        <w:t xml:space="preserve"> </w:t>
      </w:r>
      <w:r>
        <w:t>2(c),</w:t>
      </w:r>
      <w:r>
        <w:rPr>
          <w:spacing w:val="-8"/>
        </w:rPr>
        <w:t xml:space="preserve"> </w:t>
      </w:r>
      <w:r>
        <w:t>which</w:t>
      </w:r>
      <w:r>
        <w:rPr>
          <w:spacing w:val="-4"/>
        </w:rPr>
        <w:t xml:space="preserve"> </w:t>
      </w:r>
      <w:r>
        <w:t>expressly</w:t>
      </w:r>
      <w:r>
        <w:rPr>
          <w:spacing w:val="-4"/>
        </w:rPr>
        <w:t xml:space="preserve"> </w:t>
      </w:r>
      <w:r>
        <w:t>reaffirms</w:t>
      </w:r>
      <w:r>
        <w:rPr>
          <w:spacing w:val="-7"/>
        </w:rPr>
        <w:t xml:space="preserve"> </w:t>
      </w:r>
      <w:r>
        <w:t>that the special action rules “do not enlarge the scope of relief [the traditional] writs formerly</w:t>
      </w:r>
      <w:r>
        <w:rPr>
          <w:spacing w:val="-4"/>
        </w:rPr>
        <w:t xml:space="preserve"> </w:t>
      </w:r>
      <w:r>
        <w:t>required.”</w:t>
      </w:r>
      <w:r>
        <w:rPr>
          <w:spacing w:val="-7"/>
        </w:rPr>
        <w:t xml:space="preserve"> </w:t>
      </w:r>
      <w:r>
        <w:t>On</w:t>
      </w:r>
      <w:r>
        <w:rPr>
          <w:spacing w:val="-4"/>
        </w:rPr>
        <w:t xml:space="preserve"> </w:t>
      </w:r>
      <w:r>
        <w:t>a</w:t>
      </w:r>
      <w:r>
        <w:rPr>
          <w:spacing w:val="-5"/>
        </w:rPr>
        <w:t xml:space="preserve"> </w:t>
      </w:r>
      <w:r>
        <w:t>practical</w:t>
      </w:r>
      <w:r>
        <w:rPr>
          <w:spacing w:val="-6"/>
        </w:rPr>
        <w:t xml:space="preserve"> </w:t>
      </w:r>
      <w:r>
        <w:t>level,</w:t>
      </w:r>
      <w:r>
        <w:rPr>
          <w:spacing w:val="-8"/>
        </w:rPr>
        <w:t xml:space="preserve"> </w:t>
      </w:r>
      <w:r>
        <w:t>opening</w:t>
      </w:r>
      <w:r>
        <w:rPr>
          <w:spacing w:val="-4"/>
        </w:rPr>
        <w:t xml:space="preserve"> </w:t>
      </w:r>
      <w:r>
        <w:t>the</w:t>
      </w:r>
      <w:r>
        <w:rPr>
          <w:spacing w:val="-7"/>
        </w:rPr>
        <w:t xml:space="preserve"> </w:t>
      </w:r>
      <w:r>
        <w:t>spicket</w:t>
      </w:r>
      <w:r>
        <w:rPr>
          <w:spacing w:val="-4"/>
        </w:rPr>
        <w:t xml:space="preserve"> </w:t>
      </w:r>
      <w:r>
        <w:t>to</w:t>
      </w:r>
      <w:r>
        <w:rPr>
          <w:spacing w:val="-6"/>
        </w:rPr>
        <w:t xml:space="preserve"> </w:t>
      </w:r>
      <w:r>
        <w:t>more</w:t>
      </w:r>
      <w:r>
        <w:rPr>
          <w:spacing w:val="-7"/>
        </w:rPr>
        <w:t xml:space="preserve"> </w:t>
      </w:r>
      <w:r>
        <w:t>special</w:t>
      </w:r>
      <w:r>
        <w:rPr>
          <w:spacing w:val="-4"/>
        </w:rPr>
        <w:t xml:space="preserve"> </w:t>
      </w:r>
      <w:r>
        <w:t>actions would</w:t>
      </w:r>
      <w:r>
        <w:rPr>
          <w:spacing w:val="-1"/>
        </w:rPr>
        <w:t xml:space="preserve"> </w:t>
      </w:r>
      <w:r>
        <w:t>allow</w:t>
      </w:r>
      <w:r>
        <w:rPr>
          <w:spacing w:val="-1"/>
        </w:rPr>
        <w:t xml:space="preserve"> </w:t>
      </w:r>
      <w:r>
        <w:t>more</w:t>
      </w:r>
      <w:r>
        <w:rPr>
          <w:spacing w:val="-2"/>
        </w:rPr>
        <w:t xml:space="preserve"> </w:t>
      </w:r>
      <w:r>
        <w:t>cases</w:t>
      </w:r>
      <w:r>
        <w:rPr>
          <w:spacing w:val="-3"/>
        </w:rPr>
        <w:t xml:space="preserve"> </w:t>
      </w:r>
      <w:r>
        <w:t>to</w:t>
      </w:r>
      <w:r>
        <w:rPr>
          <w:spacing w:val="-1"/>
        </w:rPr>
        <w:t xml:space="preserve"> </w:t>
      </w:r>
      <w:r>
        <w:t>cut</w:t>
      </w:r>
      <w:r>
        <w:rPr>
          <w:spacing w:val="-3"/>
        </w:rPr>
        <w:t xml:space="preserve"> </w:t>
      </w:r>
      <w:r>
        <w:t>to</w:t>
      </w:r>
      <w:r>
        <w:rPr>
          <w:spacing w:val="-3"/>
        </w:rPr>
        <w:t xml:space="preserve"> </w:t>
      </w:r>
      <w:r>
        <w:t>the</w:t>
      </w:r>
      <w:r>
        <w:rPr>
          <w:spacing w:val="-4"/>
        </w:rPr>
        <w:t xml:space="preserve"> </w:t>
      </w:r>
      <w:r>
        <w:t>head</w:t>
      </w:r>
      <w:r>
        <w:rPr>
          <w:spacing w:val="-1"/>
        </w:rPr>
        <w:t xml:space="preserve"> </w:t>
      </w:r>
      <w:r>
        <w:t>of</w:t>
      </w:r>
      <w:r>
        <w:rPr>
          <w:spacing w:val="-2"/>
        </w:rPr>
        <w:t xml:space="preserve"> </w:t>
      </w:r>
      <w:r>
        <w:t>the</w:t>
      </w:r>
      <w:r>
        <w:rPr>
          <w:spacing w:val="-2"/>
        </w:rPr>
        <w:t xml:space="preserve"> </w:t>
      </w:r>
      <w:r>
        <w:t>appellate</w:t>
      </w:r>
      <w:r>
        <w:rPr>
          <w:spacing w:val="-4"/>
        </w:rPr>
        <w:t xml:space="preserve"> </w:t>
      </w:r>
      <w:r>
        <w:t>line,</w:t>
      </w:r>
      <w:r>
        <w:rPr>
          <w:spacing w:val="-5"/>
        </w:rPr>
        <w:t xml:space="preserve"> </w:t>
      </w:r>
      <w:r>
        <w:t>potentially</w:t>
      </w:r>
      <w:r>
        <w:rPr>
          <w:spacing w:val="-1"/>
        </w:rPr>
        <w:t xml:space="preserve"> </w:t>
      </w:r>
      <w:r>
        <w:t>delaying resolution of other cases in the queue.</w:t>
      </w:r>
    </w:p>
    <w:p w:rsidR="004435FA" w:rsidRDefault="00000000" w14:paraId="0B92BBCA" w14:textId="77777777">
      <w:pPr>
        <w:pStyle w:val="BodyText"/>
        <w:spacing w:before="1" w:line="480" w:lineRule="auto"/>
        <w:ind w:left="119" w:right="115" w:firstLine="719"/>
        <w:jc w:val="both"/>
      </w:pPr>
      <w:r>
        <w:t>The Task Force’s desire to provide more tangible guidance can be accomplished without removing the standard that courts and practitioners have so long</w:t>
      </w:r>
      <w:r>
        <w:rPr>
          <w:spacing w:val="-14"/>
        </w:rPr>
        <w:t xml:space="preserve"> </w:t>
      </w:r>
      <w:r>
        <w:t>relied</w:t>
      </w:r>
      <w:r>
        <w:rPr>
          <w:spacing w:val="-14"/>
        </w:rPr>
        <w:t xml:space="preserve"> </w:t>
      </w:r>
      <w:r>
        <w:t>on.</w:t>
      </w:r>
      <w:r>
        <w:rPr>
          <w:spacing w:val="-15"/>
        </w:rPr>
        <w:t xml:space="preserve"> </w:t>
      </w:r>
      <w:r>
        <w:t>An</w:t>
      </w:r>
      <w:r>
        <w:rPr>
          <w:spacing w:val="-14"/>
        </w:rPr>
        <w:t xml:space="preserve"> </w:t>
      </w:r>
      <w:r>
        <w:t>easy</w:t>
      </w:r>
      <w:r>
        <w:rPr>
          <w:spacing w:val="-14"/>
        </w:rPr>
        <w:t xml:space="preserve"> </w:t>
      </w:r>
      <w:r>
        <w:t>alternative:</w:t>
      </w:r>
      <w:r>
        <w:rPr>
          <w:spacing w:val="-14"/>
        </w:rPr>
        <w:t xml:space="preserve"> </w:t>
      </w:r>
      <w:r>
        <w:t>rework</w:t>
      </w:r>
      <w:r>
        <w:rPr>
          <w:spacing w:val="-16"/>
        </w:rPr>
        <w:t xml:space="preserve"> </w:t>
      </w:r>
      <w:r>
        <w:t>Proposed</w:t>
      </w:r>
      <w:r>
        <w:rPr>
          <w:spacing w:val="-14"/>
        </w:rPr>
        <w:t xml:space="preserve"> </w:t>
      </w:r>
      <w:r>
        <w:t>Rule</w:t>
      </w:r>
      <w:r>
        <w:rPr>
          <w:spacing w:val="-17"/>
        </w:rPr>
        <w:t xml:space="preserve"> </w:t>
      </w:r>
      <w:r>
        <w:t>11</w:t>
      </w:r>
      <w:r>
        <w:rPr>
          <w:spacing w:val="-14"/>
        </w:rPr>
        <w:t xml:space="preserve"> </w:t>
      </w:r>
      <w:r>
        <w:t>to</w:t>
      </w:r>
      <w:r>
        <w:rPr>
          <w:spacing w:val="-16"/>
        </w:rPr>
        <w:t xml:space="preserve"> </w:t>
      </w:r>
      <w:r>
        <w:t>keep</w:t>
      </w:r>
      <w:r>
        <w:rPr>
          <w:spacing w:val="-14"/>
        </w:rPr>
        <w:t xml:space="preserve"> </w:t>
      </w:r>
      <w:r>
        <w:t>the</w:t>
      </w:r>
      <w:r>
        <w:rPr>
          <w:spacing w:val="-15"/>
        </w:rPr>
        <w:t xml:space="preserve"> </w:t>
      </w:r>
      <w:r>
        <w:t>“</w:t>
      </w:r>
      <w:proofErr w:type="gramStart"/>
      <w:r>
        <w:t>no</w:t>
      </w:r>
      <w:proofErr w:type="gramEnd"/>
      <w:r>
        <w:rPr>
          <w:spacing w:val="-14"/>
        </w:rPr>
        <w:t xml:space="preserve"> </w:t>
      </w:r>
      <w:r>
        <w:t>equally plain, speedy, and adequate remedy by appeal” language, but follow that language with</w:t>
      </w:r>
      <w:r>
        <w:rPr>
          <w:spacing w:val="-4"/>
        </w:rPr>
        <w:t xml:space="preserve"> </w:t>
      </w:r>
      <w:r>
        <w:t>clarifying</w:t>
      </w:r>
      <w:r>
        <w:rPr>
          <w:spacing w:val="-4"/>
        </w:rPr>
        <w:t xml:space="preserve"> </w:t>
      </w:r>
      <w:r>
        <w:t>examples</w:t>
      </w:r>
      <w:r>
        <w:rPr>
          <w:spacing w:val="-7"/>
        </w:rPr>
        <w:t xml:space="preserve"> </w:t>
      </w:r>
      <w:r>
        <w:t>of</w:t>
      </w:r>
      <w:r>
        <w:rPr>
          <w:spacing w:val="-5"/>
        </w:rPr>
        <w:t xml:space="preserve"> </w:t>
      </w:r>
      <w:r>
        <w:t>when</w:t>
      </w:r>
      <w:r>
        <w:rPr>
          <w:spacing w:val="-4"/>
        </w:rPr>
        <w:t xml:space="preserve"> </w:t>
      </w:r>
      <w:r>
        <w:t>that</w:t>
      </w:r>
      <w:r>
        <w:rPr>
          <w:spacing w:val="-4"/>
        </w:rPr>
        <w:t xml:space="preserve"> </w:t>
      </w:r>
      <w:r>
        <w:t>standard</w:t>
      </w:r>
      <w:r>
        <w:rPr>
          <w:spacing w:val="-4"/>
        </w:rPr>
        <w:t xml:space="preserve"> </w:t>
      </w:r>
      <w:r>
        <w:t>may</w:t>
      </w:r>
      <w:r>
        <w:rPr>
          <w:spacing w:val="-4"/>
        </w:rPr>
        <w:t xml:space="preserve"> </w:t>
      </w:r>
      <w:r>
        <w:t>be</w:t>
      </w:r>
      <w:r>
        <w:rPr>
          <w:spacing w:val="-8"/>
        </w:rPr>
        <w:t xml:space="preserve"> </w:t>
      </w:r>
      <w:r>
        <w:t>met.</w:t>
      </w:r>
      <w:r>
        <w:rPr>
          <w:spacing w:val="-8"/>
        </w:rPr>
        <w:t xml:space="preserve"> </w:t>
      </w:r>
      <w:r>
        <w:t>Those</w:t>
      </w:r>
      <w:r>
        <w:rPr>
          <w:spacing w:val="-5"/>
        </w:rPr>
        <w:t xml:space="preserve"> </w:t>
      </w:r>
      <w:r>
        <w:t>examples</w:t>
      </w:r>
      <w:r>
        <w:rPr>
          <w:spacing w:val="-4"/>
        </w:rPr>
        <w:t xml:space="preserve"> </w:t>
      </w:r>
      <w:r>
        <w:t>can</w:t>
      </w:r>
      <w:r>
        <w:rPr>
          <w:spacing w:val="-7"/>
        </w:rPr>
        <w:t xml:space="preserve"> </w:t>
      </w:r>
      <w:r>
        <w:t>be drawn</w:t>
      </w:r>
      <w:r>
        <w:rPr>
          <w:spacing w:val="-7"/>
        </w:rPr>
        <w:t xml:space="preserve"> </w:t>
      </w:r>
      <w:r>
        <w:t>from</w:t>
      </w:r>
      <w:r>
        <w:rPr>
          <w:spacing w:val="-8"/>
        </w:rPr>
        <w:t xml:space="preserve"> </w:t>
      </w:r>
      <w:r>
        <w:t>at</w:t>
      </w:r>
      <w:r>
        <w:rPr>
          <w:spacing w:val="-6"/>
        </w:rPr>
        <w:t xml:space="preserve"> </w:t>
      </w:r>
      <w:r>
        <w:t>least</w:t>
      </w:r>
      <w:r>
        <w:rPr>
          <w:spacing w:val="-8"/>
        </w:rPr>
        <w:t xml:space="preserve"> </w:t>
      </w:r>
      <w:r>
        <w:t>some</w:t>
      </w:r>
      <w:r>
        <w:rPr>
          <w:spacing w:val="-7"/>
        </w:rPr>
        <w:t xml:space="preserve"> </w:t>
      </w:r>
      <w:r>
        <w:t>factors</w:t>
      </w:r>
      <w:r>
        <w:rPr>
          <w:spacing w:val="-8"/>
        </w:rPr>
        <w:t xml:space="preserve"> </w:t>
      </w:r>
      <w:r>
        <w:t>now</w:t>
      </w:r>
      <w:r>
        <w:rPr>
          <w:spacing w:val="-7"/>
        </w:rPr>
        <w:t xml:space="preserve"> </w:t>
      </w:r>
      <w:r>
        <w:t>listed</w:t>
      </w:r>
      <w:r>
        <w:rPr>
          <w:spacing w:val="-7"/>
        </w:rPr>
        <w:t xml:space="preserve"> </w:t>
      </w:r>
      <w:r>
        <w:t>in</w:t>
      </w:r>
      <w:r>
        <w:rPr>
          <w:spacing w:val="-7"/>
        </w:rPr>
        <w:t xml:space="preserve"> </w:t>
      </w:r>
      <w:r>
        <w:t>the</w:t>
      </w:r>
      <w:r>
        <w:rPr>
          <w:spacing w:val="-7"/>
        </w:rPr>
        <w:t xml:space="preserve"> </w:t>
      </w:r>
      <w:r>
        <w:t>Proposed</w:t>
      </w:r>
      <w:r>
        <w:rPr>
          <w:spacing w:val="-7"/>
        </w:rPr>
        <w:t xml:space="preserve"> </w:t>
      </w:r>
      <w:r>
        <w:t>Rule,</w:t>
      </w:r>
      <w:r>
        <w:rPr>
          <w:spacing w:val="-8"/>
        </w:rPr>
        <w:t xml:space="preserve"> </w:t>
      </w:r>
      <w:r>
        <w:t>such</w:t>
      </w:r>
      <w:r>
        <w:rPr>
          <w:spacing w:val="-7"/>
        </w:rPr>
        <w:t xml:space="preserve"> </w:t>
      </w:r>
      <w:r>
        <w:t>as</w:t>
      </w:r>
      <w:r>
        <w:rPr>
          <w:spacing w:val="-8"/>
        </w:rPr>
        <w:t xml:space="preserve"> </w:t>
      </w:r>
      <w:r>
        <w:t>whether</w:t>
      </w:r>
      <w:r>
        <w:rPr>
          <w:spacing w:val="-8"/>
        </w:rPr>
        <w:t xml:space="preserve"> </w:t>
      </w:r>
      <w:r>
        <w:t>a petition presents a question of privileges and immunities, a question that may become</w:t>
      </w:r>
      <w:r>
        <w:rPr>
          <w:spacing w:val="70"/>
        </w:rPr>
        <w:t xml:space="preserve"> </w:t>
      </w:r>
      <w:r>
        <w:t>moot</w:t>
      </w:r>
      <w:r>
        <w:rPr>
          <w:spacing w:val="69"/>
        </w:rPr>
        <w:t xml:space="preserve"> </w:t>
      </w:r>
      <w:r>
        <w:t>during</w:t>
      </w:r>
      <w:r>
        <w:rPr>
          <w:spacing w:val="71"/>
        </w:rPr>
        <w:t xml:space="preserve"> </w:t>
      </w:r>
      <w:r>
        <w:t>appeal,</w:t>
      </w:r>
      <w:r>
        <w:rPr>
          <w:spacing w:val="70"/>
        </w:rPr>
        <w:t xml:space="preserve"> </w:t>
      </w:r>
      <w:r>
        <w:t>or</w:t>
      </w:r>
      <w:r>
        <w:rPr>
          <w:spacing w:val="71"/>
        </w:rPr>
        <w:t xml:space="preserve"> </w:t>
      </w:r>
      <w:r>
        <w:t>a</w:t>
      </w:r>
      <w:r>
        <w:rPr>
          <w:spacing w:val="70"/>
        </w:rPr>
        <w:t xml:space="preserve"> </w:t>
      </w:r>
      <w:r>
        <w:t>question</w:t>
      </w:r>
      <w:r>
        <w:rPr>
          <w:spacing w:val="69"/>
        </w:rPr>
        <w:t xml:space="preserve"> </w:t>
      </w:r>
      <w:r>
        <w:t>the</w:t>
      </w:r>
      <w:r>
        <w:rPr>
          <w:spacing w:val="71"/>
        </w:rPr>
        <w:t xml:space="preserve"> </w:t>
      </w:r>
      <w:r>
        <w:t>speedy</w:t>
      </w:r>
      <w:r>
        <w:rPr>
          <w:spacing w:val="71"/>
        </w:rPr>
        <w:t xml:space="preserve"> </w:t>
      </w:r>
      <w:r>
        <w:t>resolution</w:t>
      </w:r>
      <w:r>
        <w:rPr>
          <w:spacing w:val="72"/>
        </w:rPr>
        <w:t xml:space="preserve"> </w:t>
      </w:r>
      <w:r>
        <w:t>of</w:t>
      </w:r>
      <w:r>
        <w:rPr>
          <w:spacing w:val="68"/>
        </w:rPr>
        <w:t xml:space="preserve"> </w:t>
      </w:r>
      <w:r>
        <w:t>which</w:t>
      </w:r>
      <w:r>
        <w:rPr>
          <w:spacing w:val="69"/>
        </w:rPr>
        <w:t xml:space="preserve"> </w:t>
      </w:r>
      <w:r>
        <w:rPr>
          <w:spacing w:val="-5"/>
        </w:rPr>
        <w:t>is</w:t>
      </w:r>
    </w:p>
    <w:p w:rsidR="004435FA" w:rsidRDefault="004435FA" w14:paraId="173AE4CA" w14:textId="77777777">
      <w:pPr>
        <w:spacing w:line="480" w:lineRule="auto"/>
        <w:jc w:val="both"/>
        <w:sectPr w:rsidR="004435FA">
          <w:pgSz w:w="12240" w:h="15840"/>
          <w:pgMar w:top="1380" w:right="1320" w:bottom="1160" w:left="1320" w:header="0" w:footer="971" w:gutter="0"/>
          <w:cols w:space="720"/>
        </w:sectPr>
      </w:pPr>
    </w:p>
    <w:p w:rsidR="004435FA" w:rsidRDefault="00000000" w14:paraId="4967D9E5" w14:textId="77777777">
      <w:pPr>
        <w:pStyle w:val="BodyText"/>
        <w:spacing w:before="60" w:line="480" w:lineRule="auto"/>
        <w:ind w:left="120" w:right="116"/>
        <w:jc w:val="both"/>
      </w:pPr>
      <w:r>
        <w:lastRenderedPageBreak/>
        <w:t>necessary to avoid real harm. The use of such examples would provide the sort of additional</w:t>
      </w:r>
      <w:r>
        <w:rPr>
          <w:spacing w:val="-10"/>
        </w:rPr>
        <w:t xml:space="preserve"> </w:t>
      </w:r>
      <w:r>
        <w:t>guidance</w:t>
      </w:r>
      <w:r>
        <w:rPr>
          <w:spacing w:val="-11"/>
        </w:rPr>
        <w:t xml:space="preserve"> </w:t>
      </w:r>
      <w:r>
        <w:t>that</w:t>
      </w:r>
      <w:r>
        <w:rPr>
          <w:spacing w:val="-10"/>
        </w:rPr>
        <w:t xml:space="preserve"> </w:t>
      </w:r>
      <w:r>
        <w:t>the</w:t>
      </w:r>
      <w:r>
        <w:rPr>
          <w:spacing w:val="-9"/>
        </w:rPr>
        <w:t xml:space="preserve"> </w:t>
      </w:r>
      <w:r>
        <w:t>Petition</w:t>
      </w:r>
      <w:r>
        <w:rPr>
          <w:spacing w:val="-8"/>
        </w:rPr>
        <w:t xml:space="preserve"> </w:t>
      </w:r>
      <w:r>
        <w:t>seeks</w:t>
      </w:r>
      <w:r>
        <w:rPr>
          <w:spacing w:val="-10"/>
        </w:rPr>
        <w:t xml:space="preserve"> </w:t>
      </w:r>
      <w:r>
        <w:t>to</w:t>
      </w:r>
      <w:r>
        <w:rPr>
          <w:spacing w:val="-10"/>
        </w:rPr>
        <w:t xml:space="preserve"> </w:t>
      </w:r>
      <w:r>
        <w:t>offer</w:t>
      </w:r>
      <w:r>
        <w:rPr>
          <w:spacing w:val="-9"/>
        </w:rPr>
        <w:t xml:space="preserve"> </w:t>
      </w:r>
      <w:r>
        <w:t>without</w:t>
      </w:r>
      <w:r>
        <w:rPr>
          <w:spacing w:val="-10"/>
        </w:rPr>
        <w:t xml:space="preserve"> </w:t>
      </w:r>
      <w:r>
        <w:t>threatening</w:t>
      </w:r>
      <w:r>
        <w:rPr>
          <w:spacing w:val="-7"/>
        </w:rPr>
        <w:t xml:space="preserve"> </w:t>
      </w:r>
      <w:r>
        <w:t>an</w:t>
      </w:r>
      <w:r>
        <w:rPr>
          <w:spacing w:val="-7"/>
        </w:rPr>
        <w:t xml:space="preserve"> </w:t>
      </w:r>
      <w:r>
        <w:t>expansion of special action jurisdiction.</w:t>
      </w:r>
      <w:hyperlink w:history="1" w:anchor="_bookmark1">
        <w:r>
          <w:rPr>
            <w:vertAlign w:val="superscript"/>
          </w:rPr>
          <w:t>2</w:t>
        </w:r>
      </w:hyperlink>
    </w:p>
    <w:p w:rsidR="004435FA" w:rsidRDefault="00000000" w14:paraId="301F0F18" w14:textId="77777777">
      <w:pPr>
        <w:pStyle w:val="BodyText"/>
        <w:ind w:left="839"/>
        <w:jc w:val="both"/>
      </w:pPr>
      <w:r>
        <w:t>Respectfully submitted</w:t>
      </w:r>
      <w:r>
        <w:rPr>
          <w:spacing w:val="3"/>
        </w:rPr>
        <w:t xml:space="preserve"> </w:t>
      </w:r>
      <w:r>
        <w:t>this</w:t>
      </w:r>
      <w:r>
        <w:rPr>
          <w:spacing w:val="2"/>
        </w:rPr>
        <w:t xml:space="preserve"> </w:t>
      </w:r>
      <w:r>
        <w:t>18</w:t>
      </w:r>
      <w:r>
        <w:rPr>
          <w:vertAlign w:val="superscript"/>
        </w:rPr>
        <w:t>th</w:t>
      </w:r>
      <w:r>
        <w:rPr>
          <w:spacing w:val="2"/>
        </w:rPr>
        <w:t xml:space="preserve"> </w:t>
      </w:r>
      <w:r>
        <w:t>day of</w:t>
      </w:r>
      <w:r>
        <w:rPr>
          <w:spacing w:val="1"/>
        </w:rPr>
        <w:t xml:space="preserve"> </w:t>
      </w:r>
      <w:r>
        <w:t>March</w:t>
      </w:r>
      <w:r>
        <w:rPr>
          <w:spacing w:val="4"/>
        </w:rPr>
        <w:t xml:space="preserve"> </w:t>
      </w:r>
      <w:r>
        <w:rPr>
          <w:spacing w:val="-2"/>
        </w:rPr>
        <w:t>2024.</w:t>
      </w:r>
    </w:p>
    <w:p w:rsidR="004435FA" w:rsidRDefault="004435FA" w14:paraId="3292CA96" w14:textId="77777777">
      <w:pPr>
        <w:pStyle w:val="BodyText"/>
        <w:spacing w:before="11"/>
        <w:rPr>
          <w:sz w:val="27"/>
        </w:rPr>
      </w:pPr>
    </w:p>
    <w:p w:rsidR="004435FA" w:rsidRDefault="00000000" w14:paraId="44729F2E" w14:textId="77777777">
      <w:pPr>
        <w:ind w:left="4531" w:right="2390"/>
        <w:rPr>
          <w:b/>
          <w:sz w:val="28"/>
        </w:rPr>
      </w:pPr>
      <w:r>
        <w:rPr>
          <w:sz w:val="28"/>
        </w:rPr>
        <w:t xml:space="preserve">By: </w:t>
      </w:r>
      <w:r>
        <w:rPr>
          <w:sz w:val="28"/>
          <w:u w:val="single"/>
        </w:rPr>
        <w:t xml:space="preserve">/s/ Joel </w:t>
      </w:r>
      <w:proofErr w:type="spellStart"/>
      <w:r>
        <w:rPr>
          <w:sz w:val="28"/>
          <w:u w:val="single"/>
        </w:rPr>
        <w:t>Nomkin</w:t>
      </w:r>
      <w:proofErr w:type="spellEnd"/>
      <w:r>
        <w:rPr>
          <w:sz w:val="28"/>
        </w:rPr>
        <w:t xml:space="preserve"> Joel W. </w:t>
      </w:r>
      <w:proofErr w:type="spellStart"/>
      <w:r>
        <w:rPr>
          <w:sz w:val="28"/>
        </w:rPr>
        <w:t>Nomkin</w:t>
      </w:r>
      <w:proofErr w:type="spellEnd"/>
      <w:r>
        <w:rPr>
          <w:sz w:val="28"/>
        </w:rPr>
        <w:t xml:space="preserve"> </w:t>
      </w:r>
      <w:r>
        <w:rPr>
          <w:b/>
          <w:sz w:val="28"/>
        </w:rPr>
        <w:t>PERKINS</w:t>
      </w:r>
      <w:r>
        <w:rPr>
          <w:b/>
          <w:spacing w:val="-18"/>
          <w:sz w:val="28"/>
        </w:rPr>
        <w:t xml:space="preserve"> </w:t>
      </w:r>
      <w:r>
        <w:rPr>
          <w:b/>
          <w:sz w:val="28"/>
        </w:rPr>
        <w:t>COIE</w:t>
      </w:r>
      <w:r>
        <w:rPr>
          <w:b/>
          <w:spacing w:val="-17"/>
          <w:sz w:val="28"/>
        </w:rPr>
        <w:t xml:space="preserve"> </w:t>
      </w:r>
      <w:r>
        <w:rPr>
          <w:b/>
          <w:sz w:val="28"/>
        </w:rPr>
        <w:t>LLP</w:t>
      </w:r>
    </w:p>
    <w:p w:rsidR="004435FA" w:rsidRDefault="00000000" w14:paraId="7C517482" w14:textId="77777777">
      <w:pPr>
        <w:pStyle w:val="BodyText"/>
        <w:spacing w:line="316" w:lineRule="exact"/>
        <w:ind w:left="4531"/>
      </w:pPr>
      <w:r>
        <w:t>2901</w:t>
      </w:r>
      <w:r>
        <w:rPr>
          <w:spacing w:val="-11"/>
        </w:rPr>
        <w:t xml:space="preserve"> </w:t>
      </w:r>
      <w:r>
        <w:t>North</w:t>
      </w:r>
      <w:r>
        <w:rPr>
          <w:spacing w:val="-7"/>
        </w:rPr>
        <w:t xml:space="preserve"> </w:t>
      </w:r>
      <w:r>
        <w:t>Central</w:t>
      </w:r>
      <w:r>
        <w:rPr>
          <w:spacing w:val="-7"/>
        </w:rPr>
        <w:t xml:space="preserve"> </w:t>
      </w:r>
      <w:r>
        <w:t>Avenue,</w:t>
      </w:r>
      <w:r>
        <w:rPr>
          <w:spacing w:val="-9"/>
        </w:rPr>
        <w:t xml:space="preserve"> </w:t>
      </w:r>
      <w:r>
        <w:t>Suite</w:t>
      </w:r>
      <w:r>
        <w:rPr>
          <w:spacing w:val="-10"/>
        </w:rPr>
        <w:t xml:space="preserve"> </w:t>
      </w:r>
      <w:r>
        <w:rPr>
          <w:spacing w:val="-4"/>
        </w:rPr>
        <w:t>2000</w:t>
      </w:r>
    </w:p>
    <w:p w:rsidR="004435FA" w:rsidRDefault="00000000" w14:paraId="5BEFA665" w14:textId="77777777">
      <w:pPr>
        <w:pStyle w:val="BodyText"/>
        <w:spacing w:line="322" w:lineRule="exact"/>
        <w:ind w:left="4531"/>
      </w:pPr>
      <w:r>
        <w:t>Phoenix,</w:t>
      </w:r>
      <w:r>
        <w:rPr>
          <w:spacing w:val="-16"/>
        </w:rPr>
        <w:t xml:space="preserve"> </w:t>
      </w:r>
      <w:r>
        <w:t>Arizona</w:t>
      </w:r>
      <w:r>
        <w:rPr>
          <w:spacing w:val="-15"/>
        </w:rPr>
        <w:t xml:space="preserve"> </w:t>
      </w:r>
      <w:r>
        <w:t>85012-</w:t>
      </w:r>
      <w:r>
        <w:rPr>
          <w:spacing w:val="-4"/>
        </w:rPr>
        <w:t>2788</w:t>
      </w:r>
    </w:p>
    <w:p w:rsidR="004435FA" w:rsidRDefault="00000000" w14:paraId="13CF649C" w14:textId="77777777">
      <w:pPr>
        <w:pStyle w:val="BodyText"/>
        <w:spacing w:before="2"/>
        <w:ind w:left="4480"/>
      </w:pPr>
      <w:r>
        <w:t>Telephone:</w:t>
      </w:r>
      <w:r>
        <w:rPr>
          <w:spacing w:val="-13"/>
        </w:rPr>
        <w:t xml:space="preserve"> </w:t>
      </w:r>
      <w:r>
        <w:rPr>
          <w:spacing w:val="-2"/>
        </w:rPr>
        <w:t>+1.602.351.8000</w:t>
      </w:r>
    </w:p>
    <w:p w:rsidR="004435FA" w:rsidRDefault="00000000" w14:paraId="16536813" w14:textId="77777777">
      <w:pPr>
        <w:pStyle w:val="BodyText"/>
        <w:spacing w:before="4"/>
        <w:ind w:left="4531"/>
      </w:pPr>
      <w:r>
        <w:t xml:space="preserve">Facsimile: +1.602.648.7000 </w:t>
      </w:r>
      <w:hyperlink r:id="rId15">
        <w:r>
          <w:rPr>
            <w:spacing w:val="-2"/>
          </w:rPr>
          <w:t>JNomkin@perkinscoie.com</w:t>
        </w:r>
      </w:hyperlink>
      <w:r>
        <w:rPr>
          <w:spacing w:val="-2"/>
        </w:rPr>
        <w:t xml:space="preserve"> </w:t>
      </w:r>
      <w:hyperlink r:id="rId16">
        <w:r>
          <w:rPr>
            <w:spacing w:val="-4"/>
          </w:rPr>
          <w:t>Docketphx@perkinscoie.com</w:t>
        </w:r>
      </w:hyperlink>
    </w:p>
    <w:p w:rsidR="004435FA" w:rsidRDefault="004435FA" w14:paraId="18CC6B9C" w14:textId="77777777">
      <w:pPr>
        <w:pStyle w:val="BodyText"/>
        <w:rPr>
          <w:sz w:val="20"/>
        </w:rPr>
      </w:pPr>
    </w:p>
    <w:p w:rsidR="004435FA" w:rsidRDefault="004435FA" w14:paraId="7548F6D1" w14:textId="77777777">
      <w:pPr>
        <w:pStyle w:val="BodyText"/>
        <w:rPr>
          <w:sz w:val="20"/>
        </w:rPr>
      </w:pPr>
    </w:p>
    <w:p w:rsidR="004435FA" w:rsidRDefault="004435FA" w14:paraId="0B31A425" w14:textId="77777777">
      <w:pPr>
        <w:pStyle w:val="BodyText"/>
        <w:rPr>
          <w:sz w:val="20"/>
        </w:rPr>
      </w:pPr>
    </w:p>
    <w:p w:rsidR="004435FA" w:rsidRDefault="004435FA" w14:paraId="0A72C86E" w14:textId="77777777">
      <w:pPr>
        <w:pStyle w:val="BodyText"/>
        <w:rPr>
          <w:sz w:val="20"/>
        </w:rPr>
      </w:pPr>
    </w:p>
    <w:p w:rsidR="004435FA" w:rsidRDefault="004435FA" w14:paraId="707FE525" w14:textId="77777777">
      <w:pPr>
        <w:pStyle w:val="BodyText"/>
        <w:rPr>
          <w:sz w:val="20"/>
        </w:rPr>
      </w:pPr>
    </w:p>
    <w:p w:rsidR="004435FA" w:rsidRDefault="004435FA" w14:paraId="7586BDB1" w14:textId="77777777">
      <w:pPr>
        <w:pStyle w:val="BodyText"/>
        <w:rPr>
          <w:sz w:val="20"/>
        </w:rPr>
      </w:pPr>
    </w:p>
    <w:p w:rsidR="004435FA" w:rsidRDefault="004435FA" w14:paraId="4D2815E1" w14:textId="77777777">
      <w:pPr>
        <w:pStyle w:val="BodyText"/>
        <w:rPr>
          <w:sz w:val="20"/>
        </w:rPr>
      </w:pPr>
    </w:p>
    <w:p w:rsidR="004435FA" w:rsidRDefault="004435FA" w14:paraId="15DC25D8" w14:textId="77777777">
      <w:pPr>
        <w:pStyle w:val="BodyText"/>
        <w:rPr>
          <w:sz w:val="20"/>
        </w:rPr>
      </w:pPr>
    </w:p>
    <w:p w:rsidR="004435FA" w:rsidRDefault="004435FA" w14:paraId="39A47F6C" w14:textId="77777777">
      <w:pPr>
        <w:pStyle w:val="BodyText"/>
        <w:rPr>
          <w:sz w:val="20"/>
        </w:rPr>
      </w:pPr>
    </w:p>
    <w:p w:rsidR="004435FA" w:rsidRDefault="004435FA" w14:paraId="76B935A9" w14:textId="77777777">
      <w:pPr>
        <w:pStyle w:val="BodyText"/>
        <w:rPr>
          <w:sz w:val="20"/>
        </w:rPr>
      </w:pPr>
    </w:p>
    <w:p w:rsidR="004435FA" w:rsidRDefault="004435FA" w14:paraId="3A4C9605" w14:textId="77777777">
      <w:pPr>
        <w:pStyle w:val="BodyText"/>
        <w:rPr>
          <w:sz w:val="20"/>
        </w:rPr>
      </w:pPr>
    </w:p>
    <w:p w:rsidR="004435FA" w:rsidRDefault="004435FA" w14:paraId="272420F3" w14:textId="77777777">
      <w:pPr>
        <w:pStyle w:val="BodyText"/>
        <w:rPr>
          <w:sz w:val="20"/>
        </w:rPr>
      </w:pPr>
    </w:p>
    <w:p w:rsidR="004435FA" w:rsidRDefault="004435FA" w14:paraId="3010C9AB" w14:textId="77777777">
      <w:pPr>
        <w:pStyle w:val="BodyText"/>
        <w:rPr>
          <w:sz w:val="20"/>
        </w:rPr>
      </w:pPr>
    </w:p>
    <w:p w:rsidR="004435FA" w:rsidRDefault="004435FA" w14:paraId="0F15723A" w14:textId="77777777">
      <w:pPr>
        <w:pStyle w:val="BodyText"/>
        <w:rPr>
          <w:sz w:val="20"/>
        </w:rPr>
      </w:pPr>
    </w:p>
    <w:p w:rsidR="004435FA" w:rsidRDefault="004435FA" w14:paraId="44CBCB06" w14:textId="77777777">
      <w:pPr>
        <w:pStyle w:val="BodyText"/>
        <w:rPr>
          <w:sz w:val="20"/>
        </w:rPr>
      </w:pPr>
    </w:p>
    <w:p w:rsidR="004435FA" w:rsidRDefault="004435FA" w14:paraId="5938889C" w14:textId="77777777">
      <w:pPr>
        <w:pStyle w:val="BodyText"/>
        <w:rPr>
          <w:sz w:val="20"/>
        </w:rPr>
      </w:pPr>
    </w:p>
    <w:p w:rsidR="004435FA" w:rsidRDefault="004435FA" w14:paraId="68DDA3EF" w14:textId="77777777">
      <w:pPr>
        <w:pStyle w:val="BodyText"/>
        <w:rPr>
          <w:sz w:val="20"/>
        </w:rPr>
      </w:pPr>
    </w:p>
    <w:p w:rsidR="004435FA" w:rsidRDefault="004435FA" w14:paraId="19E6EACF" w14:textId="77777777">
      <w:pPr>
        <w:pStyle w:val="BodyText"/>
        <w:rPr>
          <w:sz w:val="20"/>
        </w:rPr>
      </w:pPr>
    </w:p>
    <w:p w:rsidR="004435FA" w:rsidRDefault="004435FA" w14:paraId="4ACAB8A7" w14:textId="77777777">
      <w:pPr>
        <w:pStyle w:val="BodyText"/>
        <w:rPr>
          <w:sz w:val="20"/>
        </w:rPr>
      </w:pPr>
    </w:p>
    <w:p w:rsidR="004435FA" w:rsidRDefault="004435FA" w14:paraId="5E1AB403" w14:textId="77777777">
      <w:pPr>
        <w:pStyle w:val="BodyText"/>
        <w:rPr>
          <w:sz w:val="20"/>
        </w:rPr>
      </w:pPr>
    </w:p>
    <w:p w:rsidR="004435FA" w:rsidRDefault="00000000" w14:paraId="4178ACA8" w14:textId="77777777">
      <w:pPr>
        <w:pStyle w:val="BodyText"/>
        <w:rPr>
          <w:sz w:val="15"/>
        </w:rPr>
      </w:pPr>
      <w:r>
        <w:pict w14:anchorId="27EEC4B1">
          <v:rect id="docshape5" style="position:absolute;margin-left:1in;margin-top:9.85pt;width:2in;height:.6pt;z-index:-15728128;mso-wrap-distance-left:0;mso-wrap-distance-right:0;mso-position-horizontal-relative:page" o:spid="_x0000_s2050" fillcolor="black" stroked="f">
            <w10:wrap type="topAndBottom" anchorx="page"/>
          </v:rect>
        </w:pict>
      </w:r>
    </w:p>
    <w:p w:rsidR="004435FA" w:rsidRDefault="00000000" w14:paraId="4D849381" w14:textId="77777777">
      <w:pPr>
        <w:pStyle w:val="BodyText"/>
        <w:spacing w:before="103"/>
        <w:ind w:left="119" w:right="115"/>
        <w:jc w:val="both"/>
      </w:pPr>
      <w:bookmarkStart w:name="_bookmark1" w:id="1"/>
      <w:bookmarkEnd w:id="1"/>
      <w:r>
        <w:rPr>
          <w:vertAlign w:val="superscript"/>
        </w:rPr>
        <w:t>2</w:t>
      </w:r>
      <w:r>
        <w:rPr>
          <w:spacing w:val="-5"/>
        </w:rPr>
        <w:t xml:space="preserve"> </w:t>
      </w:r>
      <w:r>
        <w:t>One</w:t>
      </w:r>
      <w:r>
        <w:rPr>
          <w:spacing w:val="-9"/>
        </w:rPr>
        <w:t xml:space="preserve"> </w:t>
      </w:r>
      <w:r>
        <w:t>word</w:t>
      </w:r>
      <w:r>
        <w:rPr>
          <w:spacing w:val="-8"/>
        </w:rPr>
        <w:t xml:space="preserve"> </w:t>
      </w:r>
      <w:r>
        <w:t>of</w:t>
      </w:r>
      <w:r>
        <w:rPr>
          <w:spacing w:val="-6"/>
        </w:rPr>
        <w:t xml:space="preserve"> </w:t>
      </w:r>
      <w:r>
        <w:t>caution</w:t>
      </w:r>
      <w:r>
        <w:rPr>
          <w:spacing w:val="-7"/>
        </w:rPr>
        <w:t xml:space="preserve"> </w:t>
      </w:r>
      <w:r>
        <w:t>regarding</w:t>
      </w:r>
      <w:r>
        <w:rPr>
          <w:spacing w:val="-8"/>
        </w:rPr>
        <w:t xml:space="preserve"> </w:t>
      </w:r>
      <w:r>
        <w:t>the</w:t>
      </w:r>
      <w:r>
        <w:rPr>
          <w:spacing w:val="-6"/>
        </w:rPr>
        <w:t xml:space="preserve"> </w:t>
      </w:r>
      <w:r>
        <w:t>certification</w:t>
      </w:r>
      <w:r>
        <w:rPr>
          <w:spacing w:val="-8"/>
        </w:rPr>
        <w:t xml:space="preserve"> </w:t>
      </w:r>
      <w:r>
        <w:t>process</w:t>
      </w:r>
      <w:r>
        <w:rPr>
          <w:spacing w:val="-5"/>
        </w:rPr>
        <w:t xml:space="preserve"> </w:t>
      </w:r>
      <w:r>
        <w:t>contemplated</w:t>
      </w:r>
      <w:r>
        <w:rPr>
          <w:spacing w:val="-8"/>
        </w:rPr>
        <w:t xml:space="preserve"> </w:t>
      </w:r>
      <w:r>
        <w:t>by</w:t>
      </w:r>
      <w:r>
        <w:rPr>
          <w:spacing w:val="-7"/>
        </w:rPr>
        <w:t xml:space="preserve"> </w:t>
      </w:r>
      <w:r>
        <w:t>Proposed Rule 12. I assume that the Task Force does not intend that process to allow certification</w:t>
      </w:r>
      <w:r>
        <w:rPr>
          <w:spacing w:val="-11"/>
        </w:rPr>
        <w:t xml:space="preserve"> </w:t>
      </w:r>
      <w:r>
        <w:t>of</w:t>
      </w:r>
      <w:r>
        <w:rPr>
          <w:spacing w:val="-12"/>
        </w:rPr>
        <w:t xml:space="preserve"> </w:t>
      </w:r>
      <w:r>
        <w:t>issues</w:t>
      </w:r>
      <w:r>
        <w:rPr>
          <w:spacing w:val="-11"/>
        </w:rPr>
        <w:t xml:space="preserve"> </w:t>
      </w:r>
      <w:r>
        <w:t>where</w:t>
      </w:r>
      <w:r>
        <w:rPr>
          <w:spacing w:val="-12"/>
        </w:rPr>
        <w:t xml:space="preserve"> </w:t>
      </w:r>
      <w:r>
        <w:t>there</w:t>
      </w:r>
      <w:r>
        <w:rPr>
          <w:spacing w:val="-12"/>
        </w:rPr>
        <w:t xml:space="preserve"> </w:t>
      </w:r>
      <w:r>
        <w:t>is</w:t>
      </w:r>
      <w:r>
        <w:rPr>
          <w:spacing w:val="-9"/>
        </w:rPr>
        <w:t xml:space="preserve"> </w:t>
      </w:r>
      <w:r>
        <w:t>“an</w:t>
      </w:r>
      <w:r>
        <w:rPr>
          <w:spacing w:val="-11"/>
        </w:rPr>
        <w:t xml:space="preserve"> </w:t>
      </w:r>
      <w:r>
        <w:t>equally</w:t>
      </w:r>
      <w:r>
        <w:rPr>
          <w:spacing w:val="-9"/>
        </w:rPr>
        <w:t xml:space="preserve"> </w:t>
      </w:r>
      <w:r>
        <w:t>plain,</w:t>
      </w:r>
      <w:r>
        <w:rPr>
          <w:spacing w:val="-11"/>
        </w:rPr>
        <w:t xml:space="preserve"> </w:t>
      </w:r>
      <w:r>
        <w:t>speedy,</w:t>
      </w:r>
      <w:r>
        <w:rPr>
          <w:spacing w:val="-13"/>
        </w:rPr>
        <w:t xml:space="preserve"> </w:t>
      </w:r>
      <w:r>
        <w:t>and</w:t>
      </w:r>
      <w:r>
        <w:rPr>
          <w:spacing w:val="-11"/>
        </w:rPr>
        <w:t xml:space="preserve"> </w:t>
      </w:r>
      <w:r>
        <w:t>adequate</w:t>
      </w:r>
      <w:r>
        <w:rPr>
          <w:spacing w:val="-10"/>
        </w:rPr>
        <w:t xml:space="preserve"> </w:t>
      </w:r>
      <w:r>
        <w:t>remedy by appeal.” Perhaps in a separate proceeding, Arizona should consider adopting a certification process (like 28 U.S.C.</w:t>
      </w:r>
      <w:r>
        <w:rPr>
          <w:spacing w:val="-1"/>
        </w:rPr>
        <w:t xml:space="preserve"> </w:t>
      </w:r>
      <w:r>
        <w:t>§ 1292(b))</w:t>
      </w:r>
      <w:r>
        <w:rPr>
          <w:spacing w:val="-1"/>
        </w:rPr>
        <w:t xml:space="preserve"> </w:t>
      </w:r>
      <w:r>
        <w:t>that does not require the absence of an</w:t>
      </w:r>
      <w:r>
        <w:rPr>
          <w:spacing w:val="-6"/>
        </w:rPr>
        <w:t xml:space="preserve"> </w:t>
      </w:r>
      <w:r>
        <w:t>adequate</w:t>
      </w:r>
      <w:r>
        <w:rPr>
          <w:spacing w:val="-6"/>
        </w:rPr>
        <w:t xml:space="preserve"> </w:t>
      </w:r>
      <w:r>
        <w:t>appellate</w:t>
      </w:r>
      <w:r>
        <w:rPr>
          <w:spacing w:val="-9"/>
        </w:rPr>
        <w:t xml:space="preserve"> </w:t>
      </w:r>
      <w:r>
        <w:t>remedy.</w:t>
      </w:r>
      <w:r>
        <w:rPr>
          <w:spacing w:val="-7"/>
        </w:rPr>
        <w:t xml:space="preserve"> </w:t>
      </w:r>
      <w:r>
        <w:t>But</w:t>
      </w:r>
      <w:r>
        <w:rPr>
          <w:spacing w:val="-8"/>
        </w:rPr>
        <w:t xml:space="preserve"> </w:t>
      </w:r>
      <w:r>
        <w:t>doing</w:t>
      </w:r>
      <w:r>
        <w:rPr>
          <w:spacing w:val="-6"/>
        </w:rPr>
        <w:t xml:space="preserve"> </w:t>
      </w:r>
      <w:r>
        <w:t>so</w:t>
      </w:r>
      <w:r>
        <w:rPr>
          <w:spacing w:val="-6"/>
        </w:rPr>
        <w:t xml:space="preserve"> </w:t>
      </w:r>
      <w:r>
        <w:t>in</w:t>
      </w:r>
      <w:r>
        <w:rPr>
          <w:spacing w:val="-5"/>
        </w:rPr>
        <w:t xml:space="preserve"> </w:t>
      </w:r>
      <w:r>
        <w:t>the</w:t>
      </w:r>
      <w:r>
        <w:rPr>
          <w:spacing w:val="-6"/>
        </w:rPr>
        <w:t xml:space="preserve"> </w:t>
      </w:r>
      <w:r>
        <w:t>context</w:t>
      </w:r>
      <w:r>
        <w:rPr>
          <w:spacing w:val="-8"/>
        </w:rPr>
        <w:t xml:space="preserve"> </w:t>
      </w:r>
      <w:r>
        <w:t>of</w:t>
      </w:r>
      <w:r>
        <w:rPr>
          <w:spacing w:val="-7"/>
        </w:rPr>
        <w:t xml:space="preserve"> </w:t>
      </w:r>
      <w:r>
        <w:t>the</w:t>
      </w:r>
      <w:r>
        <w:rPr>
          <w:spacing w:val="-9"/>
        </w:rPr>
        <w:t xml:space="preserve"> </w:t>
      </w:r>
      <w:r>
        <w:t>special</w:t>
      </w:r>
      <w:r>
        <w:rPr>
          <w:spacing w:val="-5"/>
        </w:rPr>
        <w:t xml:space="preserve"> </w:t>
      </w:r>
      <w:r>
        <w:t>action</w:t>
      </w:r>
      <w:r>
        <w:rPr>
          <w:spacing w:val="-6"/>
        </w:rPr>
        <w:t xml:space="preserve"> </w:t>
      </w:r>
      <w:r>
        <w:t>rules would allow those rules to go beyond the boundaries long established by current Rules 1(a) and 8(a), and still recognized by the Task Force in Proposed Rule 2(c).</w:t>
      </w:r>
    </w:p>
    <w:sectPr w:rsidR="004435FA">
      <w:pgSz w:w="12240" w:h="15840"/>
      <w:pgMar w:top="1380" w:right="1320" w:bottom="1160" w:left="132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35B7" w:rsidRDefault="003235B7" w14:paraId="13840954" w14:textId="77777777">
      <w:r>
        <w:separator/>
      </w:r>
    </w:p>
  </w:endnote>
  <w:endnote w:type="continuationSeparator" w:id="0">
    <w:p w:rsidR="003235B7" w:rsidRDefault="003235B7" w14:paraId="3B2EE4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927" w:rsidRDefault="00A91927" w14:paraId="1CDC63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5FA" w:rsidRDefault="00000000" w14:paraId="418661E8" w14:textId="77777777">
    <w:pPr>
      <w:pStyle w:val="BodyText"/>
      <w:spacing w:line="14" w:lineRule="auto"/>
      <w:rPr>
        <w:sz w:val="20"/>
      </w:rPr>
    </w:pPr>
    <w:r>
      <w:pict w14:anchorId="41F30230">
        <v:shapetype id="_x0000_t202" coordsize="21600,21600" o:spt="202" path="m,l,21600r21600,l21600,xe">
          <v:stroke joinstyle="miter"/>
          <v:path gradientshapeok="t" o:connecttype="rect"/>
        </v:shapetype>
        <v:shape id="docshape1" style="position:absolute;margin-left:71pt;margin-top:746.15pt;width:44.1pt;height:10.95pt;z-index:-15791616;mso-position-horizontal-relative:page;mso-position-vertical-relative:page" alt="" o:spid="_x0000_s1027" filled="f" stroked="f" type="#_x0000_t202">
          <v:textbox inset="0,0,0,0">
            <w:txbxContent>
              <w:p w:rsidR="004435FA" w:rsidRDefault="00000000" w14:paraId="2E3480AC" w14:textId="77777777">
                <w:pPr>
                  <w:spacing w:before="14"/>
                  <w:ind w:left="20"/>
                  <w:rPr>
                    <w:sz w:val="16"/>
                  </w:rPr>
                </w:pPr>
                <w:r>
                  <w:rPr>
                    <w:spacing w:val="-2"/>
                    <w:sz w:val="16"/>
                  </w:rPr>
                  <w:t>165910725.1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927" w:rsidRDefault="00A91927" w14:paraId="651A483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5FA" w:rsidRDefault="00000000" w14:paraId="1B3F99F0" w14:textId="77777777">
    <w:pPr>
      <w:pStyle w:val="BodyText"/>
      <w:spacing w:line="14" w:lineRule="auto"/>
      <w:rPr>
        <w:sz w:val="20"/>
      </w:rPr>
    </w:pPr>
    <w:r>
      <w:pict w14:anchorId="22A7CC19">
        <v:shapetype id="_x0000_t202" coordsize="21600,21600" o:spt="202" path="m,l,21600r21600,l21600,xe">
          <v:stroke joinstyle="miter"/>
          <v:path gradientshapeok="t" o:connecttype="rect"/>
        </v:shapetype>
        <v:shape id="docshape2" style="position:absolute;margin-left:300pt;margin-top:732.45pt;width:13pt;height:15.3pt;z-index:-15791104;mso-position-horizontal-relative:page;mso-position-vertical-relative:page" alt="" o:spid="_x0000_s1026" filled="f" stroked="f" type="#_x0000_t202">
          <v:textbox inset="0,0,0,0">
            <w:txbxContent>
              <w:p w:rsidR="004435FA" w:rsidRDefault="00000000" w14:paraId="3B387D3E" w14:textId="77777777">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w:r>
    <w:r>
      <w:pict w14:anchorId="1A4D9AB3">
        <v:shape id="docshape3" style="position:absolute;margin-left:71pt;margin-top:746.15pt;width:44.1pt;height:10.95pt;z-index:-15790592;mso-position-horizontal-relative:page;mso-position-vertical-relative:page" alt="" o:spid="_x0000_s1025" filled="f" stroked="f" type="#_x0000_t202">
          <v:textbox inset="0,0,0,0">
            <w:txbxContent>
              <w:p w:rsidR="004435FA" w:rsidRDefault="00000000" w14:paraId="30C24A3C" w14:textId="77777777">
                <w:pPr>
                  <w:spacing w:before="14"/>
                  <w:ind w:left="20"/>
                  <w:rPr>
                    <w:sz w:val="16"/>
                  </w:rPr>
                </w:pPr>
                <w:r>
                  <w:rPr>
                    <w:spacing w:val="-2"/>
                    <w:sz w:val="16"/>
                  </w:rPr>
                  <w:t>165910725.1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35B7" w:rsidRDefault="003235B7" w14:paraId="656492E2" w14:textId="77777777">
      <w:r>
        <w:separator/>
      </w:r>
    </w:p>
  </w:footnote>
  <w:footnote w:type="continuationSeparator" w:id="0">
    <w:p w:rsidR="003235B7" w:rsidRDefault="003235B7" w14:paraId="3766E5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927" w:rsidRDefault="00A91927" w14:paraId="3AB944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927" w:rsidRDefault="00A91927" w14:paraId="219695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927" w:rsidRDefault="00A91927" w14:paraId="166F293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35FA"/>
    <w:rsid w:val="003235B7"/>
    <w:rsid w:val="004435FA"/>
    <w:rsid w:val="00A9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56BBBC"/>
  <w15:docId w15:val="{BF5D7462-CA4D-4657-9F70-E6CDE098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A91927"/>
    <w:pPr>
      <w:tabs>
        <w:tab w:val="center" w:pos="4680"/>
        <w:tab w:val="right" w:pos="9360"/>
      </w:tabs>
    </w:pPr>
  </w:style>
  <w:style w:type="character" w:styleId="HeaderChar" w:customStyle="1">
    <w:name w:val="Header Char"/>
    <w:basedOn w:val="DefaultParagraphFont"/>
    <w:link w:val="Header"/>
    <w:uiPriority w:val="99"/>
    <w:rsid w:val="00A91927"/>
    <w:rPr>
      <w:rFonts w:ascii="Times New Roman" w:hAnsi="Times New Roman" w:eastAsia="Times New Roman" w:cs="Times New Roman"/>
    </w:rPr>
  </w:style>
  <w:style w:type="paragraph" w:styleId="Footer">
    <w:name w:val="footer"/>
    <w:basedOn w:val="Normal"/>
    <w:link w:val="FooterChar"/>
    <w:uiPriority w:val="99"/>
    <w:unhideWhenUsed/>
    <w:rsid w:val="00A91927"/>
    <w:pPr>
      <w:tabs>
        <w:tab w:val="center" w:pos="4680"/>
        <w:tab w:val="right" w:pos="9360"/>
      </w:tabs>
    </w:pPr>
  </w:style>
  <w:style w:type="character" w:styleId="FooterChar" w:customStyle="1">
    <w:name w:val="Footer Char"/>
    <w:basedOn w:val="DefaultParagraphFont"/>
    <w:link w:val="Footer"/>
    <w:uiPriority w:val="99"/>
    <w:rsid w:val="00A91927"/>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ocketphx@perkinscoie.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Docketphx@perkinscoie.com" TargetMode="External"/><Relationship Id="rId1" Type="http://schemas.openxmlformats.org/officeDocument/2006/relationships/styles" Target="styles.xml"/><Relationship Id="rId6" Type="http://schemas.openxmlformats.org/officeDocument/2006/relationships/hyperlink" Target="mailto:JNomkin@perkinscoie.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mailto:JNomkin@perkinscoie.com"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2024-03-19T16:30:26.0000000Z</dcterms:modified>
</coreProperties>
</file>

<file path=docProps/custom.xml><?xml version="1.0" encoding="utf-8"?>
<op:Properties xmlns:vt="http://schemas.openxmlformats.org/officeDocument/2006/docPropsVTypes" xmlns:op="http://schemas.openxmlformats.org/officeDocument/2006/custom-properties"/>
</file>