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AE1A" w14:textId="77777777" w:rsidR="005E6E04" w:rsidRPr="005E6E04" w:rsidRDefault="005E6E04" w:rsidP="00E361BC">
      <w:pPr>
        <w:tabs>
          <w:tab w:val="left" w:pos="360"/>
        </w:tabs>
        <w:spacing w:line="240" w:lineRule="auto"/>
        <w:ind w:left="360" w:hanging="360"/>
        <w:rPr>
          <w:bCs/>
          <w:sz w:val="28"/>
          <w:szCs w:val="28"/>
        </w:rPr>
      </w:pPr>
      <w:bookmarkStart w:id="0" w:name="_Hlk153936670"/>
      <w:bookmarkStart w:id="1" w:name="_Hlk153936619"/>
      <w:r w:rsidRPr="005E6E04">
        <w:rPr>
          <w:bCs/>
          <w:sz w:val="28"/>
          <w:szCs w:val="28"/>
        </w:rPr>
        <w:t>Arizona Process Servers Association</w:t>
      </w:r>
    </w:p>
    <w:p w14:paraId="53626C5C" w14:textId="206E765F" w:rsidR="005E6E04" w:rsidRDefault="00973306" w:rsidP="00E361BC">
      <w:pPr>
        <w:tabs>
          <w:tab w:val="left" w:pos="360"/>
        </w:tabs>
        <w:spacing w:line="240" w:lineRule="auto"/>
        <w:ind w:left="360" w:hanging="360"/>
        <w:rPr>
          <w:bCs/>
          <w:sz w:val="28"/>
          <w:szCs w:val="28"/>
        </w:rPr>
      </w:pPr>
      <w:r>
        <w:rPr>
          <w:bCs/>
          <w:sz w:val="28"/>
          <w:szCs w:val="28"/>
        </w:rPr>
        <w:t>c/o Barry R. Goldman, Administrator</w:t>
      </w:r>
    </w:p>
    <w:p w14:paraId="109DBB8E" w14:textId="154CF789" w:rsidR="00973306" w:rsidRDefault="00973306" w:rsidP="00E361BC">
      <w:pPr>
        <w:tabs>
          <w:tab w:val="left" w:pos="360"/>
        </w:tabs>
        <w:spacing w:line="240" w:lineRule="auto"/>
        <w:ind w:left="360" w:hanging="360"/>
        <w:rPr>
          <w:bCs/>
          <w:sz w:val="28"/>
          <w:szCs w:val="28"/>
        </w:rPr>
      </w:pPr>
      <w:r>
        <w:rPr>
          <w:bCs/>
          <w:sz w:val="28"/>
          <w:szCs w:val="28"/>
        </w:rPr>
        <w:t>20987 N. John Wayne Pkwy. K#B104-381</w:t>
      </w:r>
    </w:p>
    <w:p w14:paraId="3AE452DA" w14:textId="4C66933E" w:rsidR="00973306" w:rsidRPr="005E6E04" w:rsidRDefault="00973306" w:rsidP="00E361BC">
      <w:pPr>
        <w:tabs>
          <w:tab w:val="left" w:pos="360"/>
        </w:tabs>
        <w:spacing w:line="240" w:lineRule="auto"/>
        <w:ind w:left="360" w:hanging="360"/>
        <w:rPr>
          <w:bCs/>
          <w:sz w:val="28"/>
          <w:szCs w:val="28"/>
        </w:rPr>
      </w:pPr>
      <w:r>
        <w:rPr>
          <w:bCs/>
          <w:sz w:val="28"/>
          <w:szCs w:val="28"/>
        </w:rPr>
        <w:t>Maricopa, AZ 85139</w:t>
      </w:r>
    </w:p>
    <w:p w14:paraId="01E3DEAA" w14:textId="77777777" w:rsidR="005E6E04" w:rsidRPr="005E6E04" w:rsidRDefault="005E6E04" w:rsidP="00E361BC">
      <w:pPr>
        <w:tabs>
          <w:tab w:val="left" w:pos="360"/>
        </w:tabs>
        <w:spacing w:line="240" w:lineRule="auto"/>
        <w:ind w:left="360" w:hanging="360"/>
        <w:rPr>
          <w:bCs/>
          <w:sz w:val="28"/>
          <w:szCs w:val="28"/>
        </w:rPr>
      </w:pPr>
      <w:r w:rsidRPr="005E6E04">
        <w:rPr>
          <w:bCs/>
          <w:sz w:val="28"/>
          <w:szCs w:val="28"/>
        </w:rPr>
        <w:t>Phone: (602) 476-1737</w:t>
      </w:r>
    </w:p>
    <w:p w14:paraId="1DA7B56B" w14:textId="1DE1E00C" w:rsidR="005E6E04" w:rsidRDefault="005E6E04" w:rsidP="00E361BC">
      <w:pPr>
        <w:tabs>
          <w:tab w:val="left" w:pos="360"/>
        </w:tabs>
        <w:spacing w:line="240" w:lineRule="auto"/>
        <w:ind w:left="360" w:hanging="360"/>
        <w:rPr>
          <w:bCs/>
          <w:sz w:val="28"/>
          <w:szCs w:val="28"/>
        </w:rPr>
      </w:pPr>
      <w:r w:rsidRPr="005E6E04">
        <w:rPr>
          <w:bCs/>
          <w:sz w:val="28"/>
          <w:szCs w:val="28"/>
        </w:rPr>
        <w:t>Fax:(602) 256-9720</w:t>
      </w:r>
    </w:p>
    <w:p w14:paraId="33129F29" w14:textId="77777777" w:rsidR="005E6E04" w:rsidRDefault="005E6E04" w:rsidP="00034DE2">
      <w:pPr>
        <w:tabs>
          <w:tab w:val="left" w:pos="360"/>
        </w:tabs>
        <w:spacing w:before="240" w:line="360" w:lineRule="auto"/>
        <w:ind w:left="360"/>
        <w:rPr>
          <w:bCs/>
          <w:sz w:val="28"/>
          <w:szCs w:val="28"/>
        </w:rPr>
      </w:pPr>
    </w:p>
    <w:p w14:paraId="2970563A" w14:textId="05F9267B" w:rsidR="005E6E04" w:rsidRPr="005E6E04" w:rsidRDefault="005E6E04" w:rsidP="00034DE2">
      <w:pPr>
        <w:tabs>
          <w:tab w:val="left" w:pos="0"/>
          <w:tab w:val="left" w:pos="360"/>
        </w:tabs>
        <w:spacing w:line="360" w:lineRule="auto"/>
        <w:jc w:val="center"/>
        <w:rPr>
          <w:b/>
          <w:sz w:val="28"/>
          <w:szCs w:val="28"/>
        </w:rPr>
      </w:pPr>
      <w:r w:rsidRPr="005E6E04">
        <w:rPr>
          <w:b/>
          <w:sz w:val="28"/>
          <w:szCs w:val="28"/>
        </w:rPr>
        <w:t>IN THE SUPREME COURT OF THE STATE OF ARIZONA</w:t>
      </w:r>
    </w:p>
    <w:p w14:paraId="79B03092" w14:textId="77777777" w:rsidR="005E6E04" w:rsidRDefault="005E6E04" w:rsidP="00034DE2">
      <w:pPr>
        <w:tabs>
          <w:tab w:val="left" w:pos="360"/>
        </w:tabs>
        <w:spacing w:line="360" w:lineRule="auto"/>
        <w:ind w:left="360"/>
        <w:rPr>
          <w:bCs/>
          <w:sz w:val="28"/>
          <w:szCs w:val="28"/>
        </w:rPr>
      </w:pPr>
    </w:p>
    <w:p w14:paraId="02B42BB2" w14:textId="77777777" w:rsidR="005E6E04" w:rsidRDefault="005E6E04" w:rsidP="00034DE2">
      <w:pPr>
        <w:tabs>
          <w:tab w:val="left" w:pos="360"/>
        </w:tabs>
        <w:spacing w:line="360" w:lineRule="auto"/>
        <w:rPr>
          <w:bCs/>
          <w:sz w:val="28"/>
          <w:szCs w:val="28"/>
        </w:rPr>
        <w:sectPr w:rsidR="005E6E04" w:rsidSect="008038DF">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1440" w:left="1440" w:header="720" w:footer="432" w:gutter="0"/>
          <w:cols w:space="720"/>
          <w:docGrid w:linePitch="272"/>
        </w:sectPr>
      </w:pPr>
    </w:p>
    <w:p w14:paraId="70D9B740" w14:textId="556BAEEA" w:rsidR="005E6E04" w:rsidRDefault="005E6E04" w:rsidP="00E361BC">
      <w:pPr>
        <w:tabs>
          <w:tab w:val="left" w:pos="360"/>
        </w:tabs>
        <w:spacing w:line="240" w:lineRule="auto"/>
        <w:ind w:left="450"/>
        <w:rPr>
          <w:b/>
          <w:color w:val="000000" w:themeColor="text1"/>
          <w:sz w:val="28"/>
          <w:szCs w:val="28"/>
        </w:rPr>
      </w:pPr>
      <w:r w:rsidRPr="00103A61">
        <w:rPr>
          <w:b/>
          <w:sz w:val="28"/>
          <w:szCs w:val="28"/>
        </w:rPr>
        <w:t xml:space="preserve">In the Matter of: PETITION TO AMEND </w:t>
      </w:r>
      <w:r w:rsidR="0012706E">
        <w:rPr>
          <w:b/>
          <w:sz w:val="28"/>
          <w:szCs w:val="28"/>
        </w:rPr>
        <w:t>RULE 113 of the JUSTICE COURTS RULES OF CIVIL PROCEDURE</w:t>
      </w:r>
    </w:p>
    <w:p w14:paraId="23078B70" w14:textId="77777777" w:rsidR="005E6E04" w:rsidRDefault="005E6E04" w:rsidP="00E361BC">
      <w:pPr>
        <w:tabs>
          <w:tab w:val="left" w:pos="360"/>
        </w:tabs>
        <w:spacing w:line="240" w:lineRule="auto"/>
        <w:ind w:left="450"/>
        <w:rPr>
          <w:bCs/>
          <w:sz w:val="28"/>
          <w:szCs w:val="28"/>
        </w:rPr>
      </w:pPr>
      <w:r>
        <w:rPr>
          <w:bCs/>
          <w:sz w:val="28"/>
          <w:szCs w:val="28"/>
        </w:rPr>
        <w:t>SUPREME COURT No.:</w:t>
      </w:r>
    </w:p>
    <w:p w14:paraId="1ABE1E4C" w14:textId="0A9CFFB6" w:rsidR="0012706E" w:rsidRDefault="0012706E" w:rsidP="00E361BC">
      <w:pPr>
        <w:tabs>
          <w:tab w:val="left" w:pos="360"/>
        </w:tabs>
        <w:spacing w:line="240" w:lineRule="auto"/>
        <w:ind w:left="450"/>
        <w:rPr>
          <w:bCs/>
          <w:sz w:val="28"/>
          <w:szCs w:val="28"/>
        </w:rPr>
      </w:pPr>
      <w:r w:rsidRPr="002F44B4">
        <w:rPr>
          <w:sz w:val="28"/>
          <w:szCs w:val="28"/>
        </w:rPr>
        <w:t>R-23-0049</w:t>
      </w:r>
    </w:p>
    <w:p w14:paraId="1EB6352C" w14:textId="77777777" w:rsidR="005E6E04" w:rsidRDefault="005E6E04" w:rsidP="00E361BC">
      <w:pPr>
        <w:tabs>
          <w:tab w:val="left" w:pos="360"/>
        </w:tabs>
        <w:spacing w:line="240" w:lineRule="auto"/>
        <w:ind w:left="450"/>
        <w:rPr>
          <w:bCs/>
          <w:sz w:val="28"/>
          <w:szCs w:val="28"/>
        </w:rPr>
      </w:pPr>
    </w:p>
    <w:p w14:paraId="54FCFBC4" w14:textId="10452188" w:rsidR="005E6E04" w:rsidRPr="00103A61" w:rsidRDefault="0012706E" w:rsidP="00E361BC">
      <w:pPr>
        <w:tabs>
          <w:tab w:val="left" w:pos="360"/>
        </w:tabs>
        <w:spacing w:line="240" w:lineRule="auto"/>
        <w:ind w:left="450"/>
        <w:rPr>
          <w:b/>
          <w:sz w:val="28"/>
          <w:szCs w:val="28"/>
        </w:rPr>
        <w:sectPr w:rsidR="005E6E04" w:rsidRPr="00103A61" w:rsidSect="008038DF">
          <w:type w:val="continuous"/>
          <w:pgSz w:w="12240" w:h="15840" w:code="1"/>
          <w:pgMar w:top="0" w:right="1440" w:bottom="1440" w:left="1440" w:header="720" w:footer="432" w:gutter="0"/>
          <w:cols w:num="2" w:space="720"/>
          <w:docGrid w:linePitch="272"/>
        </w:sectPr>
      </w:pPr>
      <w:r>
        <w:rPr>
          <w:b/>
          <w:sz w:val="28"/>
          <w:szCs w:val="28"/>
        </w:rPr>
        <w:t>COMMENT</w:t>
      </w:r>
    </w:p>
    <w:p w14:paraId="32A814D8" w14:textId="77777777" w:rsidR="005E6E04" w:rsidRPr="005E6E04" w:rsidRDefault="005E6E04" w:rsidP="00691587">
      <w:pPr>
        <w:spacing w:line="360" w:lineRule="auto"/>
        <w:rPr>
          <w:bCs/>
          <w:sz w:val="28"/>
          <w:szCs w:val="28"/>
        </w:rPr>
      </w:pPr>
    </w:p>
    <w:p w14:paraId="286038A2" w14:textId="77777777" w:rsidR="00C352E7" w:rsidRDefault="005E6E04" w:rsidP="0037677B">
      <w:pPr>
        <w:keepNext/>
        <w:keepLines/>
        <w:widowControl w:val="0"/>
        <w:spacing w:line="360" w:lineRule="auto"/>
        <w:ind w:right="360" w:firstLine="720"/>
        <w:rPr>
          <w:color w:val="000000"/>
          <w:sz w:val="28"/>
          <w:szCs w:val="28"/>
        </w:rPr>
      </w:pPr>
      <w:r w:rsidRPr="0012706E">
        <w:rPr>
          <w:color w:val="000000"/>
          <w:sz w:val="28"/>
          <w:szCs w:val="28"/>
        </w:rPr>
        <w:t xml:space="preserve">The Arizona Process Servers Association (APSA) pursuant to Rule 28, Ariz. R. Sup. Ct., submits the following </w:t>
      </w:r>
      <w:r w:rsidR="0012706E" w:rsidRPr="0012706E">
        <w:rPr>
          <w:color w:val="000000"/>
          <w:sz w:val="28"/>
          <w:szCs w:val="28"/>
        </w:rPr>
        <w:t xml:space="preserve">comments to the instant Petition. The Petition proposes amend Rule 113 of the Justice Courts Rules of Civil Procedure.  </w:t>
      </w:r>
    </w:p>
    <w:p w14:paraId="17FB6109" w14:textId="7930A0BB" w:rsidR="0012706E" w:rsidRDefault="00C352E7" w:rsidP="0037677B">
      <w:pPr>
        <w:keepNext/>
        <w:keepLines/>
        <w:widowControl w:val="0"/>
        <w:spacing w:line="360" w:lineRule="auto"/>
        <w:ind w:right="360" w:firstLine="720"/>
        <w:rPr>
          <w:bCs/>
          <w:color w:val="000000" w:themeColor="text1"/>
          <w:sz w:val="28"/>
          <w:szCs w:val="28"/>
        </w:rPr>
      </w:pPr>
      <w:r>
        <w:rPr>
          <w:color w:val="000000"/>
          <w:sz w:val="28"/>
          <w:szCs w:val="28"/>
        </w:rPr>
        <w:t>After consideration, research and debate, t</w:t>
      </w:r>
      <w:r w:rsidR="00691587" w:rsidRPr="00691587">
        <w:rPr>
          <w:color w:val="000000"/>
          <w:sz w:val="28"/>
          <w:szCs w:val="28"/>
        </w:rPr>
        <w:t xml:space="preserve">he Arizona Process Servers Association (APSA) </w:t>
      </w:r>
      <w:r w:rsidR="0012706E" w:rsidRPr="0012706E">
        <w:rPr>
          <w:color w:val="000000"/>
          <w:sz w:val="28"/>
          <w:szCs w:val="28"/>
        </w:rPr>
        <w:t>objects to the proposed rule change.</w:t>
      </w:r>
      <w:r w:rsidR="0012706E" w:rsidRPr="0012706E">
        <w:rPr>
          <w:bCs/>
          <w:color w:val="000000" w:themeColor="text1"/>
          <w:sz w:val="28"/>
          <w:szCs w:val="28"/>
        </w:rPr>
        <w:t xml:space="preserve"> </w:t>
      </w:r>
    </w:p>
    <w:p w14:paraId="2B7F00C7" w14:textId="6C24C95A" w:rsidR="0012706E" w:rsidRPr="002F44B4" w:rsidRDefault="0012706E" w:rsidP="0037677B">
      <w:pPr>
        <w:keepNext/>
        <w:keepLines/>
        <w:widowControl w:val="0"/>
        <w:spacing w:line="360" w:lineRule="auto"/>
        <w:ind w:right="360" w:firstLine="720"/>
        <w:rPr>
          <w:sz w:val="28"/>
          <w:szCs w:val="28"/>
        </w:rPr>
      </w:pPr>
      <w:r w:rsidRPr="0012706E">
        <w:rPr>
          <w:bCs/>
          <w:color w:val="000000" w:themeColor="text1"/>
          <w:sz w:val="28"/>
          <w:szCs w:val="28"/>
        </w:rPr>
        <w:t xml:space="preserve">The Arizona Process Servers Association (APSA) provides continuing education and advocacy for its members and others on the rules, regulations, statutes, and case law affecting service of legal process within and outside of Arizona.  </w:t>
      </w:r>
      <w:r>
        <w:rPr>
          <w:sz w:val="28"/>
          <w:szCs w:val="28"/>
        </w:rPr>
        <w:t>Electronic service of process</w:t>
      </w:r>
      <w:r w:rsidRPr="00C9168E">
        <w:rPr>
          <w:sz w:val="28"/>
          <w:szCs w:val="28"/>
        </w:rPr>
        <w:t xml:space="preserve"> is always less preferred than traditional in-person service</w:t>
      </w:r>
      <w:r>
        <w:rPr>
          <w:sz w:val="28"/>
          <w:szCs w:val="28"/>
        </w:rPr>
        <w:t>.</w:t>
      </w:r>
    </w:p>
    <w:p w14:paraId="424D97D4" w14:textId="77777777" w:rsidR="0012706E" w:rsidRPr="002F44B4" w:rsidRDefault="0012706E" w:rsidP="001452DB">
      <w:pPr>
        <w:spacing w:line="360" w:lineRule="auto"/>
        <w:ind w:right="360" w:firstLine="720"/>
        <w:rPr>
          <w:sz w:val="28"/>
          <w:szCs w:val="28"/>
        </w:rPr>
      </w:pPr>
      <w:r w:rsidRPr="002F44B4">
        <w:rPr>
          <w:sz w:val="28"/>
          <w:szCs w:val="28"/>
        </w:rPr>
        <w:t xml:space="preserve">Under ARCP Rule 4(d), “Service of process must be made by a sheriff, a sheriff's deputy, a constable, a constable's deputy, a private process server certified under the Arizona Code of Judicial Administration § 7-204 and Rule </w:t>
      </w:r>
      <w:r w:rsidRPr="002F44B4">
        <w:rPr>
          <w:sz w:val="28"/>
          <w:szCs w:val="28"/>
        </w:rPr>
        <w:lastRenderedPageBreak/>
        <w:t>4(e), or any other person specially appointed by the court. Service of process may also be made by a party or that party's attorney if expressly authorized by these rules.”  Similarly, under JCRCP Rule 113(a), service must be performed “…by a constable or by a certified private process server who is certified under Arizona law…”.</w:t>
      </w:r>
    </w:p>
    <w:p w14:paraId="35C66912" w14:textId="77777777" w:rsidR="0012706E" w:rsidRDefault="0012706E" w:rsidP="001452DB">
      <w:pPr>
        <w:spacing w:line="360" w:lineRule="auto"/>
        <w:ind w:firstLine="720"/>
        <w:rPr>
          <w:sz w:val="28"/>
          <w:szCs w:val="28"/>
        </w:rPr>
      </w:pPr>
      <w:r w:rsidRPr="002F44B4">
        <w:rPr>
          <w:sz w:val="28"/>
          <w:szCs w:val="28"/>
        </w:rPr>
        <w:t xml:space="preserve">While the existing subsection (a) states that legal process must be served “…by a constable or by a certified private process server who is certified under Arizona law…”,  that legal process is not limited to a paper-in-hand document. The proposed language modifying JCRCP Rule 113(a) to add paragraph (2) is unclear in continuing to mandate e-mail service by a constable or by a certified private process server (ref. (2)(ii), “the defendant received a communication utilizing electronic means with the summons and complaint and opened it”). </w:t>
      </w:r>
    </w:p>
    <w:p w14:paraId="17B9B534" w14:textId="77777777" w:rsidR="0012706E" w:rsidRDefault="0012706E" w:rsidP="00691587">
      <w:pPr>
        <w:spacing w:line="360" w:lineRule="auto"/>
        <w:ind w:firstLine="720"/>
        <w:rPr>
          <w:sz w:val="28"/>
          <w:szCs w:val="28"/>
        </w:rPr>
      </w:pPr>
      <w:r w:rsidRPr="00C9168E">
        <w:rPr>
          <w:sz w:val="28"/>
          <w:szCs w:val="28"/>
        </w:rPr>
        <w:t>Service must be done by a disinterested third party such as a Process Server</w:t>
      </w:r>
      <w:r>
        <w:rPr>
          <w:sz w:val="28"/>
          <w:szCs w:val="28"/>
        </w:rPr>
        <w:t xml:space="preserve">, Constable or Sheriff.  </w:t>
      </w:r>
      <w:r w:rsidRPr="002F44B4">
        <w:rPr>
          <w:sz w:val="28"/>
          <w:szCs w:val="28"/>
        </w:rPr>
        <w:t xml:space="preserve">We find that attorneys and plaintiffs are sometimes insistent on making or having already made service by </w:t>
      </w:r>
      <w:r>
        <w:rPr>
          <w:sz w:val="28"/>
          <w:szCs w:val="28"/>
        </w:rPr>
        <w:t xml:space="preserve">(certified or first class) </w:t>
      </w:r>
      <w:r w:rsidRPr="002F44B4">
        <w:rPr>
          <w:sz w:val="28"/>
          <w:szCs w:val="28"/>
        </w:rPr>
        <w:t>mail (for special detainer cases, writs of garnishment, and in alternative means of service instances) themselves, thus depriving the integrity of service by a disinterested third party and violating ARCP Rule 4(d) and JCRCP Rule 113(a)</w:t>
      </w:r>
      <w:r>
        <w:rPr>
          <w:sz w:val="28"/>
          <w:szCs w:val="28"/>
        </w:rPr>
        <w:t xml:space="preserve"> without consequence</w:t>
      </w:r>
      <w:r w:rsidRPr="002F44B4">
        <w:rPr>
          <w:sz w:val="28"/>
          <w:szCs w:val="28"/>
        </w:rPr>
        <w:t xml:space="preserve">. </w:t>
      </w:r>
      <w:r>
        <w:rPr>
          <w:sz w:val="28"/>
          <w:szCs w:val="28"/>
        </w:rPr>
        <w:t xml:space="preserve"> We have yet to see a certificate of service rejected by the courts where service by mail was not done by a process server, constable or sheriff.</w:t>
      </w:r>
    </w:p>
    <w:p w14:paraId="4A694150" w14:textId="21A5E7E1" w:rsidR="0012706E" w:rsidRPr="002F44B4" w:rsidRDefault="0012706E" w:rsidP="00691587">
      <w:pPr>
        <w:spacing w:line="360" w:lineRule="auto"/>
        <w:ind w:firstLine="720"/>
        <w:rPr>
          <w:sz w:val="28"/>
          <w:szCs w:val="28"/>
        </w:rPr>
      </w:pPr>
      <w:r w:rsidRPr="002F44B4">
        <w:rPr>
          <w:sz w:val="28"/>
          <w:szCs w:val="28"/>
        </w:rPr>
        <w:t>While service by mail is either the complete method of service [i.e.: ARS §12-1577(B)</w:t>
      </w:r>
      <w:r w:rsidRPr="002F44B4">
        <w:rPr>
          <w:rStyle w:val="FootnoteReference"/>
          <w:sz w:val="28"/>
          <w:szCs w:val="28"/>
        </w:rPr>
        <w:footnoteReference w:id="1"/>
      </w:r>
      <w:r w:rsidRPr="002F44B4">
        <w:rPr>
          <w:sz w:val="28"/>
          <w:szCs w:val="28"/>
        </w:rPr>
        <w:t xml:space="preserve">] or otherwise satisfies the remaining requirements for giving notice </w:t>
      </w:r>
      <w:r w:rsidRPr="002F44B4">
        <w:rPr>
          <w:sz w:val="28"/>
          <w:szCs w:val="28"/>
        </w:rPr>
        <w:lastRenderedPageBreak/>
        <w:t>[i.e.: alternative means of service</w:t>
      </w:r>
      <w:r w:rsidR="00C352E7">
        <w:rPr>
          <w:sz w:val="28"/>
          <w:szCs w:val="28"/>
        </w:rPr>
        <w:t xml:space="preserve"> under ARCP Rule 4.1(k)</w:t>
      </w:r>
      <w:r w:rsidRPr="002F44B4">
        <w:rPr>
          <w:sz w:val="28"/>
          <w:szCs w:val="28"/>
        </w:rPr>
        <w:t>; wage garnishments under ARS §12-1598.04(D); special detainer actions under ARS §3-1377(B)], we find courts routinely accept certificates of service where service by mail was served by an employee or clerk working directly for a law firm</w:t>
      </w:r>
      <w:r w:rsidR="00C352E7">
        <w:rPr>
          <w:sz w:val="28"/>
          <w:szCs w:val="28"/>
        </w:rPr>
        <w:t>,</w:t>
      </w:r>
      <w:r w:rsidRPr="002F44B4">
        <w:rPr>
          <w:sz w:val="28"/>
          <w:szCs w:val="28"/>
        </w:rPr>
        <w:t xml:space="preserve"> or the Plaintiff or the Plaintiff’s Attorney.  This is in conflict with ARCP Rule 4(d), as well as JCRCP Rule 113(a) (service must be done by a “…constable or by a certified private process server who is certified under Arizona law.). We foresee the same thing occurring if specific language mandating e-mail service by a constable or by a certified private process server is not included in the proposed language.</w:t>
      </w:r>
    </w:p>
    <w:p w14:paraId="57BBC64E" w14:textId="77777777" w:rsidR="00050E14" w:rsidRDefault="0012706E" w:rsidP="00691587">
      <w:pPr>
        <w:spacing w:line="360" w:lineRule="auto"/>
        <w:ind w:firstLine="720"/>
        <w:rPr>
          <w:sz w:val="28"/>
          <w:szCs w:val="28"/>
        </w:rPr>
      </w:pPr>
      <w:r>
        <w:rPr>
          <w:sz w:val="28"/>
          <w:szCs w:val="28"/>
        </w:rPr>
        <w:t xml:space="preserve">Process servers in Arizona are regulated by the Arizona Code of Judicial Administration. </w:t>
      </w:r>
      <w:r w:rsidRPr="002F44B4">
        <w:rPr>
          <w:sz w:val="28"/>
          <w:szCs w:val="28"/>
        </w:rPr>
        <w:t xml:space="preserve">ACJA §7-204(H)(2)(j)(5) requires a process server to “…retain client or customer records for a period of three years unless law or rule allows for a different retention period”. There is no mandate </w:t>
      </w:r>
      <w:r w:rsidR="00C352E7">
        <w:rPr>
          <w:sz w:val="28"/>
          <w:szCs w:val="28"/>
        </w:rPr>
        <w:t xml:space="preserve">or direction </w:t>
      </w:r>
      <w:r w:rsidRPr="002F44B4">
        <w:rPr>
          <w:sz w:val="28"/>
          <w:szCs w:val="28"/>
        </w:rPr>
        <w:t xml:space="preserve">for storage of the electronic records in the proposed language. </w:t>
      </w:r>
    </w:p>
    <w:p w14:paraId="42FB8775" w14:textId="0E225FA4" w:rsidR="0012706E" w:rsidRDefault="0012706E" w:rsidP="00691587">
      <w:pPr>
        <w:spacing w:line="360" w:lineRule="auto"/>
        <w:ind w:firstLine="720"/>
        <w:rPr>
          <w:sz w:val="28"/>
          <w:szCs w:val="28"/>
        </w:rPr>
      </w:pPr>
      <w:r w:rsidRPr="002F44B4">
        <w:rPr>
          <w:sz w:val="28"/>
          <w:szCs w:val="28"/>
        </w:rPr>
        <w:t>The use of a platform that stores these electronic details securely for a specified amount of time, to ensure those details are available and unassailable during any attempt to quash the service or otherwise motion for relief from a judgment or order is necessary. A motion for relief of a judgment may be filed later than the mandated retention period described in ACJA §7-204(H)(2)(j)(5), especially in instances of fraud</w:t>
      </w:r>
      <w:r w:rsidR="00C352E7">
        <w:rPr>
          <w:sz w:val="28"/>
          <w:szCs w:val="28"/>
        </w:rPr>
        <w:t>.  I</w:t>
      </w:r>
      <w:r w:rsidRPr="002F44B4">
        <w:rPr>
          <w:sz w:val="28"/>
          <w:szCs w:val="28"/>
        </w:rPr>
        <w:t xml:space="preserve">f such records have been destroyed or discarded, either party dependent on those records may be deprived of their due process and evidence. [ref. JCRCP Rule 141(c); ARCP Rule 60(c)]  </w:t>
      </w:r>
      <w:r>
        <w:rPr>
          <w:sz w:val="28"/>
          <w:szCs w:val="28"/>
        </w:rPr>
        <w:t xml:space="preserve">While such </w:t>
      </w:r>
      <w:r w:rsidRPr="00CA0D1A">
        <w:rPr>
          <w:sz w:val="28"/>
          <w:szCs w:val="28"/>
        </w:rPr>
        <w:t xml:space="preserve">evidence </w:t>
      </w:r>
      <w:r>
        <w:rPr>
          <w:sz w:val="28"/>
          <w:szCs w:val="28"/>
        </w:rPr>
        <w:lastRenderedPageBreak/>
        <w:t>presented may be considered</w:t>
      </w:r>
      <w:r w:rsidRPr="00CA0D1A">
        <w:rPr>
          <w:sz w:val="28"/>
          <w:szCs w:val="28"/>
        </w:rPr>
        <w:t xml:space="preserve"> self-authenticating</w:t>
      </w:r>
      <w:r>
        <w:rPr>
          <w:sz w:val="28"/>
          <w:szCs w:val="28"/>
        </w:rPr>
        <w:t>, there is no standard for electronic retention as to platform or security.</w:t>
      </w:r>
    </w:p>
    <w:p w14:paraId="23D9FDA6" w14:textId="77777777" w:rsidR="00C352E7" w:rsidRDefault="0012706E" w:rsidP="00691587">
      <w:pPr>
        <w:spacing w:line="360" w:lineRule="auto"/>
        <w:ind w:firstLine="720"/>
        <w:rPr>
          <w:sz w:val="28"/>
          <w:szCs w:val="28"/>
        </w:rPr>
      </w:pPr>
      <w:r>
        <w:rPr>
          <w:sz w:val="28"/>
          <w:szCs w:val="28"/>
        </w:rPr>
        <w:t xml:space="preserve">While the individual process server may be required to maintain records under </w:t>
      </w:r>
      <w:r w:rsidRPr="002F44B4">
        <w:rPr>
          <w:sz w:val="28"/>
          <w:szCs w:val="28"/>
        </w:rPr>
        <w:t>ACJA §7-204(H)(2)(j)(5),</w:t>
      </w:r>
      <w:r>
        <w:rPr>
          <w:sz w:val="28"/>
          <w:szCs w:val="28"/>
        </w:rPr>
        <w:t xml:space="preserve"> often these individual process servers work for or act as independent contractors for large (out of state) attorney service firms who centralize records in-house.  However, as Arizona has no licensing or certification requirements for attorney service firms, the onus of responsibility is left with the process server who may not be equipped to keep electronic records in a secured fashion, or because of proprietary or other reasons may not have access to electronically stored records of the attorney service firm.  </w:t>
      </w:r>
      <w:r w:rsidR="00C352E7">
        <w:rPr>
          <w:sz w:val="28"/>
          <w:szCs w:val="28"/>
        </w:rPr>
        <w:t>This is common when the process server no longer works for that attorney service firm, or when the firm, itself has gone out of business.</w:t>
      </w:r>
    </w:p>
    <w:p w14:paraId="468874D6" w14:textId="6E8B8AEC" w:rsidR="0012706E" w:rsidRPr="002F44B4" w:rsidRDefault="0012706E" w:rsidP="00691587">
      <w:pPr>
        <w:spacing w:line="360" w:lineRule="auto"/>
        <w:ind w:firstLine="720"/>
        <w:rPr>
          <w:sz w:val="28"/>
          <w:szCs w:val="28"/>
        </w:rPr>
      </w:pPr>
      <w:r>
        <w:rPr>
          <w:sz w:val="28"/>
          <w:szCs w:val="28"/>
        </w:rPr>
        <w:t>Attorney service firms have no obligation nor responsibility to respond to the courts as an individual certified process server does.</w:t>
      </w:r>
      <w:r w:rsidR="00050E14">
        <w:rPr>
          <w:sz w:val="28"/>
          <w:szCs w:val="28"/>
        </w:rPr>
        <w:t xml:space="preserve">  Again, Arizona has no licensing or certification requirements for attorney service firms.</w:t>
      </w:r>
    </w:p>
    <w:p w14:paraId="7BF70DB4" w14:textId="77777777" w:rsidR="0012706E" w:rsidRPr="002F44B4" w:rsidRDefault="0012706E" w:rsidP="00691587">
      <w:pPr>
        <w:spacing w:line="360" w:lineRule="auto"/>
        <w:ind w:firstLine="720"/>
        <w:rPr>
          <w:sz w:val="28"/>
          <w:szCs w:val="28"/>
        </w:rPr>
      </w:pPr>
      <w:r w:rsidRPr="002F44B4">
        <w:rPr>
          <w:sz w:val="28"/>
          <w:szCs w:val="28"/>
        </w:rPr>
        <w:t>Although an email may have been “received” by a party, the petition sets no standard on how to verify “…the defendant received a communication utilizing electronic means with the summons and complaint and opened it” [paragraph (ii)]. It would be akin to a process server knocking at the door, observing window blinds move, assuming the defendant was inside and within easy speaking distance and so submits a proof of service stating service was done on an evasive defendant he or she never saw nor spoke with</w:t>
      </w:r>
      <w:r>
        <w:rPr>
          <w:sz w:val="28"/>
          <w:szCs w:val="28"/>
        </w:rPr>
        <w:t xml:space="preserve"> (as opposed to “spoke to”)</w:t>
      </w:r>
      <w:r w:rsidRPr="002F44B4">
        <w:rPr>
          <w:sz w:val="28"/>
          <w:szCs w:val="28"/>
        </w:rPr>
        <w:t xml:space="preserve">. It may have been the family cat who moved the window blinds. </w:t>
      </w:r>
    </w:p>
    <w:p w14:paraId="4FD5BC09" w14:textId="77777777" w:rsidR="0012706E" w:rsidRPr="002F44B4" w:rsidRDefault="0012706E" w:rsidP="00691587">
      <w:pPr>
        <w:spacing w:line="360" w:lineRule="auto"/>
        <w:ind w:firstLine="720"/>
        <w:rPr>
          <w:sz w:val="28"/>
          <w:szCs w:val="28"/>
        </w:rPr>
      </w:pPr>
      <w:r w:rsidRPr="002F44B4">
        <w:rPr>
          <w:sz w:val="28"/>
          <w:szCs w:val="28"/>
        </w:rPr>
        <w:lastRenderedPageBreak/>
        <w:t>The same would be true in circumstances where multiple family members or co-workers use the same email address.</w:t>
      </w:r>
      <w:r>
        <w:rPr>
          <w:sz w:val="28"/>
          <w:szCs w:val="28"/>
        </w:rPr>
        <w:t xml:space="preserve">  There is no assurance that the defendant nor other person targeted is the person who opened or read the email.</w:t>
      </w:r>
    </w:p>
    <w:p w14:paraId="559B72AB" w14:textId="619C81FF" w:rsidR="0012706E" w:rsidRPr="002F44B4" w:rsidRDefault="0012706E" w:rsidP="00691587">
      <w:pPr>
        <w:spacing w:line="360" w:lineRule="auto"/>
        <w:ind w:firstLine="720"/>
        <w:rPr>
          <w:sz w:val="28"/>
          <w:szCs w:val="28"/>
        </w:rPr>
      </w:pPr>
      <w:r w:rsidRPr="002F44B4">
        <w:rPr>
          <w:sz w:val="28"/>
          <w:szCs w:val="28"/>
        </w:rPr>
        <w:t xml:space="preserve">Additionally, the language in paragraph (ii) alludes to service having already been completed (“the defendant </w:t>
      </w:r>
      <w:r w:rsidRPr="009F7CB1">
        <w:rPr>
          <w:i/>
          <w:iCs/>
          <w:sz w:val="28"/>
          <w:szCs w:val="28"/>
        </w:rPr>
        <w:t>received</w:t>
      </w:r>
      <w:r w:rsidRPr="002F44B4">
        <w:rPr>
          <w:sz w:val="28"/>
          <w:szCs w:val="28"/>
        </w:rPr>
        <w:t xml:space="preserve">…”) before the motion is granted. We see this as a convenient excuse for a plaintiff or attorney to seek the order for alternative means of service ex post facto, having already </w:t>
      </w:r>
      <w:r w:rsidR="00050E14">
        <w:rPr>
          <w:sz w:val="28"/>
          <w:szCs w:val="28"/>
        </w:rPr>
        <w:t>emailed</w:t>
      </w:r>
      <w:r w:rsidRPr="002F44B4">
        <w:rPr>
          <w:sz w:val="28"/>
          <w:szCs w:val="28"/>
        </w:rPr>
        <w:t xml:space="preserve"> a copy of the summons and complaint, obviating the need for proper service of process by a constable or process server.</w:t>
      </w:r>
    </w:p>
    <w:p w14:paraId="478AFC50" w14:textId="77777777" w:rsidR="0012706E" w:rsidRPr="002F44B4" w:rsidRDefault="0012706E" w:rsidP="00691587">
      <w:pPr>
        <w:spacing w:line="360" w:lineRule="auto"/>
        <w:ind w:firstLine="720"/>
        <w:rPr>
          <w:sz w:val="28"/>
          <w:szCs w:val="28"/>
        </w:rPr>
      </w:pPr>
      <w:r w:rsidRPr="002F44B4">
        <w:rPr>
          <w:sz w:val="28"/>
          <w:szCs w:val="28"/>
        </w:rPr>
        <w:t>Safeguards are important, especially when service is to be done on an electronic platform. From, Illinois Supreme Court Rule 102(f)(1)(B):</w:t>
      </w:r>
    </w:p>
    <w:p w14:paraId="39FE5C02" w14:textId="3D6EB359" w:rsidR="0012706E" w:rsidRPr="002F44B4" w:rsidRDefault="00544AF7" w:rsidP="00544AF7">
      <w:pPr>
        <w:widowControl w:val="0"/>
        <w:tabs>
          <w:tab w:val="left" w:pos="1566"/>
        </w:tabs>
        <w:autoSpaceDE w:val="0"/>
        <w:autoSpaceDN w:val="0"/>
        <w:spacing w:after="240" w:line="240" w:lineRule="auto"/>
        <w:ind w:left="1440"/>
        <w:jc w:val="both"/>
        <w:rPr>
          <w:color w:val="0E0E0E"/>
          <w:sz w:val="28"/>
          <w:szCs w:val="28"/>
        </w:rPr>
      </w:pPr>
      <w:r>
        <w:rPr>
          <w:color w:val="0E0E0E"/>
          <w:sz w:val="28"/>
          <w:szCs w:val="28"/>
        </w:rPr>
        <w:t>“</w:t>
      </w:r>
      <w:r w:rsidR="0012706E" w:rsidRPr="002F44B4">
        <w:rPr>
          <w:color w:val="0E0E0E"/>
          <w:sz w:val="28"/>
          <w:szCs w:val="28"/>
        </w:rPr>
        <w:t>Service by e-mail. Service by e-mail shall be</w:t>
      </w:r>
      <w:r w:rsidR="0012706E" w:rsidRPr="002F44B4">
        <w:rPr>
          <w:color w:val="0E0E0E"/>
          <w:spacing w:val="-2"/>
          <w:sz w:val="28"/>
          <w:szCs w:val="28"/>
        </w:rPr>
        <w:t xml:space="preserve"> </w:t>
      </w:r>
      <w:r w:rsidR="0012706E" w:rsidRPr="002F44B4">
        <w:rPr>
          <w:color w:val="0E0E0E"/>
          <w:sz w:val="28"/>
          <w:szCs w:val="28"/>
        </w:rPr>
        <w:t>made</w:t>
      </w:r>
      <w:r w:rsidR="0012706E" w:rsidRPr="002F44B4">
        <w:rPr>
          <w:color w:val="0E0E0E"/>
          <w:spacing w:val="-1"/>
          <w:sz w:val="28"/>
          <w:szCs w:val="28"/>
        </w:rPr>
        <w:t xml:space="preserve"> </w:t>
      </w:r>
      <w:r w:rsidR="0012706E" w:rsidRPr="002F44B4">
        <w:rPr>
          <w:color w:val="0E0E0E"/>
          <w:sz w:val="28"/>
          <w:szCs w:val="28"/>
        </w:rPr>
        <w:t>by (</w:t>
      </w:r>
      <w:proofErr w:type="spellStart"/>
      <w:r w:rsidR="0012706E" w:rsidRPr="002F44B4">
        <w:rPr>
          <w:color w:val="0E0E0E"/>
          <w:sz w:val="28"/>
          <w:szCs w:val="28"/>
        </w:rPr>
        <w:t>i</w:t>
      </w:r>
      <w:proofErr w:type="spellEnd"/>
      <w:r w:rsidR="0012706E" w:rsidRPr="002F44B4">
        <w:rPr>
          <w:color w:val="0E0E0E"/>
          <w:sz w:val="28"/>
          <w:szCs w:val="28"/>
        </w:rPr>
        <w:t>)</w:t>
      </w:r>
      <w:r w:rsidR="0012706E" w:rsidRPr="002F44B4">
        <w:rPr>
          <w:color w:val="0E0E0E"/>
          <w:spacing w:val="-6"/>
          <w:sz w:val="28"/>
          <w:szCs w:val="28"/>
        </w:rPr>
        <w:t xml:space="preserve"> </w:t>
      </w:r>
      <w:r w:rsidR="0012706E" w:rsidRPr="002F44B4">
        <w:rPr>
          <w:color w:val="0E0E0E"/>
          <w:sz w:val="28"/>
          <w:szCs w:val="28"/>
        </w:rPr>
        <w:t>sending an</w:t>
      </w:r>
      <w:r w:rsidR="0012706E" w:rsidRPr="002F44B4">
        <w:rPr>
          <w:color w:val="0E0E0E"/>
          <w:spacing w:val="-4"/>
          <w:sz w:val="28"/>
          <w:szCs w:val="28"/>
        </w:rPr>
        <w:t xml:space="preserve"> </w:t>
      </w:r>
      <w:r w:rsidR="0012706E" w:rsidRPr="002F44B4">
        <w:rPr>
          <w:color w:val="0E0E0E"/>
          <w:sz w:val="28"/>
          <w:szCs w:val="28"/>
        </w:rPr>
        <w:t>e-mail to the defendant/respondent at his or her current e-mail address; (ii) attaching a copy of the summons, complaint/petition,</w:t>
      </w:r>
      <w:r w:rsidR="0012706E" w:rsidRPr="002F44B4">
        <w:rPr>
          <w:color w:val="0E0E0E"/>
          <w:spacing w:val="-15"/>
          <w:sz w:val="28"/>
          <w:szCs w:val="28"/>
        </w:rPr>
        <w:t xml:space="preserve"> </w:t>
      </w:r>
      <w:r w:rsidR="0012706E" w:rsidRPr="002F44B4">
        <w:rPr>
          <w:color w:val="0E0E0E"/>
          <w:sz w:val="28"/>
          <w:szCs w:val="28"/>
        </w:rPr>
        <w:t>and</w:t>
      </w:r>
      <w:r w:rsidR="0012706E" w:rsidRPr="002F44B4">
        <w:rPr>
          <w:color w:val="0E0E0E"/>
          <w:spacing w:val="-1"/>
          <w:sz w:val="28"/>
          <w:szCs w:val="28"/>
        </w:rPr>
        <w:t xml:space="preserve"> </w:t>
      </w:r>
      <w:r w:rsidR="0012706E" w:rsidRPr="002F44B4">
        <w:rPr>
          <w:color w:val="0E0E0E"/>
          <w:sz w:val="28"/>
          <w:szCs w:val="28"/>
        </w:rPr>
        <w:t>any</w:t>
      </w:r>
      <w:r w:rsidR="0012706E" w:rsidRPr="002F44B4">
        <w:rPr>
          <w:color w:val="0E0E0E"/>
          <w:spacing w:val="-6"/>
          <w:sz w:val="28"/>
          <w:szCs w:val="28"/>
        </w:rPr>
        <w:t xml:space="preserve"> </w:t>
      </w:r>
      <w:r w:rsidR="0012706E" w:rsidRPr="002F44B4">
        <w:rPr>
          <w:color w:val="0E0E0E"/>
          <w:sz w:val="28"/>
          <w:szCs w:val="28"/>
        </w:rPr>
        <w:t>other</w:t>
      </w:r>
      <w:r w:rsidR="0012706E" w:rsidRPr="002F44B4">
        <w:rPr>
          <w:color w:val="0E0E0E"/>
          <w:spacing w:val="-1"/>
          <w:sz w:val="28"/>
          <w:szCs w:val="28"/>
        </w:rPr>
        <w:t xml:space="preserve"> </w:t>
      </w:r>
      <w:r w:rsidR="0012706E" w:rsidRPr="002F44B4">
        <w:rPr>
          <w:color w:val="0E0E0E"/>
          <w:sz w:val="28"/>
          <w:szCs w:val="28"/>
        </w:rPr>
        <w:t>required documents to</w:t>
      </w:r>
      <w:r w:rsidR="0012706E" w:rsidRPr="002F44B4">
        <w:rPr>
          <w:color w:val="0E0E0E"/>
          <w:spacing w:val="-6"/>
          <w:sz w:val="28"/>
          <w:szCs w:val="28"/>
        </w:rPr>
        <w:t xml:space="preserve"> </w:t>
      </w:r>
      <w:r w:rsidR="0012706E" w:rsidRPr="002F44B4">
        <w:rPr>
          <w:color w:val="0E0E0E"/>
          <w:sz w:val="28"/>
          <w:szCs w:val="28"/>
        </w:rPr>
        <w:t>the</w:t>
      </w:r>
      <w:r w:rsidR="0012706E" w:rsidRPr="002F44B4">
        <w:rPr>
          <w:color w:val="0E0E0E"/>
          <w:spacing w:val="-9"/>
          <w:sz w:val="28"/>
          <w:szCs w:val="28"/>
        </w:rPr>
        <w:t xml:space="preserve"> </w:t>
      </w:r>
      <w:r w:rsidR="0012706E" w:rsidRPr="002F44B4">
        <w:rPr>
          <w:color w:val="0E0E0E"/>
          <w:sz w:val="28"/>
          <w:szCs w:val="28"/>
        </w:rPr>
        <w:t>e-mail; (iii)</w:t>
      </w:r>
      <w:r w:rsidR="0012706E" w:rsidRPr="002F44B4">
        <w:rPr>
          <w:color w:val="0E0E0E"/>
          <w:spacing w:val="-5"/>
          <w:sz w:val="28"/>
          <w:szCs w:val="28"/>
        </w:rPr>
        <w:t xml:space="preserve"> </w:t>
      </w:r>
      <w:r w:rsidR="0012706E" w:rsidRPr="002F44B4">
        <w:rPr>
          <w:color w:val="0E0E0E"/>
          <w:sz w:val="28"/>
          <w:szCs w:val="28"/>
        </w:rPr>
        <w:t>stating in the subject line of the e-mail message : "Important information-You are being sued"; and</w:t>
      </w:r>
      <w:r w:rsidR="0012706E" w:rsidRPr="002F44B4">
        <w:rPr>
          <w:color w:val="0E0E0E"/>
          <w:spacing w:val="-4"/>
          <w:sz w:val="28"/>
          <w:szCs w:val="28"/>
        </w:rPr>
        <w:t xml:space="preserve"> </w:t>
      </w:r>
      <w:r w:rsidR="0012706E" w:rsidRPr="002F44B4">
        <w:rPr>
          <w:color w:val="0E0E0E"/>
          <w:sz w:val="28"/>
          <w:szCs w:val="28"/>
        </w:rPr>
        <w:t>(iv) stating in</w:t>
      </w:r>
      <w:r w:rsidR="0012706E" w:rsidRPr="002F44B4">
        <w:rPr>
          <w:color w:val="0E0E0E"/>
          <w:spacing w:val="-9"/>
          <w:sz w:val="28"/>
          <w:szCs w:val="28"/>
        </w:rPr>
        <w:t xml:space="preserve"> </w:t>
      </w:r>
      <w:r w:rsidR="0012706E" w:rsidRPr="002F44B4">
        <w:rPr>
          <w:color w:val="0E0E0E"/>
          <w:sz w:val="28"/>
          <w:szCs w:val="28"/>
        </w:rPr>
        <w:t>the</w:t>
      </w:r>
      <w:r w:rsidR="0012706E" w:rsidRPr="002F44B4">
        <w:rPr>
          <w:color w:val="0E0E0E"/>
          <w:spacing w:val="-5"/>
          <w:sz w:val="28"/>
          <w:szCs w:val="28"/>
        </w:rPr>
        <w:t xml:space="preserve"> </w:t>
      </w:r>
      <w:r w:rsidR="0012706E" w:rsidRPr="002F44B4">
        <w:rPr>
          <w:color w:val="0E0E0E"/>
          <w:sz w:val="28"/>
          <w:szCs w:val="28"/>
        </w:rPr>
        <w:t>body of</w:t>
      </w:r>
      <w:r w:rsidR="0012706E" w:rsidRPr="002F44B4">
        <w:rPr>
          <w:color w:val="0E0E0E"/>
          <w:spacing w:val="-6"/>
          <w:sz w:val="28"/>
          <w:szCs w:val="28"/>
        </w:rPr>
        <w:t xml:space="preserve"> </w:t>
      </w:r>
      <w:r w:rsidR="0012706E" w:rsidRPr="002F44B4">
        <w:rPr>
          <w:color w:val="0E0E0E"/>
          <w:sz w:val="28"/>
          <w:szCs w:val="28"/>
        </w:rPr>
        <w:t>the</w:t>
      </w:r>
      <w:r w:rsidR="0012706E" w:rsidRPr="002F44B4">
        <w:rPr>
          <w:color w:val="0E0E0E"/>
          <w:spacing w:val="-6"/>
          <w:sz w:val="28"/>
          <w:szCs w:val="28"/>
        </w:rPr>
        <w:t xml:space="preserve"> </w:t>
      </w:r>
      <w:r w:rsidR="0012706E" w:rsidRPr="002F44B4">
        <w:rPr>
          <w:color w:val="0E0E0E"/>
          <w:sz w:val="28"/>
          <w:szCs w:val="28"/>
        </w:rPr>
        <w:t>e-mail:</w:t>
      </w:r>
      <w:r w:rsidR="0012706E" w:rsidRPr="002F44B4">
        <w:rPr>
          <w:color w:val="0E0E0E"/>
          <w:spacing w:val="-2"/>
          <w:sz w:val="28"/>
          <w:szCs w:val="28"/>
        </w:rPr>
        <w:t xml:space="preserve"> </w:t>
      </w:r>
      <w:r w:rsidR="0012706E" w:rsidRPr="002F44B4">
        <w:rPr>
          <w:color w:val="0E0E0E"/>
          <w:sz w:val="28"/>
          <w:szCs w:val="28"/>
        </w:rPr>
        <w:t>"You have been sued.</w:t>
      </w:r>
      <w:r w:rsidR="0012706E" w:rsidRPr="002F44B4">
        <w:rPr>
          <w:color w:val="0E0E0E"/>
          <w:spacing w:val="-3"/>
          <w:sz w:val="28"/>
          <w:szCs w:val="28"/>
        </w:rPr>
        <w:t xml:space="preserve"> </w:t>
      </w:r>
      <w:r w:rsidR="0012706E" w:rsidRPr="002F44B4">
        <w:rPr>
          <w:color w:val="0E0E0E"/>
          <w:sz w:val="28"/>
          <w:szCs w:val="28"/>
        </w:rPr>
        <w:t>Read</w:t>
      </w:r>
      <w:r w:rsidR="0012706E" w:rsidRPr="002F44B4">
        <w:rPr>
          <w:color w:val="0E0E0E"/>
          <w:spacing w:val="-3"/>
          <w:sz w:val="28"/>
          <w:szCs w:val="28"/>
        </w:rPr>
        <w:t xml:space="preserve"> </w:t>
      </w:r>
      <w:r w:rsidR="0012706E" w:rsidRPr="002F44B4">
        <w:rPr>
          <w:color w:val="0E0E0E"/>
          <w:sz w:val="28"/>
          <w:szCs w:val="28"/>
        </w:rPr>
        <w:t>all</w:t>
      </w:r>
      <w:r w:rsidR="0012706E" w:rsidRPr="002F44B4">
        <w:rPr>
          <w:color w:val="0E0E0E"/>
          <w:spacing w:val="-4"/>
          <w:sz w:val="28"/>
          <w:szCs w:val="28"/>
        </w:rPr>
        <w:t xml:space="preserve"> </w:t>
      </w:r>
      <w:r w:rsidR="0012706E" w:rsidRPr="002F44B4">
        <w:rPr>
          <w:color w:val="0E0E0E"/>
          <w:sz w:val="28"/>
          <w:szCs w:val="28"/>
        </w:rPr>
        <w:t>of</w:t>
      </w:r>
      <w:r w:rsidR="0012706E" w:rsidRPr="002F44B4">
        <w:rPr>
          <w:color w:val="0E0E0E"/>
          <w:spacing w:val="-1"/>
          <w:sz w:val="28"/>
          <w:szCs w:val="28"/>
        </w:rPr>
        <w:t xml:space="preserve"> </w:t>
      </w:r>
      <w:r w:rsidR="0012706E" w:rsidRPr="002F44B4">
        <w:rPr>
          <w:color w:val="0E0E0E"/>
          <w:sz w:val="28"/>
          <w:szCs w:val="28"/>
        </w:rPr>
        <w:t>the</w:t>
      </w:r>
      <w:r w:rsidR="0012706E" w:rsidRPr="002F44B4">
        <w:rPr>
          <w:color w:val="0E0E0E"/>
          <w:spacing w:val="-6"/>
          <w:sz w:val="28"/>
          <w:szCs w:val="28"/>
        </w:rPr>
        <w:t xml:space="preserve"> </w:t>
      </w:r>
      <w:r w:rsidR="0012706E" w:rsidRPr="002F44B4">
        <w:rPr>
          <w:color w:val="0E0E0E"/>
          <w:sz w:val="28"/>
          <w:szCs w:val="28"/>
        </w:rPr>
        <w:t>documents attached to</w:t>
      </w:r>
      <w:r w:rsidR="0012706E" w:rsidRPr="002F44B4">
        <w:rPr>
          <w:color w:val="0E0E0E"/>
          <w:spacing w:val="-12"/>
          <w:sz w:val="28"/>
          <w:szCs w:val="28"/>
        </w:rPr>
        <w:t xml:space="preserve"> </w:t>
      </w:r>
      <w:r w:rsidR="0012706E" w:rsidRPr="002F44B4">
        <w:rPr>
          <w:color w:val="0E0E0E"/>
          <w:sz w:val="28"/>
          <w:szCs w:val="28"/>
        </w:rPr>
        <w:t>this</w:t>
      </w:r>
      <w:r w:rsidR="0012706E" w:rsidRPr="002F44B4">
        <w:rPr>
          <w:color w:val="0E0E0E"/>
          <w:spacing w:val="-8"/>
          <w:sz w:val="28"/>
          <w:szCs w:val="28"/>
        </w:rPr>
        <w:t xml:space="preserve"> </w:t>
      </w:r>
      <w:r w:rsidR="0012706E" w:rsidRPr="002F44B4">
        <w:rPr>
          <w:color w:val="0E0E0E"/>
          <w:sz w:val="28"/>
          <w:szCs w:val="28"/>
        </w:rPr>
        <w:t>e-mail.</w:t>
      </w:r>
      <w:r w:rsidR="0012706E" w:rsidRPr="002F44B4">
        <w:rPr>
          <w:color w:val="0E0E0E"/>
          <w:spacing w:val="-1"/>
          <w:sz w:val="28"/>
          <w:szCs w:val="28"/>
        </w:rPr>
        <w:t xml:space="preserve"> </w:t>
      </w:r>
      <w:r w:rsidR="0012706E" w:rsidRPr="002F44B4">
        <w:rPr>
          <w:color w:val="0E0E0E"/>
          <w:sz w:val="28"/>
          <w:szCs w:val="28"/>
        </w:rPr>
        <w:t>To</w:t>
      </w:r>
      <w:r w:rsidR="0012706E" w:rsidRPr="002F44B4">
        <w:rPr>
          <w:color w:val="0E0E0E"/>
          <w:spacing w:val="-12"/>
          <w:sz w:val="28"/>
          <w:szCs w:val="28"/>
        </w:rPr>
        <w:t xml:space="preserve"> </w:t>
      </w:r>
      <w:r w:rsidR="0012706E" w:rsidRPr="002F44B4">
        <w:rPr>
          <w:color w:val="0E0E0E"/>
          <w:sz w:val="28"/>
          <w:szCs w:val="28"/>
        </w:rPr>
        <w:t>participate</w:t>
      </w:r>
      <w:r w:rsidR="0012706E" w:rsidRPr="002F44B4">
        <w:rPr>
          <w:color w:val="0E0E0E"/>
          <w:spacing w:val="-2"/>
          <w:sz w:val="28"/>
          <w:szCs w:val="28"/>
        </w:rPr>
        <w:t xml:space="preserve"> </w:t>
      </w:r>
      <w:r w:rsidR="0012706E" w:rsidRPr="002F44B4">
        <w:rPr>
          <w:color w:val="0E0E0E"/>
          <w:sz w:val="28"/>
          <w:szCs w:val="28"/>
        </w:rPr>
        <w:t>in</w:t>
      </w:r>
      <w:r w:rsidR="0012706E" w:rsidRPr="002F44B4">
        <w:rPr>
          <w:color w:val="0E0E0E"/>
          <w:spacing w:val="-9"/>
          <w:sz w:val="28"/>
          <w:szCs w:val="28"/>
        </w:rPr>
        <w:t xml:space="preserve"> </w:t>
      </w:r>
      <w:r w:rsidR="0012706E" w:rsidRPr="002F44B4">
        <w:rPr>
          <w:color w:val="0E0E0E"/>
          <w:sz w:val="28"/>
          <w:szCs w:val="28"/>
        </w:rPr>
        <w:t>the</w:t>
      </w:r>
      <w:r w:rsidR="0012706E" w:rsidRPr="002F44B4">
        <w:rPr>
          <w:color w:val="0E0E0E"/>
          <w:spacing w:val="-11"/>
          <w:sz w:val="28"/>
          <w:szCs w:val="28"/>
        </w:rPr>
        <w:t xml:space="preserve"> </w:t>
      </w:r>
      <w:r w:rsidR="0012706E" w:rsidRPr="002F44B4">
        <w:rPr>
          <w:color w:val="0E0E0E"/>
          <w:sz w:val="28"/>
          <w:szCs w:val="28"/>
        </w:rPr>
        <w:t>case,</w:t>
      </w:r>
      <w:r w:rsidR="0012706E" w:rsidRPr="002F44B4">
        <w:rPr>
          <w:color w:val="0E0E0E"/>
          <w:spacing w:val="-6"/>
          <w:sz w:val="28"/>
          <w:szCs w:val="28"/>
        </w:rPr>
        <w:t xml:space="preserve"> </w:t>
      </w:r>
      <w:r w:rsidR="0012706E" w:rsidRPr="002F44B4">
        <w:rPr>
          <w:color w:val="0E0E0E"/>
          <w:sz w:val="28"/>
          <w:szCs w:val="28"/>
        </w:rPr>
        <w:t>you</w:t>
      </w:r>
      <w:r w:rsidR="0012706E" w:rsidRPr="002F44B4">
        <w:rPr>
          <w:color w:val="0E0E0E"/>
          <w:spacing w:val="-1"/>
          <w:sz w:val="28"/>
          <w:szCs w:val="28"/>
        </w:rPr>
        <w:t xml:space="preserve"> </w:t>
      </w:r>
      <w:r w:rsidR="0012706E" w:rsidRPr="002F44B4">
        <w:rPr>
          <w:color w:val="0E0E0E"/>
          <w:sz w:val="28"/>
          <w:szCs w:val="28"/>
        </w:rPr>
        <w:t>must</w:t>
      </w:r>
      <w:r w:rsidR="0012706E" w:rsidRPr="002F44B4">
        <w:rPr>
          <w:color w:val="0E0E0E"/>
          <w:spacing w:val="-4"/>
          <w:sz w:val="28"/>
          <w:szCs w:val="28"/>
        </w:rPr>
        <w:t xml:space="preserve"> </w:t>
      </w:r>
      <w:r w:rsidR="0012706E" w:rsidRPr="002F44B4">
        <w:rPr>
          <w:color w:val="0E0E0E"/>
          <w:sz w:val="28"/>
          <w:szCs w:val="28"/>
        </w:rPr>
        <w:t>follow</w:t>
      </w:r>
      <w:r w:rsidR="0012706E" w:rsidRPr="002F44B4">
        <w:rPr>
          <w:color w:val="0E0E0E"/>
          <w:spacing w:val="-5"/>
          <w:sz w:val="28"/>
          <w:szCs w:val="28"/>
        </w:rPr>
        <w:t xml:space="preserve"> </w:t>
      </w:r>
      <w:r w:rsidR="0012706E" w:rsidRPr="002F44B4">
        <w:rPr>
          <w:color w:val="0E0E0E"/>
          <w:sz w:val="28"/>
          <w:szCs w:val="28"/>
        </w:rPr>
        <w:t>the</w:t>
      </w:r>
      <w:r w:rsidR="0012706E" w:rsidRPr="002F44B4">
        <w:rPr>
          <w:color w:val="0E0E0E"/>
          <w:spacing w:val="-13"/>
          <w:sz w:val="28"/>
          <w:szCs w:val="28"/>
        </w:rPr>
        <w:t xml:space="preserve"> </w:t>
      </w:r>
      <w:r w:rsidR="0012706E" w:rsidRPr="002F44B4">
        <w:rPr>
          <w:color w:val="0E0E0E"/>
          <w:sz w:val="28"/>
          <w:szCs w:val="28"/>
        </w:rPr>
        <w:t>instructions</w:t>
      </w:r>
      <w:r w:rsidR="0012706E" w:rsidRPr="002F44B4">
        <w:rPr>
          <w:color w:val="0E0E0E"/>
          <w:spacing w:val="-1"/>
          <w:sz w:val="28"/>
          <w:szCs w:val="28"/>
        </w:rPr>
        <w:t xml:space="preserve"> </w:t>
      </w:r>
      <w:r w:rsidR="0012706E" w:rsidRPr="002F44B4">
        <w:rPr>
          <w:color w:val="0E0E0E"/>
          <w:sz w:val="28"/>
          <w:szCs w:val="28"/>
        </w:rPr>
        <w:t>listed</w:t>
      </w:r>
      <w:r w:rsidR="0012706E" w:rsidRPr="002F44B4">
        <w:rPr>
          <w:color w:val="0E0E0E"/>
          <w:spacing w:val="-2"/>
          <w:sz w:val="28"/>
          <w:szCs w:val="28"/>
        </w:rPr>
        <w:t xml:space="preserve"> </w:t>
      </w:r>
      <w:r w:rsidR="0012706E" w:rsidRPr="002F44B4">
        <w:rPr>
          <w:color w:val="0E0E0E"/>
          <w:sz w:val="28"/>
          <w:szCs w:val="28"/>
        </w:rPr>
        <w:t>in the attached summons. If you do</w:t>
      </w:r>
      <w:r w:rsidR="0012706E" w:rsidRPr="002F44B4">
        <w:rPr>
          <w:color w:val="0E0E0E"/>
          <w:spacing w:val="-4"/>
          <w:sz w:val="28"/>
          <w:szCs w:val="28"/>
        </w:rPr>
        <w:t xml:space="preserve"> </w:t>
      </w:r>
      <w:r w:rsidR="0012706E" w:rsidRPr="002F44B4">
        <w:rPr>
          <w:color w:val="0E0E0E"/>
          <w:sz w:val="28"/>
          <w:szCs w:val="28"/>
        </w:rPr>
        <w:t>not, the court may decide the case without hearing from you, and you could lose the case."</w:t>
      </w:r>
    </w:p>
    <w:p w14:paraId="6E1C957C" w14:textId="77777777" w:rsidR="0012706E" w:rsidRPr="002F44B4" w:rsidRDefault="0012706E" w:rsidP="00691587">
      <w:pPr>
        <w:spacing w:line="360" w:lineRule="auto"/>
        <w:ind w:firstLine="720"/>
        <w:rPr>
          <w:sz w:val="28"/>
          <w:szCs w:val="28"/>
        </w:rPr>
      </w:pPr>
      <w:r w:rsidRPr="002F44B4">
        <w:rPr>
          <w:sz w:val="28"/>
          <w:szCs w:val="28"/>
        </w:rPr>
        <w:t>No such safeguards are in the proposed language of the rule change.</w:t>
      </w:r>
    </w:p>
    <w:p w14:paraId="599FB14D" w14:textId="5AC2E10C" w:rsidR="0012706E" w:rsidRPr="002F44B4" w:rsidRDefault="0012706E" w:rsidP="00691587">
      <w:pPr>
        <w:spacing w:line="360" w:lineRule="auto"/>
        <w:ind w:firstLine="720"/>
        <w:rPr>
          <w:sz w:val="28"/>
          <w:szCs w:val="28"/>
        </w:rPr>
      </w:pPr>
      <w:r>
        <w:rPr>
          <w:sz w:val="28"/>
          <w:szCs w:val="28"/>
        </w:rPr>
        <w:t xml:space="preserve">As </w:t>
      </w:r>
      <w:r w:rsidR="00050E14">
        <w:rPr>
          <w:sz w:val="28"/>
          <w:szCs w:val="28"/>
        </w:rPr>
        <w:t>stated, foregoing</w:t>
      </w:r>
      <w:r w:rsidRPr="002F44B4">
        <w:rPr>
          <w:sz w:val="28"/>
          <w:szCs w:val="28"/>
        </w:rPr>
        <w:t xml:space="preserve">, there is an issue of the recipient and actual receipt of the e-mail. Questions arise as to if the email was received by the correct person or by a person at all; if the email was delivered to the correct person, versus another individual with access to that account (i.e.: multiple family members or co-workers using the same email address); if the email was considered a “real” communication versus discarded/ignored as spam by automated or user-generated filters.  Our </w:t>
      </w:r>
      <w:r w:rsidRPr="002F44B4">
        <w:rPr>
          <w:sz w:val="28"/>
          <w:szCs w:val="28"/>
        </w:rPr>
        <w:lastRenderedPageBreak/>
        <w:t>sister association in Florida noted that “…email is a “store and forward” “best efforts” communication system. A very large percentage of all email is considered spam and not delivered at all”.  We agree.</w:t>
      </w:r>
    </w:p>
    <w:p w14:paraId="5E61CF88" w14:textId="4E4D42EA" w:rsidR="0012706E" w:rsidRPr="002F44B4" w:rsidRDefault="00050E14" w:rsidP="00691587">
      <w:pPr>
        <w:spacing w:line="360" w:lineRule="auto"/>
        <w:ind w:firstLine="720"/>
        <w:rPr>
          <w:sz w:val="28"/>
          <w:szCs w:val="28"/>
        </w:rPr>
      </w:pPr>
      <w:r>
        <w:rPr>
          <w:sz w:val="28"/>
          <w:szCs w:val="28"/>
        </w:rPr>
        <w:t>As</w:t>
      </w:r>
      <w:r w:rsidR="00544AF7">
        <w:rPr>
          <w:sz w:val="28"/>
          <w:szCs w:val="28"/>
        </w:rPr>
        <w:t xml:space="preserve"> the recipient has not previously consented to receiving service via email, </w:t>
      </w:r>
      <w:r w:rsidR="0012706E">
        <w:rPr>
          <w:sz w:val="28"/>
          <w:szCs w:val="28"/>
        </w:rPr>
        <w:t>service by email</w:t>
      </w:r>
      <w:r w:rsidR="0012706E" w:rsidRPr="002F44B4">
        <w:rPr>
          <w:sz w:val="28"/>
          <w:szCs w:val="28"/>
        </w:rPr>
        <w:t xml:space="preserve"> should have stringent technical requirements to </w:t>
      </w:r>
      <w:r w:rsidR="0012706E">
        <w:rPr>
          <w:sz w:val="28"/>
          <w:szCs w:val="28"/>
        </w:rPr>
        <w:t xml:space="preserve">follow in </w:t>
      </w:r>
      <w:r w:rsidR="0012706E" w:rsidRPr="002F44B4">
        <w:rPr>
          <w:sz w:val="28"/>
          <w:szCs w:val="28"/>
        </w:rPr>
        <w:t>gather</w:t>
      </w:r>
      <w:r w:rsidR="0012706E">
        <w:rPr>
          <w:sz w:val="28"/>
          <w:szCs w:val="28"/>
        </w:rPr>
        <w:t>ing</w:t>
      </w:r>
      <w:r w:rsidR="0012706E" w:rsidRPr="002F44B4">
        <w:rPr>
          <w:sz w:val="28"/>
          <w:szCs w:val="28"/>
        </w:rPr>
        <w:t xml:space="preserve"> information regarding when, where, and how the electronic documents were received, viewed, and accepted, including: </w:t>
      </w:r>
    </w:p>
    <w:p w14:paraId="3B809E06" w14:textId="77777777" w:rsidR="00544AF7" w:rsidRDefault="0012706E" w:rsidP="00544AF7">
      <w:pPr>
        <w:pStyle w:val="ListParagraph"/>
        <w:numPr>
          <w:ilvl w:val="0"/>
          <w:numId w:val="20"/>
        </w:numPr>
        <w:spacing w:line="360" w:lineRule="auto"/>
        <w:rPr>
          <w:sz w:val="28"/>
          <w:szCs w:val="28"/>
        </w:rPr>
      </w:pPr>
      <w:r w:rsidRPr="00544AF7">
        <w:rPr>
          <w:sz w:val="28"/>
          <w:szCs w:val="28"/>
        </w:rPr>
        <w:t>Date and time the recipient</w:t>
      </w:r>
      <w:r w:rsidR="00544AF7" w:rsidRPr="00544AF7">
        <w:rPr>
          <w:sz w:val="28"/>
          <w:szCs w:val="28"/>
        </w:rPr>
        <w:t xml:space="preserve"> </w:t>
      </w:r>
      <w:r w:rsidR="00544AF7">
        <w:rPr>
          <w:sz w:val="28"/>
          <w:szCs w:val="28"/>
        </w:rPr>
        <w:t>l</w:t>
      </w:r>
      <w:r w:rsidRPr="00544AF7">
        <w:rPr>
          <w:sz w:val="28"/>
          <w:szCs w:val="28"/>
        </w:rPr>
        <w:t>ogged into the electronic service platform</w:t>
      </w:r>
      <w:r w:rsidR="00544AF7">
        <w:rPr>
          <w:sz w:val="28"/>
          <w:szCs w:val="28"/>
        </w:rPr>
        <w:t>;</w:t>
      </w:r>
    </w:p>
    <w:p w14:paraId="17F7C28D" w14:textId="77777777" w:rsidR="00544AF7" w:rsidRDefault="00544AF7" w:rsidP="00544AF7">
      <w:pPr>
        <w:pStyle w:val="ListParagraph"/>
        <w:numPr>
          <w:ilvl w:val="0"/>
          <w:numId w:val="20"/>
        </w:numPr>
        <w:spacing w:line="360" w:lineRule="auto"/>
        <w:rPr>
          <w:sz w:val="28"/>
          <w:szCs w:val="28"/>
        </w:rPr>
      </w:pPr>
      <w:r w:rsidRPr="00544AF7">
        <w:rPr>
          <w:sz w:val="28"/>
          <w:szCs w:val="28"/>
        </w:rPr>
        <w:t>Date and time the recipient v</w:t>
      </w:r>
      <w:r w:rsidR="0012706E" w:rsidRPr="00544AF7">
        <w:rPr>
          <w:sz w:val="28"/>
          <w:szCs w:val="28"/>
        </w:rPr>
        <w:t>iewed or downloaded the documents</w:t>
      </w:r>
      <w:r w:rsidRPr="00544AF7">
        <w:rPr>
          <w:sz w:val="28"/>
          <w:szCs w:val="28"/>
        </w:rPr>
        <w:t>;</w:t>
      </w:r>
    </w:p>
    <w:p w14:paraId="32FC5644" w14:textId="7776BA69" w:rsidR="00544AF7" w:rsidRDefault="0012706E" w:rsidP="00544AF7">
      <w:pPr>
        <w:pStyle w:val="ListParagraph"/>
        <w:numPr>
          <w:ilvl w:val="0"/>
          <w:numId w:val="20"/>
        </w:numPr>
        <w:spacing w:line="360" w:lineRule="auto"/>
        <w:rPr>
          <w:sz w:val="28"/>
          <w:szCs w:val="28"/>
        </w:rPr>
      </w:pPr>
      <w:r w:rsidRPr="00544AF7">
        <w:rPr>
          <w:sz w:val="28"/>
          <w:szCs w:val="28"/>
        </w:rPr>
        <w:t xml:space="preserve">Date and time the actual documents </w:t>
      </w:r>
      <w:r w:rsidR="00544AF7">
        <w:rPr>
          <w:sz w:val="28"/>
          <w:szCs w:val="28"/>
        </w:rPr>
        <w:t xml:space="preserve">were </w:t>
      </w:r>
      <w:r w:rsidRPr="00544AF7">
        <w:rPr>
          <w:sz w:val="28"/>
          <w:szCs w:val="28"/>
        </w:rPr>
        <w:t>delivered</w:t>
      </w:r>
      <w:r w:rsidR="00544AF7">
        <w:rPr>
          <w:sz w:val="28"/>
          <w:szCs w:val="28"/>
        </w:rPr>
        <w:t>;</w:t>
      </w:r>
    </w:p>
    <w:p w14:paraId="6265D3AF" w14:textId="20DA462F" w:rsidR="00544AF7" w:rsidRDefault="0012706E" w:rsidP="00544AF7">
      <w:pPr>
        <w:pStyle w:val="ListParagraph"/>
        <w:numPr>
          <w:ilvl w:val="0"/>
          <w:numId w:val="20"/>
        </w:numPr>
        <w:spacing w:line="360" w:lineRule="auto"/>
        <w:rPr>
          <w:sz w:val="28"/>
          <w:szCs w:val="28"/>
        </w:rPr>
      </w:pPr>
      <w:r w:rsidRPr="00544AF7">
        <w:rPr>
          <w:sz w:val="28"/>
          <w:szCs w:val="28"/>
        </w:rPr>
        <w:t>The IP address of the person being served</w:t>
      </w:r>
      <w:r w:rsidR="00544AF7">
        <w:rPr>
          <w:sz w:val="28"/>
          <w:szCs w:val="28"/>
        </w:rPr>
        <w:t>;</w:t>
      </w:r>
    </w:p>
    <w:p w14:paraId="7E520BE2" w14:textId="70C32C3F" w:rsidR="0012706E" w:rsidRPr="00544AF7" w:rsidRDefault="0012706E" w:rsidP="00544AF7">
      <w:pPr>
        <w:pStyle w:val="ListParagraph"/>
        <w:numPr>
          <w:ilvl w:val="0"/>
          <w:numId w:val="20"/>
        </w:numPr>
        <w:spacing w:line="360" w:lineRule="auto"/>
        <w:rPr>
          <w:sz w:val="28"/>
          <w:szCs w:val="28"/>
        </w:rPr>
      </w:pPr>
      <w:r w:rsidRPr="00544AF7">
        <w:rPr>
          <w:sz w:val="28"/>
          <w:szCs w:val="28"/>
        </w:rPr>
        <w:t>Verification of the identity of the person being served</w:t>
      </w:r>
      <w:r w:rsidR="00544AF7">
        <w:rPr>
          <w:sz w:val="28"/>
          <w:szCs w:val="28"/>
        </w:rPr>
        <w:t>.</w:t>
      </w:r>
    </w:p>
    <w:p w14:paraId="3AD4583B" w14:textId="77777777" w:rsidR="00050E14" w:rsidRDefault="0012706E" w:rsidP="00050E14">
      <w:pPr>
        <w:spacing w:line="360" w:lineRule="auto"/>
        <w:ind w:firstLine="720"/>
        <w:rPr>
          <w:sz w:val="28"/>
          <w:szCs w:val="28"/>
        </w:rPr>
      </w:pPr>
      <w:r w:rsidRPr="002F44B4">
        <w:rPr>
          <w:sz w:val="28"/>
          <w:szCs w:val="28"/>
        </w:rPr>
        <w:t>Unlike situations where a party consents to service electronically, this proposed language has no such requirements or safeguards</w:t>
      </w:r>
      <w:r w:rsidR="00050E14">
        <w:rPr>
          <w:sz w:val="28"/>
          <w:szCs w:val="28"/>
        </w:rPr>
        <w:t xml:space="preserve"> to determine </w:t>
      </w:r>
      <w:r w:rsidR="00050E14" w:rsidRPr="002F44B4">
        <w:rPr>
          <w:sz w:val="28"/>
          <w:szCs w:val="28"/>
        </w:rPr>
        <w:t>when, where, and how the electronic documents were received, viewed, and accepted</w:t>
      </w:r>
      <w:r w:rsidRPr="002F44B4">
        <w:rPr>
          <w:sz w:val="28"/>
          <w:szCs w:val="28"/>
        </w:rPr>
        <w:t>.</w:t>
      </w:r>
      <w:r w:rsidR="00050E14" w:rsidRPr="00050E14">
        <w:rPr>
          <w:sz w:val="28"/>
          <w:szCs w:val="28"/>
        </w:rPr>
        <w:t xml:space="preserve"> </w:t>
      </w:r>
    </w:p>
    <w:p w14:paraId="33B97CB3" w14:textId="57E6583F" w:rsidR="00050E14" w:rsidRDefault="00050E14" w:rsidP="00050E14">
      <w:pPr>
        <w:spacing w:line="360" w:lineRule="auto"/>
        <w:ind w:firstLine="720"/>
        <w:rPr>
          <w:sz w:val="28"/>
          <w:szCs w:val="28"/>
        </w:rPr>
      </w:pPr>
      <w:r>
        <w:rPr>
          <w:sz w:val="28"/>
          <w:szCs w:val="28"/>
        </w:rPr>
        <w:t>Service by email, like service by publication, is an unreliable means to positively identify that the defendant for whom the service is intended has actually received it.</w:t>
      </w:r>
    </w:p>
    <w:p w14:paraId="63C5604A" w14:textId="77777777" w:rsidR="0012706E" w:rsidRDefault="0012706E" w:rsidP="00691587">
      <w:pPr>
        <w:spacing w:line="360" w:lineRule="auto"/>
        <w:ind w:firstLine="720"/>
        <w:rPr>
          <w:sz w:val="28"/>
          <w:szCs w:val="28"/>
        </w:rPr>
      </w:pPr>
      <w:r w:rsidRPr="002F44B4">
        <w:rPr>
          <w:sz w:val="28"/>
          <w:szCs w:val="28"/>
        </w:rPr>
        <w:t>The Arizona Process Servers Association accordingly objects to this rule change proposal for the several reasons stated above.</w:t>
      </w:r>
    </w:p>
    <w:p w14:paraId="260BEEEB" w14:textId="77777777" w:rsidR="0012706E" w:rsidRPr="002F44B4" w:rsidRDefault="0012706E" w:rsidP="001452DB">
      <w:pPr>
        <w:overflowPunct w:val="0"/>
        <w:autoSpaceDE w:val="0"/>
        <w:autoSpaceDN w:val="0"/>
        <w:adjustRightInd w:val="0"/>
        <w:spacing w:line="360" w:lineRule="auto"/>
        <w:textAlignment w:val="baseline"/>
        <w:rPr>
          <w:sz w:val="28"/>
          <w:szCs w:val="28"/>
        </w:rPr>
      </w:pPr>
      <w:r w:rsidRPr="002F44B4">
        <w:rPr>
          <w:sz w:val="28"/>
          <w:szCs w:val="28"/>
        </w:rPr>
        <w:t>Respectfully submitted,</w:t>
      </w:r>
    </w:p>
    <w:p w14:paraId="32D986C3" w14:textId="77777777" w:rsidR="0012706E" w:rsidRDefault="0012706E" w:rsidP="00034DE2">
      <w:pPr>
        <w:overflowPunct w:val="0"/>
        <w:autoSpaceDE w:val="0"/>
        <w:autoSpaceDN w:val="0"/>
        <w:adjustRightInd w:val="0"/>
        <w:spacing w:line="240" w:lineRule="auto"/>
        <w:textAlignment w:val="baseline"/>
        <w:rPr>
          <w:b/>
          <w:sz w:val="28"/>
          <w:szCs w:val="28"/>
        </w:rPr>
      </w:pPr>
      <w:r w:rsidRPr="002F44B4">
        <w:rPr>
          <w:b/>
          <w:sz w:val="28"/>
          <w:szCs w:val="28"/>
        </w:rPr>
        <w:t>Arizona Process Servers Association</w:t>
      </w:r>
    </w:p>
    <w:p w14:paraId="5E13B510" w14:textId="77777777" w:rsidR="0012706E" w:rsidRDefault="0012706E" w:rsidP="00034DE2">
      <w:pPr>
        <w:overflowPunct w:val="0"/>
        <w:autoSpaceDE w:val="0"/>
        <w:autoSpaceDN w:val="0"/>
        <w:adjustRightInd w:val="0"/>
        <w:spacing w:line="240" w:lineRule="auto"/>
        <w:ind w:firstLine="720"/>
        <w:textAlignment w:val="baseline"/>
        <w:rPr>
          <w:b/>
          <w:sz w:val="28"/>
          <w:szCs w:val="28"/>
        </w:rPr>
      </w:pPr>
      <w:r w:rsidRPr="002F44B4">
        <w:rPr>
          <w:b/>
          <w:sz w:val="28"/>
          <w:szCs w:val="28"/>
        </w:rPr>
        <w:t>/S/</w:t>
      </w:r>
    </w:p>
    <w:p w14:paraId="351618EE" w14:textId="77777777" w:rsidR="0012706E" w:rsidRPr="002F44B4" w:rsidRDefault="0012706E" w:rsidP="00544AF7">
      <w:pPr>
        <w:overflowPunct w:val="0"/>
        <w:autoSpaceDE w:val="0"/>
        <w:autoSpaceDN w:val="0"/>
        <w:adjustRightInd w:val="0"/>
        <w:spacing w:line="240" w:lineRule="auto"/>
        <w:textAlignment w:val="baseline"/>
        <w:rPr>
          <w:b/>
          <w:sz w:val="28"/>
          <w:szCs w:val="28"/>
        </w:rPr>
      </w:pPr>
      <w:r w:rsidRPr="002F44B4">
        <w:rPr>
          <w:b/>
          <w:sz w:val="28"/>
          <w:szCs w:val="28"/>
        </w:rPr>
        <w:t>Barry R. Goldman</w:t>
      </w:r>
    </w:p>
    <w:p w14:paraId="2BC72E71" w14:textId="45D7C247" w:rsidR="0012706E" w:rsidRDefault="0012706E" w:rsidP="00544AF7">
      <w:pPr>
        <w:overflowPunct w:val="0"/>
        <w:autoSpaceDE w:val="0"/>
        <w:autoSpaceDN w:val="0"/>
        <w:adjustRightInd w:val="0"/>
        <w:spacing w:line="240" w:lineRule="auto"/>
        <w:textAlignment w:val="baseline"/>
        <w:rPr>
          <w:bCs/>
          <w:sz w:val="28"/>
          <w:szCs w:val="28"/>
        </w:rPr>
      </w:pPr>
      <w:r w:rsidRPr="002F44B4">
        <w:rPr>
          <w:bCs/>
          <w:sz w:val="28"/>
          <w:szCs w:val="28"/>
        </w:rPr>
        <w:t>Administrator, Secretary/Treasurer</w:t>
      </w:r>
      <w:r w:rsidR="001452DB">
        <w:rPr>
          <w:bCs/>
          <w:sz w:val="28"/>
          <w:szCs w:val="28"/>
        </w:rPr>
        <w:t xml:space="preserve"> </w:t>
      </w:r>
    </w:p>
    <w:p w14:paraId="1A583890"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lastRenderedPageBreak/>
        <w:t xml:space="preserve">Larry J. Ratcliff, President </w:t>
      </w:r>
    </w:p>
    <w:p w14:paraId="457E9B98" w14:textId="77777777" w:rsidR="0012706E"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John Osborn, Vice President </w:t>
      </w:r>
    </w:p>
    <w:p w14:paraId="2523E14D"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Barry R. Goldman, Administrator</w:t>
      </w:r>
      <w:r>
        <w:rPr>
          <w:color w:val="000000"/>
          <w:sz w:val="28"/>
          <w:szCs w:val="28"/>
        </w:rPr>
        <w:t>,</w:t>
      </w:r>
      <w:r w:rsidRPr="002F44B4">
        <w:rPr>
          <w:color w:val="000000"/>
          <w:sz w:val="28"/>
          <w:szCs w:val="28"/>
        </w:rPr>
        <w:t xml:space="preserve"> Secretary/Treasurer</w:t>
      </w:r>
    </w:p>
    <w:p w14:paraId="6C86FA99"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Ronald R. Ezell, </w:t>
      </w:r>
      <w:proofErr w:type="spellStart"/>
      <w:r w:rsidRPr="002F44B4">
        <w:rPr>
          <w:color w:val="000000"/>
          <w:sz w:val="28"/>
          <w:szCs w:val="28"/>
        </w:rPr>
        <w:t>Immed</w:t>
      </w:r>
      <w:proofErr w:type="spellEnd"/>
      <w:r w:rsidRPr="002F44B4">
        <w:rPr>
          <w:color w:val="000000"/>
          <w:sz w:val="28"/>
          <w:szCs w:val="28"/>
        </w:rPr>
        <w:t xml:space="preserve">. Past Pres. </w:t>
      </w:r>
    </w:p>
    <w:p w14:paraId="11489F32"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Susie Baldwin (Director #1) </w:t>
      </w:r>
    </w:p>
    <w:p w14:paraId="2A0FEBF3"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Kay Dean (Director #2) </w:t>
      </w:r>
    </w:p>
    <w:p w14:paraId="16E804A5" w14:textId="5E06ECE1" w:rsidR="009D2A54"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Gregory Scott Hardy (Director #3) </w:t>
      </w:r>
    </w:p>
    <w:p w14:paraId="666CBA52"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Nathan Botsch (Director #4) </w:t>
      </w:r>
    </w:p>
    <w:p w14:paraId="7434CB48"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Matthew Uthe (Director #5) </w:t>
      </w:r>
    </w:p>
    <w:p w14:paraId="28676DC9" w14:textId="77777777" w:rsidR="0012706E" w:rsidRPr="002F44B4" w:rsidRDefault="0012706E" w:rsidP="00544AF7">
      <w:pPr>
        <w:overflowPunct w:val="0"/>
        <w:autoSpaceDE w:val="0"/>
        <w:autoSpaceDN w:val="0"/>
        <w:adjustRightInd w:val="0"/>
        <w:spacing w:line="240" w:lineRule="auto"/>
        <w:textAlignment w:val="baseline"/>
        <w:rPr>
          <w:color w:val="000000"/>
          <w:sz w:val="28"/>
          <w:szCs w:val="28"/>
        </w:rPr>
      </w:pPr>
      <w:r w:rsidRPr="002F44B4">
        <w:rPr>
          <w:color w:val="000000"/>
          <w:sz w:val="28"/>
          <w:szCs w:val="28"/>
        </w:rPr>
        <w:t xml:space="preserve">Tracy Arnold (Director #6) </w:t>
      </w:r>
    </w:p>
    <w:p w14:paraId="22EB8FC3" w14:textId="77777777" w:rsidR="0012706E" w:rsidRPr="002F44B4" w:rsidRDefault="0012706E" w:rsidP="00691587">
      <w:pPr>
        <w:spacing w:after="240" w:line="276" w:lineRule="auto"/>
        <w:rPr>
          <w:sz w:val="28"/>
          <w:szCs w:val="28"/>
        </w:rPr>
      </w:pPr>
    </w:p>
    <w:p w14:paraId="41F6FA37" w14:textId="77777777" w:rsidR="0012706E" w:rsidRPr="002F44B4" w:rsidRDefault="0012706E" w:rsidP="00691587">
      <w:pPr>
        <w:spacing w:after="240" w:line="276" w:lineRule="auto"/>
        <w:rPr>
          <w:sz w:val="28"/>
          <w:szCs w:val="28"/>
        </w:rPr>
      </w:pPr>
    </w:p>
    <w:p w14:paraId="60F55CF3" w14:textId="4302E4B3" w:rsidR="005E6E04" w:rsidRDefault="005E6E04" w:rsidP="00691587">
      <w:pPr>
        <w:spacing w:line="360" w:lineRule="auto"/>
        <w:ind w:right="90"/>
        <w:rPr>
          <w:color w:val="000000"/>
          <w:sz w:val="28"/>
          <w:szCs w:val="28"/>
        </w:rPr>
      </w:pPr>
    </w:p>
    <w:p w14:paraId="58F94CBB" w14:textId="2576FDDA" w:rsidR="009830BC" w:rsidRPr="009830BC" w:rsidRDefault="00E411A6" w:rsidP="00075B20">
      <w:pPr>
        <w:keepNext/>
        <w:autoSpaceDE w:val="0"/>
        <w:autoSpaceDN w:val="0"/>
        <w:adjustRightInd w:val="0"/>
        <w:spacing w:line="360" w:lineRule="auto"/>
        <w:ind w:right="86"/>
        <w:rPr>
          <w:b/>
          <w:sz w:val="28"/>
          <w:szCs w:val="28"/>
        </w:rPr>
      </w:pPr>
      <w:r>
        <w:rPr>
          <w:b/>
          <w:sz w:val="28"/>
          <w:szCs w:val="28"/>
        </w:rPr>
        <w:lastRenderedPageBreak/>
        <w:t>DISCUSSION</w:t>
      </w:r>
    </w:p>
    <w:p w14:paraId="681882D3" w14:textId="31D3AE88" w:rsidR="005E6E04" w:rsidRDefault="005E6E04" w:rsidP="00075B20">
      <w:pPr>
        <w:pStyle w:val="ListParagraph"/>
        <w:keepNext/>
        <w:keepLines/>
        <w:widowControl w:val="0"/>
        <w:numPr>
          <w:ilvl w:val="0"/>
          <w:numId w:val="17"/>
        </w:numPr>
        <w:spacing w:after="240" w:line="360" w:lineRule="auto"/>
        <w:ind w:right="90"/>
        <w:rPr>
          <w:b/>
          <w:color w:val="000000" w:themeColor="text1"/>
          <w:sz w:val="28"/>
          <w:szCs w:val="28"/>
        </w:rPr>
      </w:pPr>
      <w:r w:rsidRPr="005E6E04">
        <w:rPr>
          <w:b/>
          <w:color w:val="000000" w:themeColor="text1"/>
          <w:sz w:val="28"/>
          <w:szCs w:val="28"/>
        </w:rPr>
        <w:t>Reason(s) for submission</w:t>
      </w:r>
    </w:p>
    <w:p w14:paraId="6DBD6ADE" w14:textId="4267B451" w:rsidR="00075B20" w:rsidRDefault="005A3B92" w:rsidP="00075B20">
      <w:pPr>
        <w:pStyle w:val="ListParagraph"/>
        <w:keepNext/>
        <w:keepLines/>
        <w:widowControl w:val="0"/>
        <w:numPr>
          <w:ilvl w:val="0"/>
          <w:numId w:val="18"/>
        </w:numPr>
        <w:spacing w:after="240" w:line="360" w:lineRule="auto"/>
        <w:ind w:right="90"/>
        <w:rPr>
          <w:bCs/>
          <w:color w:val="000000" w:themeColor="text1"/>
          <w:sz w:val="28"/>
          <w:szCs w:val="28"/>
        </w:rPr>
      </w:pPr>
      <w:r w:rsidRPr="00075B20">
        <w:rPr>
          <w:bCs/>
          <w:color w:val="000000" w:themeColor="text1"/>
          <w:sz w:val="28"/>
          <w:szCs w:val="28"/>
        </w:rPr>
        <w:t>Currently, under the Rules of Civil Procedure for the Superior Courts of Arizona (ARCP) Rule 4.1(d)(2)</w:t>
      </w:r>
      <w:r w:rsidR="00973306">
        <w:rPr>
          <w:bCs/>
          <w:color w:val="000000" w:themeColor="text1"/>
          <w:sz w:val="28"/>
          <w:szCs w:val="28"/>
        </w:rPr>
        <w:t xml:space="preserve"> and RFLP Rule 41(c)(2)</w:t>
      </w:r>
      <w:r w:rsidRPr="00075B20">
        <w:rPr>
          <w:bCs/>
          <w:color w:val="000000" w:themeColor="text1"/>
          <w:sz w:val="28"/>
          <w:szCs w:val="28"/>
        </w:rPr>
        <w:t>, service of a summons may be accomplished by “leaving a copy of each at that individual's dwelling or usual place of abode with someone of suitable age and discretion who resides there…”.</w:t>
      </w:r>
    </w:p>
    <w:p w14:paraId="3EC69242" w14:textId="6D79109B" w:rsidR="005A3B92" w:rsidRDefault="00075B20" w:rsidP="00075B20">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t>M</w:t>
      </w:r>
      <w:r w:rsidR="005A3B92" w:rsidRPr="00075B20">
        <w:rPr>
          <w:bCs/>
          <w:color w:val="000000" w:themeColor="text1"/>
          <w:sz w:val="28"/>
          <w:szCs w:val="28"/>
        </w:rPr>
        <w:t>any of our members, as well as non-member process servers</w:t>
      </w:r>
      <w:r>
        <w:rPr>
          <w:bCs/>
          <w:color w:val="000000" w:themeColor="text1"/>
          <w:sz w:val="28"/>
          <w:szCs w:val="28"/>
        </w:rPr>
        <w:t xml:space="preserve">, in attempting to make personal service on an adult occupant of the abode have </w:t>
      </w:r>
      <w:r w:rsidR="005A3B92" w:rsidRPr="00075B20">
        <w:rPr>
          <w:bCs/>
          <w:color w:val="000000" w:themeColor="text1"/>
          <w:sz w:val="28"/>
          <w:szCs w:val="28"/>
        </w:rPr>
        <w:t>encountered situations where a minor child under the age of 16 years is present and “in charge” of the residence while his/her parent or legal guardian are away.  Some of these encounters have been with minors as young as</w:t>
      </w:r>
      <w:r w:rsidR="00BC1097">
        <w:rPr>
          <w:bCs/>
          <w:color w:val="000000" w:themeColor="text1"/>
          <w:sz w:val="28"/>
          <w:szCs w:val="28"/>
        </w:rPr>
        <w:t xml:space="preserve"> six (6) or</w:t>
      </w:r>
      <w:r w:rsidR="005A3B92" w:rsidRPr="00075B20">
        <w:rPr>
          <w:bCs/>
          <w:color w:val="000000" w:themeColor="text1"/>
          <w:sz w:val="28"/>
          <w:szCs w:val="28"/>
        </w:rPr>
        <w:t xml:space="preserve"> seven (7) years of age.</w:t>
      </w:r>
    </w:p>
    <w:p w14:paraId="49C743B7" w14:textId="546CA6B2" w:rsidR="00075B20" w:rsidRDefault="006F474E" w:rsidP="00075B20">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t>Under the auspices of</w:t>
      </w:r>
      <w:r w:rsidR="00BC1097">
        <w:rPr>
          <w:bCs/>
          <w:color w:val="000000" w:themeColor="text1"/>
          <w:sz w:val="28"/>
          <w:szCs w:val="28"/>
        </w:rPr>
        <w:t xml:space="preserve"> </w:t>
      </w:r>
      <w:r>
        <w:rPr>
          <w:bCs/>
          <w:color w:val="000000" w:themeColor="text1"/>
          <w:sz w:val="28"/>
          <w:szCs w:val="28"/>
        </w:rPr>
        <w:t>“…</w:t>
      </w:r>
      <w:r w:rsidRPr="00075B20">
        <w:rPr>
          <w:bCs/>
          <w:color w:val="000000" w:themeColor="text1"/>
          <w:sz w:val="28"/>
          <w:szCs w:val="28"/>
        </w:rPr>
        <w:t>someone of suitable age and discretion</w:t>
      </w:r>
      <w:r>
        <w:rPr>
          <w:bCs/>
          <w:color w:val="000000" w:themeColor="text1"/>
          <w:sz w:val="28"/>
          <w:szCs w:val="28"/>
        </w:rPr>
        <w:t xml:space="preserve">…”, we find that some attorneys and process servers claim service of process is “justified” to these minors because they are left home alone or with their younger siblings by their parent, so these minors must </w:t>
      </w:r>
      <w:r w:rsidR="00FF0C85">
        <w:rPr>
          <w:bCs/>
          <w:color w:val="000000" w:themeColor="text1"/>
          <w:sz w:val="28"/>
          <w:szCs w:val="28"/>
        </w:rPr>
        <w:t>be of suitable age and have enough discretion to bear the responsibility of being in charge of the household.</w:t>
      </w:r>
      <w:r w:rsidR="00BC1097">
        <w:rPr>
          <w:bCs/>
          <w:color w:val="000000" w:themeColor="text1"/>
          <w:sz w:val="28"/>
          <w:szCs w:val="28"/>
        </w:rPr>
        <w:t xml:space="preserve">  We disagree.</w:t>
      </w:r>
    </w:p>
    <w:p w14:paraId="5A51F13D" w14:textId="3FBC0A0F" w:rsidR="000F1AF1" w:rsidRDefault="00FF0C85" w:rsidP="00936D47">
      <w:pPr>
        <w:pStyle w:val="ListParagraph"/>
        <w:keepNext/>
        <w:keepLines/>
        <w:widowControl w:val="0"/>
        <w:numPr>
          <w:ilvl w:val="0"/>
          <w:numId w:val="18"/>
        </w:numPr>
        <w:spacing w:after="240" w:line="360" w:lineRule="auto"/>
        <w:ind w:right="90"/>
        <w:rPr>
          <w:bCs/>
          <w:color w:val="000000" w:themeColor="text1"/>
          <w:sz w:val="28"/>
          <w:szCs w:val="28"/>
        </w:rPr>
      </w:pPr>
      <w:r w:rsidRPr="00FF0C85">
        <w:rPr>
          <w:bCs/>
          <w:color w:val="000000" w:themeColor="text1"/>
          <w:sz w:val="28"/>
          <w:szCs w:val="28"/>
        </w:rPr>
        <w:t>APSA finds this reasoning problematic, as a minor under the age of 16 years</w:t>
      </w:r>
      <w:r w:rsidR="00B2480D">
        <w:rPr>
          <w:bCs/>
          <w:color w:val="000000" w:themeColor="text1"/>
          <w:sz w:val="28"/>
          <w:szCs w:val="28"/>
        </w:rPr>
        <w:t>,</w:t>
      </w:r>
      <w:r w:rsidRPr="00FF0C85">
        <w:rPr>
          <w:bCs/>
          <w:color w:val="000000" w:themeColor="text1"/>
          <w:sz w:val="28"/>
          <w:szCs w:val="28"/>
        </w:rPr>
        <w:t xml:space="preserve"> </w:t>
      </w:r>
      <w:r w:rsidR="009E3F10">
        <w:rPr>
          <w:bCs/>
          <w:color w:val="000000" w:themeColor="text1"/>
          <w:sz w:val="28"/>
          <w:szCs w:val="28"/>
        </w:rPr>
        <w:t>under ARCP Rule 4.1(e)</w:t>
      </w:r>
      <w:r w:rsidR="000F1AF1">
        <w:rPr>
          <w:bCs/>
          <w:color w:val="000000" w:themeColor="text1"/>
          <w:sz w:val="28"/>
          <w:szCs w:val="28"/>
        </w:rPr>
        <w:t xml:space="preserve"> and RFLP Rule 41(e)</w:t>
      </w:r>
      <w:r w:rsidR="009E3F10">
        <w:rPr>
          <w:bCs/>
          <w:color w:val="000000" w:themeColor="text1"/>
          <w:sz w:val="28"/>
          <w:szCs w:val="28"/>
        </w:rPr>
        <w:t xml:space="preserve">, </w:t>
      </w:r>
      <w:r w:rsidR="000F1AF1" w:rsidRPr="00FF0C85">
        <w:rPr>
          <w:bCs/>
          <w:color w:val="000000" w:themeColor="text1"/>
          <w:sz w:val="28"/>
          <w:szCs w:val="28"/>
        </w:rPr>
        <w:t xml:space="preserve">cannot </w:t>
      </w:r>
      <w:r w:rsidRPr="00FF0C85">
        <w:rPr>
          <w:bCs/>
          <w:color w:val="000000" w:themeColor="text1"/>
          <w:sz w:val="28"/>
          <w:szCs w:val="28"/>
        </w:rPr>
        <w:t>be served without also serving the parent</w:t>
      </w:r>
      <w:r w:rsidR="00B2480D">
        <w:rPr>
          <w:bCs/>
          <w:color w:val="000000" w:themeColor="text1"/>
          <w:sz w:val="28"/>
          <w:szCs w:val="28"/>
        </w:rPr>
        <w:t>,</w:t>
      </w:r>
      <w:r w:rsidRPr="00FF0C85">
        <w:rPr>
          <w:bCs/>
          <w:color w:val="000000" w:themeColor="text1"/>
          <w:sz w:val="28"/>
          <w:szCs w:val="28"/>
        </w:rPr>
        <w:t xml:space="preserve"> guardian</w:t>
      </w:r>
      <w:r>
        <w:rPr>
          <w:bCs/>
          <w:color w:val="000000" w:themeColor="text1"/>
          <w:sz w:val="28"/>
          <w:szCs w:val="28"/>
        </w:rPr>
        <w:t xml:space="preserve">, or </w:t>
      </w:r>
      <w:r w:rsidRPr="00FF0C85">
        <w:rPr>
          <w:bCs/>
          <w:color w:val="000000" w:themeColor="text1"/>
          <w:sz w:val="28"/>
          <w:szCs w:val="28"/>
        </w:rPr>
        <w:t>any adult having the care and control of the minor, or any person of suitable age and discretion with whom the minor resides</w:t>
      </w:r>
      <w:r w:rsidR="000F1AF1">
        <w:rPr>
          <w:bCs/>
          <w:color w:val="000000" w:themeColor="text1"/>
          <w:sz w:val="28"/>
          <w:szCs w:val="28"/>
        </w:rPr>
        <w:t>.</w:t>
      </w:r>
      <w:r w:rsidR="00BC1097">
        <w:rPr>
          <w:bCs/>
          <w:color w:val="000000" w:themeColor="text1"/>
          <w:sz w:val="28"/>
          <w:szCs w:val="28"/>
        </w:rPr>
        <w:t xml:space="preserve">  However, under ARCP </w:t>
      </w:r>
      <w:r w:rsidR="00BC1097" w:rsidRPr="00075B20">
        <w:rPr>
          <w:bCs/>
          <w:color w:val="000000" w:themeColor="text1"/>
          <w:sz w:val="28"/>
          <w:szCs w:val="28"/>
        </w:rPr>
        <w:t>Rule 4.1(d)</w:t>
      </w:r>
      <w:r w:rsidR="00BC1097">
        <w:rPr>
          <w:bCs/>
          <w:color w:val="000000" w:themeColor="text1"/>
          <w:sz w:val="28"/>
          <w:szCs w:val="28"/>
        </w:rPr>
        <w:t xml:space="preserve"> and RFLP Rule 41(c), that “suitable age” is not defined.</w:t>
      </w:r>
    </w:p>
    <w:p w14:paraId="7DCBFCEC" w14:textId="046A48ED" w:rsidR="00FF0C85" w:rsidRDefault="00973306" w:rsidP="00936D47">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lastRenderedPageBreak/>
        <w:t>Un</w:t>
      </w:r>
      <w:r w:rsidR="000F1AF1">
        <w:rPr>
          <w:bCs/>
          <w:color w:val="000000" w:themeColor="text1"/>
          <w:sz w:val="28"/>
          <w:szCs w:val="28"/>
        </w:rPr>
        <w:t xml:space="preserve">der statute, a minor under the age of 16 years cannot </w:t>
      </w:r>
      <w:r>
        <w:rPr>
          <w:bCs/>
          <w:color w:val="000000" w:themeColor="text1"/>
          <w:sz w:val="28"/>
          <w:szCs w:val="28"/>
        </w:rPr>
        <w:t>1</w:t>
      </w:r>
      <w:r w:rsidR="000F1AF1">
        <w:rPr>
          <w:bCs/>
          <w:color w:val="000000" w:themeColor="text1"/>
          <w:sz w:val="28"/>
          <w:szCs w:val="28"/>
        </w:rPr>
        <w:t>) be issued a driver license [ref. ARS §</w:t>
      </w:r>
      <w:r w:rsidR="009E3F10" w:rsidRPr="009E3F10">
        <w:rPr>
          <w:bCs/>
          <w:color w:val="000000" w:themeColor="text1"/>
          <w:sz w:val="28"/>
          <w:szCs w:val="28"/>
        </w:rPr>
        <w:t>28-3153</w:t>
      </w:r>
      <w:r w:rsidR="009E3F10">
        <w:rPr>
          <w:bCs/>
          <w:color w:val="000000" w:themeColor="text1"/>
          <w:sz w:val="28"/>
          <w:szCs w:val="28"/>
        </w:rPr>
        <w:t>(A</w:t>
      </w:r>
      <w:r w:rsidR="000F1AF1">
        <w:rPr>
          <w:bCs/>
          <w:color w:val="000000" w:themeColor="text1"/>
          <w:sz w:val="28"/>
          <w:szCs w:val="28"/>
        </w:rPr>
        <w:t xml:space="preserve">)], </w:t>
      </w:r>
      <w:r>
        <w:rPr>
          <w:bCs/>
          <w:color w:val="000000" w:themeColor="text1"/>
          <w:sz w:val="28"/>
          <w:szCs w:val="28"/>
        </w:rPr>
        <w:t>nor 2</w:t>
      </w:r>
      <w:r w:rsidR="000F1AF1">
        <w:rPr>
          <w:bCs/>
          <w:color w:val="000000" w:themeColor="text1"/>
          <w:sz w:val="28"/>
          <w:szCs w:val="28"/>
        </w:rPr>
        <w:t xml:space="preserve">) </w:t>
      </w:r>
      <w:r w:rsidR="000F1AF1" w:rsidRPr="000F1AF1">
        <w:rPr>
          <w:bCs/>
          <w:color w:val="000000" w:themeColor="text1"/>
          <w:sz w:val="28"/>
          <w:szCs w:val="28"/>
        </w:rPr>
        <w:t>fail to attend school</w:t>
      </w:r>
      <w:r w:rsidR="000F1AF1">
        <w:rPr>
          <w:bCs/>
          <w:color w:val="000000" w:themeColor="text1"/>
          <w:sz w:val="28"/>
          <w:szCs w:val="28"/>
        </w:rPr>
        <w:t xml:space="preserve"> [ARS §15-803]</w:t>
      </w:r>
      <w:r w:rsidR="00927638">
        <w:rPr>
          <w:bCs/>
          <w:color w:val="000000" w:themeColor="text1"/>
          <w:sz w:val="28"/>
          <w:szCs w:val="28"/>
        </w:rPr>
        <w:t xml:space="preserve">.  </w:t>
      </w:r>
    </w:p>
    <w:p w14:paraId="3FFD7357" w14:textId="37793C09" w:rsidR="00B2480D" w:rsidRDefault="00927638" w:rsidP="00936D47">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t>Clearly</w:t>
      </w:r>
      <w:r w:rsidR="00973306" w:rsidRPr="00973306">
        <w:rPr>
          <w:bCs/>
          <w:color w:val="000000" w:themeColor="text1"/>
          <w:sz w:val="28"/>
          <w:szCs w:val="28"/>
        </w:rPr>
        <w:t xml:space="preserve"> </w:t>
      </w:r>
      <w:r w:rsidR="00973306">
        <w:rPr>
          <w:bCs/>
          <w:color w:val="000000" w:themeColor="text1"/>
          <w:sz w:val="28"/>
          <w:szCs w:val="28"/>
        </w:rPr>
        <w:t>under statute</w:t>
      </w:r>
      <w:r>
        <w:rPr>
          <w:bCs/>
          <w:color w:val="000000" w:themeColor="text1"/>
          <w:sz w:val="28"/>
          <w:szCs w:val="28"/>
        </w:rPr>
        <w:t xml:space="preserve">, a minor under the age of 16 years does not have reasonable </w:t>
      </w:r>
      <w:r w:rsidR="00973306">
        <w:rPr>
          <w:bCs/>
          <w:color w:val="000000" w:themeColor="text1"/>
          <w:sz w:val="28"/>
          <w:szCs w:val="28"/>
        </w:rPr>
        <w:t xml:space="preserve">(suitable) </w:t>
      </w:r>
      <w:r>
        <w:rPr>
          <w:bCs/>
          <w:color w:val="000000" w:themeColor="text1"/>
          <w:sz w:val="28"/>
          <w:szCs w:val="28"/>
        </w:rPr>
        <w:t>age nor discretion</w:t>
      </w:r>
      <w:r w:rsidR="00B2480D">
        <w:rPr>
          <w:bCs/>
          <w:color w:val="000000" w:themeColor="text1"/>
          <w:sz w:val="28"/>
          <w:szCs w:val="28"/>
        </w:rPr>
        <w:t>, nor does a minor under the age of 16 years have such under ARCP Rule 4.1(e) and RFLP Rule 41(e)</w:t>
      </w:r>
      <w:r>
        <w:rPr>
          <w:bCs/>
          <w:color w:val="000000" w:themeColor="text1"/>
          <w:sz w:val="28"/>
          <w:szCs w:val="28"/>
        </w:rPr>
        <w:t xml:space="preserve">.  </w:t>
      </w:r>
      <w:r w:rsidR="00973306">
        <w:rPr>
          <w:bCs/>
          <w:color w:val="000000" w:themeColor="text1"/>
          <w:sz w:val="28"/>
          <w:szCs w:val="28"/>
        </w:rPr>
        <w:t xml:space="preserve">But ARCP </w:t>
      </w:r>
      <w:r w:rsidR="00973306" w:rsidRPr="00075B20">
        <w:rPr>
          <w:bCs/>
          <w:color w:val="000000" w:themeColor="text1"/>
          <w:sz w:val="28"/>
          <w:szCs w:val="28"/>
        </w:rPr>
        <w:t>Rule 4.1(d)</w:t>
      </w:r>
      <w:r w:rsidR="00973306">
        <w:rPr>
          <w:bCs/>
          <w:color w:val="000000" w:themeColor="text1"/>
          <w:sz w:val="28"/>
          <w:szCs w:val="28"/>
        </w:rPr>
        <w:t xml:space="preserve"> and RFLP Rule 41(c) are both silent as to suitable age.</w:t>
      </w:r>
    </w:p>
    <w:p w14:paraId="5DD4F2DF" w14:textId="71AC2F97" w:rsidR="00927638" w:rsidRDefault="00973306" w:rsidP="00936D47">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t>Under the foregoing, it is clear that a</w:t>
      </w:r>
      <w:r w:rsidR="00B2480D">
        <w:rPr>
          <w:bCs/>
          <w:color w:val="000000" w:themeColor="text1"/>
          <w:sz w:val="28"/>
          <w:szCs w:val="28"/>
        </w:rPr>
        <w:t xml:space="preserve"> minor under the age of 16 years does not possess the decision making capability of an</w:t>
      </w:r>
      <w:r w:rsidR="00927638">
        <w:rPr>
          <w:bCs/>
          <w:color w:val="000000" w:themeColor="text1"/>
          <w:sz w:val="28"/>
          <w:szCs w:val="28"/>
        </w:rPr>
        <w:t xml:space="preserve"> adult.  </w:t>
      </w:r>
    </w:p>
    <w:p w14:paraId="6C53D7B6" w14:textId="2E3552F1" w:rsidR="00927638" w:rsidRPr="00FF0C85" w:rsidRDefault="00B2480D" w:rsidP="00936D47">
      <w:pPr>
        <w:pStyle w:val="ListParagraph"/>
        <w:keepNext/>
        <w:keepLines/>
        <w:widowControl w:val="0"/>
        <w:numPr>
          <w:ilvl w:val="0"/>
          <w:numId w:val="18"/>
        </w:numPr>
        <w:spacing w:after="240" w:line="360" w:lineRule="auto"/>
        <w:ind w:right="90"/>
        <w:rPr>
          <w:bCs/>
          <w:color w:val="000000" w:themeColor="text1"/>
          <w:sz w:val="28"/>
          <w:szCs w:val="28"/>
        </w:rPr>
      </w:pPr>
      <w:r>
        <w:rPr>
          <w:bCs/>
          <w:color w:val="000000" w:themeColor="text1"/>
          <w:sz w:val="28"/>
          <w:szCs w:val="28"/>
        </w:rPr>
        <w:t xml:space="preserve">Accordingly, APSA files this petition </w:t>
      </w:r>
      <w:r w:rsidR="00973306">
        <w:rPr>
          <w:bCs/>
          <w:color w:val="000000" w:themeColor="text1"/>
          <w:sz w:val="28"/>
          <w:szCs w:val="28"/>
        </w:rPr>
        <w:t>to</w:t>
      </w:r>
      <w:r>
        <w:rPr>
          <w:bCs/>
          <w:color w:val="000000" w:themeColor="text1"/>
          <w:sz w:val="28"/>
          <w:szCs w:val="28"/>
        </w:rPr>
        <w:t xml:space="preserve"> 1) eliminate </w:t>
      </w:r>
      <w:r w:rsidR="00BC1097">
        <w:rPr>
          <w:bCs/>
          <w:color w:val="000000" w:themeColor="text1"/>
          <w:sz w:val="28"/>
          <w:szCs w:val="28"/>
        </w:rPr>
        <w:t xml:space="preserve">the </w:t>
      </w:r>
      <w:r>
        <w:rPr>
          <w:bCs/>
          <w:color w:val="000000" w:themeColor="text1"/>
          <w:sz w:val="28"/>
          <w:szCs w:val="28"/>
        </w:rPr>
        <w:t xml:space="preserve">inconsistency between ARCP </w:t>
      </w:r>
      <w:r w:rsidRPr="00075B20">
        <w:rPr>
          <w:bCs/>
          <w:color w:val="000000" w:themeColor="text1"/>
          <w:sz w:val="28"/>
          <w:szCs w:val="28"/>
        </w:rPr>
        <w:t>Rule 4.1(d)</w:t>
      </w:r>
      <w:r>
        <w:rPr>
          <w:bCs/>
          <w:color w:val="000000" w:themeColor="text1"/>
          <w:sz w:val="28"/>
          <w:szCs w:val="28"/>
        </w:rPr>
        <w:t>, RFLP Rule 41(c), ARCP Rule 4.1(e) and RFLP Rule 41(e); 2) ensure that due process is not skirted by service upon a minor who does not have the reasonable age nor discretion to understand the importance of service of process</w:t>
      </w:r>
      <w:r w:rsidR="00BC1097">
        <w:rPr>
          <w:bCs/>
          <w:color w:val="000000" w:themeColor="text1"/>
          <w:sz w:val="28"/>
          <w:szCs w:val="28"/>
        </w:rPr>
        <w:t xml:space="preserve"> to an adult or other defendant then residing in the household (abode)</w:t>
      </w:r>
      <w:r>
        <w:rPr>
          <w:bCs/>
          <w:color w:val="000000" w:themeColor="text1"/>
          <w:sz w:val="28"/>
          <w:szCs w:val="28"/>
        </w:rPr>
        <w:t>.</w:t>
      </w:r>
    </w:p>
    <w:p w14:paraId="7ACC703F" w14:textId="77777777" w:rsidR="005E6E04" w:rsidRPr="005E6E04" w:rsidRDefault="005E6E04" w:rsidP="00075B20">
      <w:pPr>
        <w:keepNext/>
        <w:keepLines/>
        <w:widowControl w:val="0"/>
        <w:spacing w:after="240" w:line="360" w:lineRule="auto"/>
        <w:ind w:right="90"/>
        <w:rPr>
          <w:b/>
          <w:color w:val="000000" w:themeColor="text1"/>
          <w:sz w:val="28"/>
          <w:szCs w:val="28"/>
        </w:rPr>
      </w:pPr>
    </w:p>
    <w:p w14:paraId="6F019851" w14:textId="305FD91A" w:rsidR="009830BC" w:rsidRPr="00A15FCF" w:rsidRDefault="00387276" w:rsidP="00973306">
      <w:pPr>
        <w:pStyle w:val="ListParagraph"/>
        <w:keepNext/>
        <w:keepLines/>
        <w:widowControl w:val="0"/>
        <w:numPr>
          <w:ilvl w:val="0"/>
          <w:numId w:val="16"/>
        </w:numPr>
        <w:spacing w:line="360" w:lineRule="auto"/>
        <w:ind w:left="720" w:right="90"/>
        <w:rPr>
          <w:b/>
          <w:color w:val="000000" w:themeColor="text1"/>
          <w:sz w:val="28"/>
          <w:szCs w:val="28"/>
        </w:rPr>
      </w:pPr>
      <w:r>
        <w:rPr>
          <w:b/>
          <w:color w:val="000000" w:themeColor="text1"/>
          <w:sz w:val="28"/>
          <w:szCs w:val="28"/>
        </w:rPr>
        <w:t>Consistency and defined parameters of a person of “suitable age and discretion” are needed.</w:t>
      </w:r>
    </w:p>
    <w:p w14:paraId="34C6BAB5" w14:textId="5432C0D0" w:rsidR="008A722F" w:rsidRPr="008A722F" w:rsidRDefault="00387276" w:rsidP="00075B20">
      <w:pPr>
        <w:spacing w:line="360" w:lineRule="auto"/>
        <w:ind w:right="90" w:firstLine="720"/>
        <w:rPr>
          <w:color w:val="000000" w:themeColor="text1"/>
          <w:sz w:val="28"/>
          <w:szCs w:val="28"/>
        </w:rPr>
      </w:pPr>
      <w:r>
        <w:rPr>
          <w:color w:val="000000" w:themeColor="text1"/>
          <w:sz w:val="28"/>
          <w:szCs w:val="28"/>
        </w:rPr>
        <w:t xml:space="preserve">Within these rules, the Supreme Court has well-defined parameters for serving a </w:t>
      </w:r>
      <w:r w:rsidRPr="008A722F">
        <w:rPr>
          <w:color w:val="000000" w:themeColor="text1"/>
          <w:sz w:val="28"/>
          <w:szCs w:val="28"/>
        </w:rPr>
        <w:t xml:space="preserve">minor </w:t>
      </w:r>
      <w:r w:rsidR="008A722F" w:rsidRPr="008A722F">
        <w:rPr>
          <w:color w:val="000000" w:themeColor="text1"/>
          <w:sz w:val="28"/>
          <w:szCs w:val="28"/>
        </w:rPr>
        <w:t>[</w:t>
      </w:r>
      <w:r w:rsidRPr="008A722F">
        <w:rPr>
          <w:color w:val="000000" w:themeColor="text1"/>
          <w:sz w:val="28"/>
          <w:szCs w:val="28"/>
        </w:rPr>
        <w:t>ref. ARCP Rule 4.1(e</w:t>
      </w:r>
      <w:r w:rsidR="008A722F" w:rsidRPr="008A722F">
        <w:rPr>
          <w:color w:val="000000" w:themeColor="text1"/>
          <w:sz w:val="28"/>
          <w:szCs w:val="28"/>
        </w:rPr>
        <w:t>)], insofar as to state that:</w:t>
      </w:r>
    </w:p>
    <w:p w14:paraId="56CB63FD" w14:textId="77777777" w:rsidR="008A722F" w:rsidRPr="008A722F" w:rsidRDefault="008A722F" w:rsidP="00075B20">
      <w:pPr>
        <w:spacing w:line="360" w:lineRule="auto"/>
        <w:ind w:left="720"/>
        <w:rPr>
          <w:sz w:val="28"/>
          <w:szCs w:val="28"/>
        </w:rPr>
      </w:pPr>
      <w:r w:rsidRPr="008A722F">
        <w:rPr>
          <w:color w:val="000000" w:themeColor="text1"/>
          <w:sz w:val="28"/>
          <w:szCs w:val="28"/>
        </w:rPr>
        <w:t>“…</w:t>
      </w:r>
      <w:r w:rsidRPr="008A722F">
        <w:rPr>
          <w:sz w:val="28"/>
          <w:szCs w:val="28"/>
        </w:rPr>
        <w:t xml:space="preserve">a minor less than 16 years old may be served by delivering a copy of the summons and the pleading being served to the minor in the manner set forth </w:t>
      </w:r>
      <w:r w:rsidRPr="008A722F">
        <w:rPr>
          <w:sz w:val="28"/>
          <w:szCs w:val="28"/>
        </w:rPr>
        <w:lastRenderedPageBreak/>
        <w:t>in Rule 4.1(d) for serving an individual and also delivering a copy of each in the same manner:</w:t>
      </w:r>
    </w:p>
    <w:p w14:paraId="53C7C191" w14:textId="77777777" w:rsidR="008A722F" w:rsidRPr="008A722F" w:rsidRDefault="008A722F" w:rsidP="00075B20">
      <w:pPr>
        <w:spacing w:line="360" w:lineRule="auto"/>
        <w:ind w:left="1440"/>
        <w:rPr>
          <w:sz w:val="28"/>
          <w:szCs w:val="28"/>
        </w:rPr>
      </w:pPr>
      <w:r w:rsidRPr="008A722F">
        <w:rPr>
          <w:sz w:val="28"/>
          <w:szCs w:val="28"/>
        </w:rPr>
        <w:t>(1) to the minor's parent or guardian, if any of them reside or may be found within Arizona; or</w:t>
      </w:r>
    </w:p>
    <w:p w14:paraId="3159BDA8" w14:textId="77777777" w:rsidR="008A722F" w:rsidRPr="008A722F" w:rsidRDefault="008A722F" w:rsidP="00B91728">
      <w:pPr>
        <w:spacing w:after="240" w:line="360" w:lineRule="auto"/>
        <w:ind w:left="1440"/>
        <w:rPr>
          <w:sz w:val="28"/>
          <w:szCs w:val="28"/>
        </w:rPr>
      </w:pPr>
      <w:r w:rsidRPr="008A722F">
        <w:rPr>
          <w:sz w:val="28"/>
          <w:szCs w:val="28"/>
        </w:rPr>
        <w:t>(2) if none of them resides or is found within Arizona, to any adult having the care and control of the minor, or any person of suitable age and discretion with whom the minor resides.</w:t>
      </w:r>
    </w:p>
    <w:p w14:paraId="5EAF9397" w14:textId="16A50DFE" w:rsidR="009830BC" w:rsidRPr="009830BC" w:rsidRDefault="00697562" w:rsidP="00697562">
      <w:pPr>
        <w:pStyle w:val="ListParagraph"/>
        <w:keepNext/>
        <w:keepLines/>
        <w:widowControl w:val="0"/>
        <w:numPr>
          <w:ilvl w:val="0"/>
          <w:numId w:val="16"/>
        </w:numPr>
        <w:spacing w:line="360" w:lineRule="auto"/>
        <w:ind w:left="720" w:right="90"/>
        <w:rPr>
          <w:b/>
          <w:sz w:val="28"/>
          <w:szCs w:val="28"/>
        </w:rPr>
      </w:pPr>
      <w:r>
        <w:rPr>
          <w:b/>
          <w:sz w:val="28"/>
          <w:szCs w:val="28"/>
        </w:rPr>
        <w:t xml:space="preserve">Consideration of </w:t>
      </w:r>
      <w:r w:rsidRPr="00697562">
        <w:rPr>
          <w:b/>
          <w:sz w:val="28"/>
          <w:szCs w:val="28"/>
        </w:rPr>
        <w:t>Alternative Means of Service</w:t>
      </w:r>
    </w:p>
    <w:p w14:paraId="62924849" w14:textId="64593ADC" w:rsidR="003F1D87" w:rsidRDefault="00697562" w:rsidP="00075B20">
      <w:pPr>
        <w:spacing w:line="360" w:lineRule="auto"/>
        <w:ind w:right="90" w:firstLine="720"/>
        <w:rPr>
          <w:sz w:val="28"/>
          <w:szCs w:val="28"/>
        </w:rPr>
      </w:pPr>
      <w:r>
        <w:rPr>
          <w:sz w:val="28"/>
          <w:szCs w:val="28"/>
        </w:rPr>
        <w:t xml:space="preserve">In reviewing the circumstances generally used for </w:t>
      </w:r>
      <w:r w:rsidRPr="00697562">
        <w:rPr>
          <w:sz w:val="28"/>
          <w:szCs w:val="28"/>
        </w:rPr>
        <w:t>Alternative Means of Service</w:t>
      </w:r>
      <w:r>
        <w:rPr>
          <w:sz w:val="28"/>
          <w:szCs w:val="28"/>
        </w:rPr>
        <w:t xml:space="preserve">, process servers making service of process upon defendants generally have limited opportunity to </w:t>
      </w:r>
      <w:r w:rsidR="003F1D87">
        <w:rPr>
          <w:sz w:val="28"/>
          <w:szCs w:val="28"/>
        </w:rPr>
        <w:t>contact</w:t>
      </w:r>
      <w:r>
        <w:rPr>
          <w:sz w:val="28"/>
          <w:szCs w:val="28"/>
        </w:rPr>
        <w:t xml:space="preserve"> that person.  </w:t>
      </w:r>
      <w:r w:rsidR="003F1D87">
        <w:rPr>
          <w:sz w:val="28"/>
          <w:szCs w:val="28"/>
        </w:rPr>
        <w:t xml:space="preserve">Accordingly, when circumstances arise, the process server takes the first available opportunity of serving the papers.  </w:t>
      </w:r>
    </w:p>
    <w:p w14:paraId="10BDF6FA" w14:textId="5ABA8C6A" w:rsidR="00DE4971" w:rsidRDefault="003F1D87" w:rsidP="00075B20">
      <w:pPr>
        <w:spacing w:line="360" w:lineRule="auto"/>
        <w:ind w:right="90" w:firstLine="720"/>
        <w:rPr>
          <w:sz w:val="28"/>
          <w:szCs w:val="28"/>
        </w:rPr>
      </w:pPr>
      <w:r>
        <w:rPr>
          <w:sz w:val="28"/>
          <w:szCs w:val="28"/>
        </w:rPr>
        <w:t xml:space="preserve">Consideration of </w:t>
      </w:r>
      <w:r w:rsidRPr="00697562">
        <w:rPr>
          <w:sz w:val="28"/>
          <w:szCs w:val="28"/>
        </w:rPr>
        <w:t>Alternative Means of Service</w:t>
      </w:r>
      <w:r>
        <w:rPr>
          <w:sz w:val="28"/>
          <w:szCs w:val="28"/>
        </w:rPr>
        <w:t xml:space="preserve"> was given by APSA in internal discussions before this petition.  The preface was using </w:t>
      </w:r>
      <w:r w:rsidRPr="003F1D87">
        <w:rPr>
          <w:sz w:val="28"/>
          <w:szCs w:val="28"/>
        </w:rPr>
        <w:t>Alternative Means of Service</w:t>
      </w:r>
      <w:r>
        <w:rPr>
          <w:sz w:val="28"/>
          <w:szCs w:val="28"/>
        </w:rPr>
        <w:t xml:space="preserve"> in lieu of leaving the papers with a minor for the adult co-resident.  The problem, in our practical scenario, was that process servers who kicked back papers to their (attorney) client because they did not feel it “right” to serve a minor run the risk of losing that client and suffering a loss of income.  There is no incentive nor mandate under those circumstances to utilize </w:t>
      </w:r>
      <w:r w:rsidRPr="003F1D87">
        <w:rPr>
          <w:sz w:val="28"/>
          <w:szCs w:val="28"/>
        </w:rPr>
        <w:t>Alternative Means of Service</w:t>
      </w:r>
      <w:r>
        <w:rPr>
          <w:sz w:val="28"/>
          <w:szCs w:val="28"/>
        </w:rPr>
        <w:t>.</w:t>
      </w:r>
    </w:p>
    <w:p w14:paraId="52A8072B" w14:textId="77777777" w:rsidR="00697562" w:rsidRDefault="00697562" w:rsidP="00075B20">
      <w:pPr>
        <w:spacing w:line="360" w:lineRule="auto"/>
        <w:ind w:right="90" w:firstLine="720"/>
        <w:rPr>
          <w:sz w:val="28"/>
          <w:szCs w:val="28"/>
        </w:rPr>
      </w:pPr>
    </w:p>
    <w:bookmarkEnd w:id="0"/>
    <w:p w14:paraId="62B8969B" w14:textId="77777777" w:rsidR="009830BC" w:rsidRPr="009830BC" w:rsidRDefault="009830BC" w:rsidP="00075B20">
      <w:pPr>
        <w:pStyle w:val="ListParagraph"/>
        <w:keepNext/>
        <w:keepLines/>
        <w:widowControl w:val="0"/>
        <w:numPr>
          <w:ilvl w:val="0"/>
          <w:numId w:val="16"/>
        </w:numPr>
        <w:spacing w:after="240" w:line="360" w:lineRule="auto"/>
        <w:ind w:left="720" w:right="90"/>
        <w:contextualSpacing w:val="0"/>
        <w:rPr>
          <w:b/>
          <w:sz w:val="28"/>
          <w:szCs w:val="28"/>
        </w:rPr>
      </w:pPr>
      <w:r w:rsidRPr="009830BC">
        <w:rPr>
          <w:b/>
          <w:sz w:val="28"/>
          <w:szCs w:val="28"/>
        </w:rPr>
        <w:lastRenderedPageBreak/>
        <w:t xml:space="preserve">Existing Alternative Service Rules </w:t>
      </w:r>
      <w:r w:rsidR="00E8589D">
        <w:rPr>
          <w:b/>
          <w:sz w:val="28"/>
          <w:szCs w:val="28"/>
        </w:rPr>
        <w:t>are</w:t>
      </w:r>
      <w:r w:rsidRPr="009830BC">
        <w:rPr>
          <w:b/>
          <w:sz w:val="28"/>
          <w:szCs w:val="28"/>
        </w:rPr>
        <w:t xml:space="preserve"> </w:t>
      </w:r>
      <w:r w:rsidR="003A7280">
        <w:rPr>
          <w:b/>
          <w:sz w:val="28"/>
          <w:szCs w:val="28"/>
        </w:rPr>
        <w:t>Ins</w:t>
      </w:r>
      <w:r w:rsidRPr="009830BC">
        <w:rPr>
          <w:b/>
          <w:sz w:val="28"/>
          <w:szCs w:val="28"/>
        </w:rPr>
        <w:t>ufficient</w:t>
      </w:r>
      <w:r w:rsidR="003A7280">
        <w:rPr>
          <w:b/>
          <w:sz w:val="28"/>
          <w:szCs w:val="28"/>
        </w:rPr>
        <w:t xml:space="preserve"> to Address Many Litigants' Needs</w:t>
      </w:r>
      <w:r w:rsidRPr="009830BC">
        <w:rPr>
          <w:b/>
          <w:sz w:val="28"/>
          <w:szCs w:val="28"/>
        </w:rPr>
        <w:t>.</w:t>
      </w:r>
    </w:p>
    <w:p w14:paraId="5E76A494" w14:textId="77777777" w:rsidR="000D3A9E" w:rsidRDefault="00B41FC5" w:rsidP="00075B20">
      <w:pPr>
        <w:spacing w:line="360" w:lineRule="auto"/>
        <w:ind w:right="90" w:firstLine="720"/>
        <w:rPr>
          <w:sz w:val="28"/>
          <w:szCs w:val="28"/>
        </w:rPr>
      </w:pPr>
      <w:r>
        <w:rPr>
          <w:sz w:val="28"/>
          <w:szCs w:val="28"/>
        </w:rPr>
        <w:t xml:space="preserve">While </w:t>
      </w:r>
      <w:r w:rsidR="000D3A9E">
        <w:rPr>
          <w:sz w:val="28"/>
          <w:szCs w:val="28"/>
        </w:rPr>
        <w:t>the State Bar, with substantial resources, is in a position to assume that the rules are sufficient, Petitioner, based upon collective experience of its practicing professionals, disagrees.</w:t>
      </w:r>
    </w:p>
    <w:p w14:paraId="0894ADAB" w14:textId="77777777" w:rsidR="0075382C" w:rsidRPr="00474C42" w:rsidRDefault="0075382C" w:rsidP="00075B20">
      <w:pPr>
        <w:spacing w:line="360" w:lineRule="auto"/>
        <w:ind w:right="90" w:firstLine="720"/>
        <w:rPr>
          <w:sz w:val="28"/>
          <w:szCs w:val="28"/>
        </w:rPr>
      </w:pPr>
      <w:r>
        <w:rPr>
          <w:sz w:val="28"/>
          <w:szCs w:val="28"/>
        </w:rPr>
        <w:t>The State Bar notes, "…</w:t>
      </w:r>
      <w:r w:rsidRPr="009830BC">
        <w:rPr>
          <w:sz w:val="28"/>
          <w:szCs w:val="28"/>
        </w:rPr>
        <w:t xml:space="preserve">if a party shows specific facts that demonstrate that delivery to a gate guard is likely to provide notice to a person to be served under the circumstances, then such delivery </w:t>
      </w:r>
      <w:r w:rsidRPr="00474C42">
        <w:rPr>
          <w:i/>
          <w:sz w:val="28"/>
          <w:szCs w:val="28"/>
        </w:rPr>
        <w:t>might be</w:t>
      </w:r>
      <w:r w:rsidRPr="009830BC">
        <w:rPr>
          <w:sz w:val="28"/>
          <w:szCs w:val="28"/>
        </w:rPr>
        <w:t xml:space="preserve"> </w:t>
      </w:r>
      <w:r>
        <w:rPr>
          <w:sz w:val="28"/>
          <w:szCs w:val="28"/>
        </w:rPr>
        <w:t>permitted</w:t>
      </w:r>
      <w:r w:rsidRPr="009830BC">
        <w:rPr>
          <w:sz w:val="28"/>
          <w:szCs w:val="28"/>
        </w:rPr>
        <w:t xml:space="preserve"> alternative service.</w:t>
      </w:r>
      <w:r>
        <w:rPr>
          <w:sz w:val="28"/>
          <w:szCs w:val="28"/>
        </w:rPr>
        <w:t>" (emphasis added)  It is the "…</w:t>
      </w:r>
      <w:r>
        <w:rPr>
          <w:i/>
          <w:sz w:val="28"/>
          <w:szCs w:val="28"/>
        </w:rPr>
        <w:t>might be…</w:t>
      </w:r>
      <w:r>
        <w:rPr>
          <w:sz w:val="28"/>
          <w:szCs w:val="28"/>
        </w:rPr>
        <w:t xml:space="preserve">" which is most concerning.  </w:t>
      </w:r>
    </w:p>
    <w:p w14:paraId="4AD71BD0" w14:textId="77777777" w:rsidR="00F64839" w:rsidRDefault="000D3A9E" w:rsidP="00075B20">
      <w:pPr>
        <w:spacing w:line="360" w:lineRule="auto"/>
        <w:ind w:right="90" w:firstLine="720"/>
        <w:rPr>
          <w:sz w:val="28"/>
          <w:szCs w:val="28"/>
        </w:rPr>
      </w:pPr>
      <w:r>
        <w:rPr>
          <w:sz w:val="28"/>
          <w:szCs w:val="28"/>
        </w:rPr>
        <w:t>T</w:t>
      </w:r>
      <w:r w:rsidR="00B41FC5">
        <w:rPr>
          <w:sz w:val="28"/>
          <w:szCs w:val="28"/>
        </w:rPr>
        <w:t>he State Bar quotes McAuliffe, et al</w:t>
      </w:r>
      <w:r w:rsidR="0075382C">
        <w:rPr>
          <w:sz w:val="28"/>
          <w:szCs w:val="28"/>
        </w:rPr>
        <w:t>.  When</w:t>
      </w:r>
      <w:r>
        <w:rPr>
          <w:sz w:val="28"/>
          <w:szCs w:val="28"/>
        </w:rPr>
        <w:t xml:space="preserve"> </w:t>
      </w:r>
      <w:r w:rsidR="00B41FC5">
        <w:rPr>
          <w:sz w:val="28"/>
          <w:szCs w:val="28"/>
        </w:rPr>
        <w:t>the majority of litigants in propria personam do not have access to such information</w:t>
      </w:r>
      <w:r w:rsidR="00B41FC5">
        <w:rPr>
          <w:rStyle w:val="FootnoteReference"/>
          <w:sz w:val="28"/>
          <w:szCs w:val="28"/>
        </w:rPr>
        <w:footnoteReference w:id="2"/>
      </w:r>
      <w:r w:rsidR="00B41FC5">
        <w:rPr>
          <w:sz w:val="28"/>
          <w:szCs w:val="28"/>
        </w:rPr>
        <w:t xml:space="preserve"> and have not </w:t>
      </w:r>
      <w:r w:rsidR="00787307">
        <w:rPr>
          <w:sz w:val="28"/>
          <w:szCs w:val="28"/>
        </w:rPr>
        <w:t xml:space="preserve">attended </w:t>
      </w:r>
      <w:r w:rsidR="00B41FC5">
        <w:rPr>
          <w:sz w:val="28"/>
          <w:szCs w:val="28"/>
        </w:rPr>
        <w:t>law school</w:t>
      </w:r>
      <w:r w:rsidR="0075382C">
        <w:rPr>
          <w:sz w:val="28"/>
          <w:szCs w:val="28"/>
        </w:rPr>
        <w:t>, reference to such a work is irrelevant</w:t>
      </w:r>
      <w:r w:rsidR="00C6060F">
        <w:rPr>
          <w:sz w:val="28"/>
          <w:szCs w:val="28"/>
        </w:rPr>
        <w:t xml:space="preserve"> for them</w:t>
      </w:r>
      <w:r w:rsidR="00B41FC5">
        <w:rPr>
          <w:sz w:val="28"/>
          <w:szCs w:val="28"/>
        </w:rPr>
        <w:t>.</w:t>
      </w:r>
      <w:r w:rsidR="00F64839">
        <w:rPr>
          <w:sz w:val="28"/>
          <w:szCs w:val="28"/>
        </w:rPr>
        <w:t xml:space="preserve">  </w:t>
      </w:r>
      <w:r>
        <w:rPr>
          <w:sz w:val="28"/>
          <w:szCs w:val="28"/>
        </w:rPr>
        <w:t xml:space="preserve">Process servers in Arizona are prohibited from dispensing legal advice and preparing legal documents.  </w:t>
      </w:r>
      <w:r w:rsidR="00A035C0">
        <w:rPr>
          <w:sz w:val="28"/>
          <w:szCs w:val="28"/>
        </w:rPr>
        <w:t xml:space="preserve">The courts are prohibited from dispensing legal advice.  </w:t>
      </w:r>
      <w:r w:rsidR="00B41FC5">
        <w:rPr>
          <w:sz w:val="28"/>
          <w:szCs w:val="28"/>
        </w:rPr>
        <w:t xml:space="preserve">Consequently, </w:t>
      </w:r>
      <w:r w:rsidR="00F64839">
        <w:rPr>
          <w:sz w:val="28"/>
          <w:szCs w:val="28"/>
        </w:rPr>
        <w:t xml:space="preserve">individual litigants are left to their own resources and knowledge to navigate the legal waters.  </w:t>
      </w:r>
      <w:r>
        <w:rPr>
          <w:sz w:val="28"/>
          <w:szCs w:val="28"/>
        </w:rPr>
        <w:t xml:space="preserve">Those who can afford an attorney may consult one, but in many circumstances, the affordability of private legal counsel is out of reach.  </w:t>
      </w:r>
      <w:r w:rsidR="00F64839">
        <w:rPr>
          <w:sz w:val="28"/>
          <w:szCs w:val="28"/>
        </w:rPr>
        <w:t>Similarly, many attorneys do not have sufficient experience and knowledge about the rules and methods of service of legal process, and rely upon their process server</w:t>
      </w:r>
      <w:r>
        <w:rPr>
          <w:sz w:val="28"/>
          <w:szCs w:val="28"/>
        </w:rPr>
        <w:t xml:space="preserve"> for guidance</w:t>
      </w:r>
      <w:r w:rsidR="00F64839">
        <w:rPr>
          <w:sz w:val="28"/>
          <w:szCs w:val="28"/>
        </w:rPr>
        <w:t xml:space="preserve">.   </w:t>
      </w:r>
    </w:p>
    <w:p w14:paraId="3952D839" w14:textId="77777777" w:rsidR="0075382C" w:rsidRDefault="00954DBC" w:rsidP="00075B20">
      <w:pPr>
        <w:spacing w:line="360" w:lineRule="auto"/>
        <w:ind w:right="90" w:firstLine="720"/>
        <w:rPr>
          <w:sz w:val="28"/>
          <w:szCs w:val="28"/>
        </w:rPr>
      </w:pPr>
      <w:r>
        <w:rPr>
          <w:sz w:val="28"/>
          <w:szCs w:val="28"/>
        </w:rPr>
        <w:t xml:space="preserve">Petitioner does not believe that </w:t>
      </w:r>
      <w:r w:rsidRPr="00E8589D">
        <w:rPr>
          <w:sz w:val="28"/>
          <w:szCs w:val="28"/>
        </w:rPr>
        <w:t>all</w:t>
      </w:r>
      <w:r w:rsidRPr="009830BC">
        <w:rPr>
          <w:sz w:val="28"/>
          <w:szCs w:val="28"/>
        </w:rPr>
        <w:t xml:space="preserve"> means of alternative service are necessarily time-consuming or expensive.  </w:t>
      </w:r>
      <w:r w:rsidR="00474C42">
        <w:rPr>
          <w:sz w:val="28"/>
          <w:szCs w:val="28"/>
        </w:rPr>
        <w:t xml:space="preserve">It is the process of obtaining the order </w:t>
      </w:r>
      <w:r w:rsidR="00474C42">
        <w:rPr>
          <w:sz w:val="28"/>
          <w:szCs w:val="28"/>
        </w:rPr>
        <w:lastRenderedPageBreak/>
        <w:t>and having it issued which may be time-consuming or expensive, especially if the court</w:t>
      </w:r>
      <w:r w:rsidR="000352E0">
        <w:rPr>
          <w:sz w:val="28"/>
          <w:szCs w:val="28"/>
        </w:rPr>
        <w:t xml:space="preserve"> delays or</w:t>
      </w:r>
      <w:r w:rsidR="00474C42">
        <w:rPr>
          <w:sz w:val="28"/>
          <w:szCs w:val="28"/>
        </w:rPr>
        <w:t xml:space="preserve"> requires that the petitioner appear for personal testimony about their motion for alternate means of service.</w:t>
      </w:r>
      <w:r>
        <w:rPr>
          <w:sz w:val="28"/>
          <w:szCs w:val="28"/>
        </w:rPr>
        <w:t xml:space="preserve">  Petitioner knows from business practice that the actual service of legal process </w:t>
      </w:r>
      <w:r w:rsidR="00835E1A">
        <w:rPr>
          <w:sz w:val="28"/>
          <w:szCs w:val="28"/>
        </w:rPr>
        <w:t xml:space="preserve">in the field </w:t>
      </w:r>
      <w:r>
        <w:rPr>
          <w:sz w:val="28"/>
          <w:szCs w:val="28"/>
        </w:rPr>
        <w:t>may be expeditious</w:t>
      </w:r>
      <w:r w:rsidR="00835E1A">
        <w:rPr>
          <w:sz w:val="28"/>
          <w:szCs w:val="28"/>
        </w:rPr>
        <w:t xml:space="preserve">, but delay in obtaining the actual order </w:t>
      </w:r>
      <w:r>
        <w:rPr>
          <w:sz w:val="28"/>
          <w:szCs w:val="28"/>
        </w:rPr>
        <w:t>from the courts</w:t>
      </w:r>
      <w:r w:rsidR="00835E1A">
        <w:rPr>
          <w:sz w:val="28"/>
          <w:szCs w:val="28"/>
        </w:rPr>
        <w:t xml:space="preserve"> may hamper </w:t>
      </w:r>
      <w:r w:rsidR="00E87A70">
        <w:rPr>
          <w:sz w:val="28"/>
          <w:szCs w:val="28"/>
        </w:rPr>
        <w:t>service within the  appropriate time limits</w:t>
      </w:r>
      <w:r w:rsidR="00E87A70">
        <w:rPr>
          <w:rStyle w:val="FootnoteReference"/>
          <w:sz w:val="28"/>
          <w:szCs w:val="28"/>
        </w:rPr>
        <w:footnoteReference w:id="3"/>
      </w:r>
      <w:r>
        <w:rPr>
          <w:sz w:val="28"/>
          <w:szCs w:val="28"/>
        </w:rPr>
        <w:t xml:space="preserve">. </w:t>
      </w:r>
      <w:r w:rsidR="00474C42">
        <w:rPr>
          <w:sz w:val="28"/>
          <w:szCs w:val="28"/>
        </w:rPr>
        <w:t xml:space="preserve">  </w:t>
      </w:r>
    </w:p>
    <w:p w14:paraId="3A3DDE7F" w14:textId="77777777" w:rsidR="00835E1A" w:rsidRPr="0075382C" w:rsidRDefault="00835E1A" w:rsidP="00075B20">
      <w:pPr>
        <w:spacing w:line="360" w:lineRule="auto"/>
        <w:ind w:right="90" w:firstLine="720"/>
        <w:rPr>
          <w:color w:val="000000" w:themeColor="text1"/>
          <w:sz w:val="28"/>
          <w:szCs w:val="28"/>
        </w:rPr>
      </w:pPr>
      <w:r w:rsidRPr="0075382C">
        <w:rPr>
          <w:color w:val="000000" w:themeColor="text1"/>
          <w:sz w:val="28"/>
          <w:szCs w:val="28"/>
        </w:rPr>
        <w:t>While rules provide for the prevailing party in civil litigation to recover costs, Petitioner's assertion that “the cost and time factors involved in securing such [a]lternate [m]eans are many times out of the means of the litigant” holds true.  Costs such as attorney fees are immediately expended, and the result may be a diminution of assets harmful to the well-being of the litigant pursuing their claim and damages</w:t>
      </w:r>
      <w:r>
        <w:rPr>
          <w:color w:val="000000" w:themeColor="text1"/>
          <w:sz w:val="28"/>
          <w:szCs w:val="28"/>
        </w:rPr>
        <w:t>, especially those with meager means</w:t>
      </w:r>
    </w:p>
    <w:p w14:paraId="728D752A" w14:textId="77777777" w:rsidR="009830BC" w:rsidRPr="009830BC" w:rsidRDefault="00E87A70" w:rsidP="00075B20">
      <w:pPr>
        <w:spacing w:line="360" w:lineRule="auto"/>
        <w:ind w:right="90" w:firstLine="720"/>
        <w:rPr>
          <w:sz w:val="28"/>
          <w:szCs w:val="28"/>
        </w:rPr>
      </w:pPr>
      <w:r>
        <w:rPr>
          <w:sz w:val="28"/>
          <w:szCs w:val="28"/>
        </w:rPr>
        <w:t>W</w:t>
      </w:r>
      <w:r w:rsidR="000352E0">
        <w:rPr>
          <w:sz w:val="28"/>
          <w:szCs w:val="28"/>
        </w:rPr>
        <w:t xml:space="preserve">here legal process requiring personal service (i.e.: </w:t>
      </w:r>
      <w:r w:rsidR="000F0BE4">
        <w:rPr>
          <w:sz w:val="28"/>
          <w:szCs w:val="28"/>
        </w:rPr>
        <w:t xml:space="preserve">actual notice of </w:t>
      </w:r>
      <w:r w:rsidR="000352E0">
        <w:rPr>
          <w:sz w:val="28"/>
          <w:szCs w:val="28"/>
        </w:rPr>
        <w:t xml:space="preserve">subpoenas, </w:t>
      </w:r>
      <w:r w:rsidR="000352E0" w:rsidRPr="009830BC">
        <w:rPr>
          <w:sz w:val="28"/>
          <w:szCs w:val="28"/>
        </w:rPr>
        <w:t>Injunctions Against Harassment</w:t>
      </w:r>
      <w:r w:rsidR="000352E0">
        <w:rPr>
          <w:sz w:val="28"/>
          <w:szCs w:val="28"/>
        </w:rPr>
        <w:t xml:space="preserve">, </w:t>
      </w:r>
      <w:r w:rsidR="000352E0" w:rsidRPr="009830BC">
        <w:rPr>
          <w:sz w:val="28"/>
          <w:szCs w:val="28"/>
        </w:rPr>
        <w:t xml:space="preserve">Orders of Protection </w:t>
      </w:r>
      <w:r w:rsidR="000352E0">
        <w:rPr>
          <w:sz w:val="28"/>
          <w:szCs w:val="28"/>
        </w:rPr>
        <w:t xml:space="preserve">and other legal process with </w:t>
      </w:r>
      <w:r w:rsidR="000352E0" w:rsidRPr="000352E0">
        <w:rPr>
          <w:sz w:val="28"/>
          <w:szCs w:val="28"/>
        </w:rPr>
        <w:t>contempt</w:t>
      </w:r>
      <w:r w:rsidR="000352E0">
        <w:rPr>
          <w:sz w:val="28"/>
          <w:szCs w:val="28"/>
        </w:rPr>
        <w:t xml:space="preserve"> attached)</w:t>
      </w:r>
      <w:r>
        <w:rPr>
          <w:sz w:val="28"/>
          <w:szCs w:val="28"/>
        </w:rPr>
        <w:t xml:space="preserve"> is concerned</w:t>
      </w:r>
      <w:r w:rsidR="000352E0">
        <w:rPr>
          <w:sz w:val="28"/>
          <w:szCs w:val="28"/>
        </w:rPr>
        <w:t xml:space="preserve">, petitioner understands </w:t>
      </w:r>
      <w:r w:rsidR="000F0BE4">
        <w:rPr>
          <w:sz w:val="28"/>
          <w:szCs w:val="28"/>
        </w:rPr>
        <w:t xml:space="preserve">and makes no claim </w:t>
      </w:r>
      <w:r w:rsidR="000352E0">
        <w:rPr>
          <w:sz w:val="28"/>
          <w:szCs w:val="28"/>
        </w:rPr>
        <w:t xml:space="preserve">that a change in the subject rule </w:t>
      </w:r>
      <w:r w:rsidR="009830BC" w:rsidRPr="009830BC">
        <w:rPr>
          <w:sz w:val="28"/>
          <w:szCs w:val="28"/>
        </w:rPr>
        <w:t>would alleviate</w:t>
      </w:r>
      <w:r w:rsidR="000F0BE4">
        <w:rPr>
          <w:sz w:val="28"/>
          <w:szCs w:val="28"/>
        </w:rPr>
        <w:t xml:space="preserve"> such a requirement. </w:t>
      </w:r>
    </w:p>
    <w:p w14:paraId="37D4D3F4" w14:textId="77777777" w:rsidR="009830BC" w:rsidRPr="008A1C3B" w:rsidRDefault="00DC1D65" w:rsidP="00075B20">
      <w:pPr>
        <w:pStyle w:val="ListParagraph"/>
        <w:keepNext/>
        <w:keepLines/>
        <w:widowControl w:val="0"/>
        <w:numPr>
          <w:ilvl w:val="0"/>
          <w:numId w:val="16"/>
        </w:numPr>
        <w:spacing w:before="200" w:after="240" w:line="360" w:lineRule="auto"/>
        <w:ind w:left="720" w:right="90"/>
        <w:contextualSpacing w:val="0"/>
        <w:rPr>
          <w:b/>
          <w:color w:val="000000" w:themeColor="text1"/>
          <w:sz w:val="28"/>
          <w:szCs w:val="28"/>
        </w:rPr>
      </w:pPr>
      <w:r w:rsidRPr="008A1C3B">
        <w:rPr>
          <w:b/>
          <w:color w:val="000000" w:themeColor="text1"/>
          <w:sz w:val="28"/>
          <w:szCs w:val="28"/>
        </w:rPr>
        <w:t>Petition is Not a Demand for Entry</w:t>
      </w:r>
      <w:r w:rsidR="0062404A" w:rsidRPr="008A1C3B">
        <w:rPr>
          <w:b/>
          <w:color w:val="000000" w:themeColor="text1"/>
          <w:sz w:val="28"/>
          <w:szCs w:val="28"/>
        </w:rPr>
        <w:t xml:space="preserve"> or Trespass</w:t>
      </w:r>
      <w:r w:rsidRPr="008A1C3B">
        <w:rPr>
          <w:b/>
          <w:color w:val="000000" w:themeColor="text1"/>
          <w:sz w:val="28"/>
          <w:szCs w:val="28"/>
        </w:rPr>
        <w:t>.</w:t>
      </w:r>
      <w:r w:rsidR="004D0366" w:rsidRPr="008A1C3B">
        <w:rPr>
          <w:b/>
          <w:color w:val="000000" w:themeColor="text1"/>
          <w:sz w:val="28"/>
          <w:szCs w:val="28"/>
        </w:rPr>
        <w:t xml:space="preserve"> </w:t>
      </w:r>
    </w:p>
    <w:p w14:paraId="7AD40FAE" w14:textId="77777777" w:rsidR="00DC1D65" w:rsidRPr="008A1C3B" w:rsidRDefault="00DC1D65" w:rsidP="00075B20">
      <w:pPr>
        <w:spacing w:line="360" w:lineRule="auto"/>
        <w:ind w:right="90" w:firstLine="720"/>
        <w:rPr>
          <w:color w:val="000000" w:themeColor="text1"/>
          <w:sz w:val="28"/>
          <w:szCs w:val="28"/>
        </w:rPr>
      </w:pPr>
      <w:r w:rsidRPr="008A1C3B">
        <w:rPr>
          <w:color w:val="000000" w:themeColor="text1"/>
          <w:sz w:val="28"/>
          <w:szCs w:val="28"/>
        </w:rPr>
        <w:t xml:space="preserve">State Bar notes that </w:t>
      </w:r>
      <w:r w:rsidR="009830BC" w:rsidRPr="008A1C3B">
        <w:rPr>
          <w:color w:val="000000" w:themeColor="text1"/>
          <w:sz w:val="28"/>
          <w:szCs w:val="28"/>
        </w:rPr>
        <w:t>in three of the four jurisdictions cited, the Legislature has required gated communities to allow access to residents for service of legal documents.</w:t>
      </w:r>
      <w:r w:rsidR="00252225" w:rsidRPr="008A1C3B">
        <w:rPr>
          <w:color w:val="000000" w:themeColor="text1"/>
          <w:sz w:val="28"/>
          <w:szCs w:val="28"/>
        </w:rPr>
        <w:t xml:space="preserve">  Petitioner</w:t>
      </w:r>
      <w:r w:rsidR="0029494C">
        <w:rPr>
          <w:color w:val="000000" w:themeColor="text1"/>
          <w:sz w:val="28"/>
          <w:szCs w:val="28"/>
        </w:rPr>
        <w:t xml:space="preserve"> makes no</w:t>
      </w:r>
      <w:r w:rsidR="00252225" w:rsidRPr="008A1C3B">
        <w:rPr>
          <w:color w:val="000000" w:themeColor="text1"/>
          <w:sz w:val="28"/>
          <w:szCs w:val="28"/>
        </w:rPr>
        <w:t xml:space="preserve"> </w:t>
      </w:r>
      <w:r w:rsidR="00111119">
        <w:rPr>
          <w:color w:val="000000" w:themeColor="text1"/>
          <w:sz w:val="28"/>
          <w:szCs w:val="28"/>
        </w:rPr>
        <w:t xml:space="preserve">demand for entry.  </w:t>
      </w:r>
    </w:p>
    <w:p w14:paraId="346A7076" w14:textId="77777777" w:rsidR="00252225" w:rsidRPr="008A1C3B" w:rsidRDefault="0080187F" w:rsidP="00075B20">
      <w:pPr>
        <w:spacing w:line="360" w:lineRule="auto"/>
        <w:ind w:right="90" w:firstLine="720"/>
        <w:rPr>
          <w:color w:val="000000" w:themeColor="text1"/>
          <w:sz w:val="28"/>
          <w:szCs w:val="28"/>
        </w:rPr>
      </w:pPr>
      <w:r w:rsidRPr="008A1C3B">
        <w:rPr>
          <w:color w:val="000000" w:themeColor="text1"/>
          <w:sz w:val="28"/>
          <w:szCs w:val="28"/>
        </w:rPr>
        <w:t xml:space="preserve">Phrases in the </w:t>
      </w:r>
      <w:r w:rsidR="0029494C">
        <w:rPr>
          <w:color w:val="000000" w:themeColor="text1"/>
          <w:sz w:val="28"/>
          <w:szCs w:val="28"/>
        </w:rPr>
        <w:t xml:space="preserve">Arizona </w:t>
      </w:r>
      <w:r w:rsidRPr="008A1C3B">
        <w:rPr>
          <w:color w:val="000000" w:themeColor="text1"/>
          <w:sz w:val="28"/>
          <w:szCs w:val="28"/>
        </w:rPr>
        <w:t>trespass statute</w:t>
      </w:r>
      <w:r w:rsidR="00DC1D65" w:rsidRPr="008A1C3B">
        <w:rPr>
          <w:color w:val="000000" w:themeColor="text1"/>
          <w:sz w:val="28"/>
          <w:szCs w:val="28"/>
        </w:rPr>
        <w:t>s such as "entering and remaining unlawfully", or "…without the express permission of the owner of the property"</w:t>
      </w:r>
      <w:r w:rsidR="00DC1D65" w:rsidRPr="008A1C3B">
        <w:rPr>
          <w:rStyle w:val="FootnoteReference"/>
          <w:color w:val="000000" w:themeColor="text1"/>
          <w:sz w:val="28"/>
          <w:szCs w:val="28"/>
        </w:rPr>
        <w:footnoteReference w:id="4"/>
      </w:r>
      <w:r w:rsidR="00DC1D65" w:rsidRPr="008A1C3B">
        <w:rPr>
          <w:color w:val="000000" w:themeColor="text1"/>
          <w:sz w:val="28"/>
          <w:szCs w:val="28"/>
        </w:rPr>
        <w:t xml:space="preserve">, </w:t>
      </w:r>
      <w:r w:rsidR="00DC1D65" w:rsidRPr="008A1C3B">
        <w:rPr>
          <w:color w:val="000000" w:themeColor="text1"/>
          <w:sz w:val="28"/>
          <w:szCs w:val="28"/>
        </w:rPr>
        <w:lastRenderedPageBreak/>
        <w:t>or "…entering or remaining unlawfully on any real property after a reasonable request to leave by</w:t>
      </w:r>
      <w:r w:rsidRPr="008A1C3B">
        <w:rPr>
          <w:color w:val="000000" w:themeColor="text1"/>
          <w:sz w:val="28"/>
          <w:szCs w:val="28"/>
        </w:rPr>
        <w:t>…</w:t>
      </w:r>
      <w:r w:rsidR="00DC1D65" w:rsidRPr="008A1C3B">
        <w:rPr>
          <w:color w:val="000000" w:themeColor="text1"/>
          <w:sz w:val="28"/>
          <w:szCs w:val="28"/>
        </w:rPr>
        <w:t>the owner or any other person having lawful control over such property, or reasonable notice prohibiting entry"</w:t>
      </w:r>
      <w:r w:rsidR="00DC1D65" w:rsidRPr="008A1C3B">
        <w:rPr>
          <w:rStyle w:val="FootnoteReference"/>
          <w:color w:val="000000" w:themeColor="text1"/>
          <w:sz w:val="28"/>
          <w:szCs w:val="28"/>
        </w:rPr>
        <w:footnoteReference w:id="5"/>
      </w:r>
      <w:r w:rsidRPr="008A1C3B">
        <w:rPr>
          <w:color w:val="000000" w:themeColor="text1"/>
          <w:sz w:val="28"/>
          <w:szCs w:val="28"/>
        </w:rPr>
        <w:t xml:space="preserve"> are used to distinguish between lawful entry and those there with</w:t>
      </w:r>
      <w:r w:rsidR="00252225" w:rsidRPr="008A1C3B">
        <w:rPr>
          <w:color w:val="000000" w:themeColor="text1"/>
          <w:sz w:val="28"/>
          <w:szCs w:val="28"/>
        </w:rPr>
        <w:t>out</w:t>
      </w:r>
      <w:r w:rsidRPr="008A1C3B">
        <w:rPr>
          <w:color w:val="000000" w:themeColor="text1"/>
          <w:sz w:val="28"/>
          <w:szCs w:val="28"/>
        </w:rPr>
        <w:t xml:space="preserve"> permission.  </w:t>
      </w:r>
    </w:p>
    <w:p w14:paraId="72692838" w14:textId="77777777" w:rsidR="00E21465" w:rsidRDefault="00111119" w:rsidP="00075B20">
      <w:pPr>
        <w:spacing w:line="360" w:lineRule="auto"/>
        <w:ind w:right="90" w:firstLine="720"/>
        <w:rPr>
          <w:color w:val="000000" w:themeColor="text1"/>
          <w:sz w:val="28"/>
          <w:szCs w:val="28"/>
        </w:rPr>
      </w:pPr>
      <w:r w:rsidRPr="008A1C3B">
        <w:rPr>
          <w:color w:val="000000" w:themeColor="text1"/>
          <w:sz w:val="28"/>
          <w:szCs w:val="28"/>
        </w:rPr>
        <w:t xml:space="preserve">Arizona trespass laws are structured that a denial of </w:t>
      </w:r>
      <w:r>
        <w:rPr>
          <w:color w:val="000000" w:themeColor="text1"/>
          <w:sz w:val="28"/>
          <w:szCs w:val="28"/>
        </w:rPr>
        <w:t>permission to enter</w:t>
      </w:r>
      <w:r w:rsidRPr="008A1C3B">
        <w:rPr>
          <w:color w:val="000000" w:themeColor="text1"/>
          <w:sz w:val="28"/>
          <w:szCs w:val="28"/>
        </w:rPr>
        <w:t xml:space="preserve"> is akin to a decline of license, privilege and authorization to be present on property</w:t>
      </w:r>
      <w:r>
        <w:rPr>
          <w:color w:val="000000" w:themeColor="text1"/>
          <w:sz w:val="28"/>
          <w:szCs w:val="28"/>
        </w:rPr>
        <w:t xml:space="preserve">.  Decisions as to mandated entry </w:t>
      </w:r>
      <w:r w:rsidRPr="00387276">
        <w:rPr>
          <w:color w:val="000000" w:themeColor="text1"/>
          <w:sz w:val="28"/>
          <w:szCs w:val="28"/>
          <w:u w:val="single"/>
        </w:rPr>
        <w:t>should</w:t>
      </w:r>
      <w:r>
        <w:rPr>
          <w:color w:val="000000" w:themeColor="text1"/>
          <w:sz w:val="28"/>
          <w:szCs w:val="28"/>
        </w:rPr>
        <w:t xml:space="preserve"> be left to the legislature</w:t>
      </w:r>
      <w:r w:rsidRPr="008A1C3B">
        <w:rPr>
          <w:color w:val="000000" w:themeColor="text1"/>
          <w:sz w:val="28"/>
          <w:szCs w:val="28"/>
        </w:rPr>
        <w:t xml:space="preserve">.  </w:t>
      </w:r>
      <w:r w:rsidR="0029494C">
        <w:rPr>
          <w:color w:val="000000" w:themeColor="text1"/>
          <w:sz w:val="28"/>
          <w:szCs w:val="28"/>
        </w:rPr>
        <w:t xml:space="preserve">Petitioner does not seek to enter or remain unlawfully on premises, but simply to serve legal process in the most expeditious, reasonable means necessary so that the defendant or other interested person is given notice.  </w:t>
      </w:r>
    </w:p>
    <w:p w14:paraId="4738E5E1" w14:textId="0A0BD3EB" w:rsidR="00111119" w:rsidRDefault="0062404A" w:rsidP="00075B20">
      <w:pPr>
        <w:spacing w:line="360" w:lineRule="auto"/>
        <w:ind w:right="90" w:firstLine="720"/>
        <w:rPr>
          <w:color w:val="000000" w:themeColor="text1"/>
          <w:sz w:val="28"/>
          <w:szCs w:val="28"/>
        </w:rPr>
      </w:pPr>
      <w:r w:rsidRPr="008A1C3B">
        <w:rPr>
          <w:color w:val="000000" w:themeColor="text1"/>
          <w:sz w:val="28"/>
          <w:szCs w:val="28"/>
        </w:rPr>
        <w:t>A</w:t>
      </w:r>
      <w:r w:rsidR="00E21465">
        <w:rPr>
          <w:color w:val="000000" w:themeColor="text1"/>
          <w:sz w:val="28"/>
          <w:szCs w:val="28"/>
        </w:rPr>
        <w:t>lthough a</w:t>
      </w:r>
      <w:r w:rsidR="002F3BCA" w:rsidRPr="008A1C3B">
        <w:rPr>
          <w:color w:val="000000" w:themeColor="text1"/>
          <w:sz w:val="28"/>
          <w:szCs w:val="28"/>
        </w:rPr>
        <w:t xml:space="preserve"> lower court </w:t>
      </w:r>
      <w:r w:rsidRPr="008A1C3B">
        <w:rPr>
          <w:color w:val="000000" w:themeColor="text1"/>
          <w:sz w:val="28"/>
          <w:szCs w:val="28"/>
        </w:rPr>
        <w:t>ruled</w:t>
      </w:r>
      <w:r w:rsidRPr="008A1C3B">
        <w:rPr>
          <w:rStyle w:val="FootnoteReference"/>
          <w:color w:val="000000" w:themeColor="text1"/>
          <w:sz w:val="28"/>
          <w:szCs w:val="28"/>
        </w:rPr>
        <w:footnoteReference w:id="6"/>
      </w:r>
      <w:r w:rsidRPr="008A1C3B">
        <w:rPr>
          <w:color w:val="000000" w:themeColor="text1"/>
          <w:sz w:val="28"/>
          <w:szCs w:val="28"/>
        </w:rPr>
        <w:t xml:space="preserve"> </w:t>
      </w:r>
      <w:r w:rsidR="002F3BCA" w:rsidRPr="008A1C3B">
        <w:rPr>
          <w:color w:val="000000" w:themeColor="text1"/>
          <w:sz w:val="28"/>
          <w:szCs w:val="28"/>
        </w:rPr>
        <w:t xml:space="preserve">that a process server is privileged to enter and remain on private property </w:t>
      </w:r>
      <w:r w:rsidRPr="008A1C3B">
        <w:rPr>
          <w:color w:val="000000" w:themeColor="text1"/>
          <w:sz w:val="28"/>
          <w:szCs w:val="28"/>
        </w:rPr>
        <w:t>when serving legal process</w:t>
      </w:r>
      <w:r w:rsidR="0029494C">
        <w:rPr>
          <w:rStyle w:val="FootnoteReference"/>
          <w:color w:val="000000" w:themeColor="text1"/>
          <w:sz w:val="28"/>
          <w:szCs w:val="28"/>
        </w:rPr>
        <w:footnoteReference w:id="7"/>
      </w:r>
      <w:r w:rsidR="00E21465">
        <w:rPr>
          <w:color w:val="000000" w:themeColor="text1"/>
          <w:sz w:val="28"/>
          <w:szCs w:val="28"/>
        </w:rPr>
        <w:t>, most are respectful when encountering posted "no trespassing" areas</w:t>
      </w:r>
      <w:r w:rsidR="008A1C3B">
        <w:rPr>
          <w:color w:val="000000" w:themeColor="text1"/>
          <w:sz w:val="28"/>
          <w:szCs w:val="28"/>
        </w:rPr>
        <w:t>.</w:t>
      </w:r>
      <w:r w:rsidRPr="008A1C3B">
        <w:rPr>
          <w:color w:val="000000" w:themeColor="text1"/>
          <w:sz w:val="28"/>
          <w:szCs w:val="28"/>
        </w:rPr>
        <w:t xml:space="preserve">  That court further commented, "Process can be served by entry to any property except the actual dwelling house itself", citing 62 Am Jur 2d 58</w:t>
      </w:r>
      <w:r w:rsidR="00E21465">
        <w:rPr>
          <w:color w:val="000000" w:themeColor="text1"/>
          <w:sz w:val="28"/>
          <w:szCs w:val="28"/>
        </w:rPr>
        <w:t xml:space="preserve">, which appears on its face to be </w:t>
      </w:r>
      <w:r w:rsidR="00252225" w:rsidRPr="008A1C3B">
        <w:rPr>
          <w:color w:val="000000" w:themeColor="text1"/>
          <w:sz w:val="28"/>
          <w:szCs w:val="28"/>
        </w:rPr>
        <w:t>consistent with ARCP Rule 4.1(a), wherein, "All process - including a summons - may be served anywhere within Arizona".</w:t>
      </w:r>
      <w:r w:rsidR="008A1C3B">
        <w:rPr>
          <w:color w:val="000000" w:themeColor="text1"/>
          <w:sz w:val="28"/>
          <w:szCs w:val="28"/>
        </w:rPr>
        <w:t xml:space="preserve">  </w:t>
      </w:r>
    </w:p>
    <w:p w14:paraId="6CD7B430" w14:textId="77777777" w:rsidR="004B05DF" w:rsidRDefault="00E21465" w:rsidP="00075B20">
      <w:pPr>
        <w:spacing w:line="360" w:lineRule="auto"/>
        <w:ind w:right="90" w:firstLine="720"/>
        <w:rPr>
          <w:color w:val="0070C0"/>
          <w:sz w:val="28"/>
          <w:szCs w:val="28"/>
        </w:rPr>
      </w:pPr>
      <w:r>
        <w:rPr>
          <w:color w:val="000000" w:themeColor="text1"/>
          <w:sz w:val="28"/>
          <w:szCs w:val="28"/>
        </w:rPr>
        <w:t xml:space="preserve">However, while State Bar notes that </w:t>
      </w:r>
      <w:r w:rsidRPr="00E21465">
        <w:rPr>
          <w:color w:val="000000" w:themeColor="text1"/>
          <w:sz w:val="28"/>
          <w:szCs w:val="28"/>
        </w:rPr>
        <w:t>"…</w:t>
      </w:r>
      <w:r>
        <w:rPr>
          <w:color w:val="000000" w:themeColor="text1"/>
          <w:sz w:val="28"/>
          <w:szCs w:val="28"/>
        </w:rPr>
        <w:t xml:space="preserve">in </w:t>
      </w:r>
      <w:r w:rsidRPr="00E21465">
        <w:rPr>
          <w:color w:val="0070C0"/>
          <w:sz w:val="28"/>
          <w:szCs w:val="28"/>
        </w:rPr>
        <w:t>only one state</w:t>
      </w:r>
      <w:r>
        <w:rPr>
          <w:color w:val="0070C0"/>
          <w:sz w:val="28"/>
          <w:szCs w:val="28"/>
        </w:rPr>
        <w:t xml:space="preserve"> </w:t>
      </w:r>
      <w:r w:rsidRPr="00E21465">
        <w:rPr>
          <w:color w:val="0070C0"/>
          <w:sz w:val="28"/>
          <w:szCs w:val="28"/>
        </w:rPr>
        <w:t>– Nevada – was service on a gate guard permitted</w:t>
      </w:r>
      <w:r>
        <w:rPr>
          <w:color w:val="0070C0"/>
          <w:sz w:val="28"/>
          <w:szCs w:val="28"/>
        </w:rPr>
        <w:t xml:space="preserve">…", </w:t>
      </w:r>
      <w:r w:rsidR="009D7E4A">
        <w:rPr>
          <w:color w:val="0070C0"/>
          <w:sz w:val="28"/>
          <w:szCs w:val="28"/>
        </w:rPr>
        <w:t>is incorrect</w:t>
      </w:r>
      <w:r w:rsidR="004B05DF">
        <w:rPr>
          <w:color w:val="0070C0"/>
          <w:sz w:val="28"/>
          <w:szCs w:val="28"/>
        </w:rPr>
        <w:t xml:space="preserve"> and misleading</w:t>
      </w:r>
      <w:r w:rsidR="009D7E4A">
        <w:rPr>
          <w:color w:val="0070C0"/>
          <w:sz w:val="28"/>
          <w:szCs w:val="28"/>
        </w:rPr>
        <w:t>.  Case law supports service on a gate guard where access is denied</w:t>
      </w:r>
      <w:r w:rsidR="009D7E4A">
        <w:rPr>
          <w:rStyle w:val="FootnoteReference"/>
          <w:color w:val="0070C0"/>
          <w:sz w:val="28"/>
          <w:szCs w:val="28"/>
        </w:rPr>
        <w:footnoteReference w:id="8"/>
      </w:r>
      <w:r w:rsidR="009D7E4A">
        <w:rPr>
          <w:color w:val="0070C0"/>
          <w:sz w:val="28"/>
          <w:szCs w:val="28"/>
        </w:rPr>
        <w:t>, as the "</w:t>
      </w:r>
      <w:r w:rsidR="004B05DF">
        <w:rPr>
          <w:color w:val="0070C0"/>
          <w:sz w:val="28"/>
          <w:szCs w:val="28"/>
        </w:rPr>
        <w:t>…</w:t>
      </w:r>
      <w:r w:rsidR="004B05DF" w:rsidRPr="004B05DF">
        <w:rPr>
          <w:color w:val="0070C0"/>
          <w:sz w:val="28"/>
          <w:szCs w:val="28"/>
        </w:rPr>
        <w:t xml:space="preserve">gate guard in </w:t>
      </w:r>
      <w:r w:rsidR="004B05DF" w:rsidRPr="004B05DF">
        <w:rPr>
          <w:color w:val="0070C0"/>
          <w:sz w:val="28"/>
          <w:szCs w:val="28"/>
        </w:rPr>
        <w:lastRenderedPageBreak/>
        <w:t>this case must be considered a comp</w:t>
      </w:r>
      <w:r w:rsidR="004B05DF">
        <w:rPr>
          <w:color w:val="0070C0"/>
          <w:sz w:val="28"/>
          <w:szCs w:val="28"/>
        </w:rPr>
        <w:t>etent member of the household</w:t>
      </w:r>
      <w:r w:rsidR="004B05DF" w:rsidRPr="004B05DF">
        <w:rPr>
          <w:color w:val="0070C0"/>
          <w:sz w:val="28"/>
          <w:szCs w:val="28"/>
        </w:rPr>
        <w:t xml:space="preserve"> and the person apparently in charge.</w:t>
      </w:r>
      <w:r w:rsidR="009D7E4A">
        <w:rPr>
          <w:color w:val="0070C0"/>
          <w:sz w:val="28"/>
          <w:szCs w:val="28"/>
        </w:rPr>
        <w:t>.</w:t>
      </w:r>
      <w:r w:rsidR="004B05DF">
        <w:rPr>
          <w:color w:val="0070C0"/>
          <w:sz w:val="28"/>
          <w:szCs w:val="28"/>
        </w:rPr>
        <w:t>"</w:t>
      </w:r>
    </w:p>
    <w:p w14:paraId="2A289245" w14:textId="77777777" w:rsidR="004B05DF" w:rsidRDefault="004B05DF" w:rsidP="00075B20">
      <w:pPr>
        <w:spacing w:line="360" w:lineRule="auto"/>
        <w:ind w:right="90" w:firstLine="720"/>
        <w:rPr>
          <w:color w:val="0070C0"/>
          <w:sz w:val="28"/>
          <w:szCs w:val="28"/>
        </w:rPr>
      </w:pPr>
      <w:r>
        <w:rPr>
          <w:color w:val="0070C0"/>
          <w:sz w:val="28"/>
          <w:szCs w:val="28"/>
        </w:rPr>
        <w:t xml:space="preserve">Further case law from other states supports such views from other courts, as well.  </w:t>
      </w:r>
      <w:r w:rsidRPr="004B05DF">
        <w:rPr>
          <w:color w:val="0070C0"/>
          <w:sz w:val="28"/>
          <w:szCs w:val="28"/>
        </w:rPr>
        <w:t>"While the defendant may control the acceptance of mail by his [or her] household, he [or she] may not thereby negate the effectiveness of service otherwise effective under the law."</w:t>
      </w:r>
    </w:p>
    <w:p w14:paraId="71802C37" w14:textId="77777777" w:rsidR="009D7E4A" w:rsidRDefault="009D7E4A" w:rsidP="00075B20">
      <w:pPr>
        <w:spacing w:line="360" w:lineRule="auto"/>
        <w:ind w:right="90" w:firstLine="720"/>
        <w:rPr>
          <w:color w:val="0070C0"/>
          <w:sz w:val="28"/>
          <w:szCs w:val="28"/>
        </w:rPr>
      </w:pPr>
      <w:r>
        <w:rPr>
          <w:color w:val="0070C0"/>
          <w:sz w:val="28"/>
          <w:szCs w:val="28"/>
        </w:rPr>
        <w:t xml:space="preserve">  </w:t>
      </w:r>
      <w:r w:rsidR="00E21465">
        <w:rPr>
          <w:color w:val="0070C0"/>
          <w:sz w:val="28"/>
          <w:szCs w:val="28"/>
        </w:rPr>
        <w:t xml:space="preserve">there is no mention of case law </w:t>
      </w:r>
      <w:r w:rsidR="00782188">
        <w:rPr>
          <w:color w:val="0070C0"/>
          <w:sz w:val="28"/>
          <w:szCs w:val="28"/>
        </w:rPr>
        <w:t>which is support</w:t>
      </w:r>
      <w:r>
        <w:rPr>
          <w:color w:val="0070C0"/>
          <w:sz w:val="28"/>
          <w:szCs w:val="28"/>
        </w:rPr>
        <w:t>s</w:t>
      </w:r>
      <w:r w:rsidR="00782188">
        <w:rPr>
          <w:color w:val="0070C0"/>
          <w:sz w:val="28"/>
          <w:szCs w:val="28"/>
        </w:rPr>
        <w:t xml:space="preserve"> service on a gate guard</w:t>
      </w:r>
      <w:r>
        <w:rPr>
          <w:color w:val="0070C0"/>
          <w:sz w:val="28"/>
          <w:szCs w:val="28"/>
        </w:rPr>
        <w:t xml:space="preserve">.  In that case, in attempting to serve the individual and </w:t>
      </w:r>
      <w:proofErr w:type="spellStart"/>
      <w:r>
        <w:rPr>
          <w:color w:val="0070C0"/>
          <w:sz w:val="28"/>
          <w:szCs w:val="28"/>
        </w:rPr>
        <w:t>corpiorate</w:t>
      </w:r>
      <w:proofErr w:type="spellEnd"/>
      <w:r>
        <w:rPr>
          <w:color w:val="0070C0"/>
          <w:sz w:val="28"/>
          <w:szCs w:val="28"/>
        </w:rPr>
        <w:t xml:space="preserve"> defendants, </w:t>
      </w:r>
      <w:r w:rsidR="00782188">
        <w:rPr>
          <w:color w:val="0070C0"/>
          <w:sz w:val="28"/>
          <w:szCs w:val="28"/>
        </w:rPr>
        <w:t>the "…</w:t>
      </w:r>
      <w:r w:rsidR="00782188" w:rsidRPr="00782188">
        <w:rPr>
          <w:color w:val="0070C0"/>
          <w:sz w:val="28"/>
          <w:szCs w:val="28"/>
        </w:rPr>
        <w:t xml:space="preserve">process </w:t>
      </w:r>
      <w:r>
        <w:rPr>
          <w:color w:val="0070C0"/>
          <w:sz w:val="28"/>
          <w:szCs w:val="28"/>
        </w:rPr>
        <w:t>s</w:t>
      </w:r>
      <w:r w:rsidR="00782188" w:rsidRPr="00782188">
        <w:rPr>
          <w:color w:val="0070C0"/>
          <w:sz w:val="28"/>
          <w:szCs w:val="28"/>
        </w:rPr>
        <w:t>erver was denied access to the area by the gate guard stationed at the community's entrance. The process server finally resorted to substitute service upon the guard</w:t>
      </w:r>
      <w:r>
        <w:rPr>
          <w:color w:val="0070C0"/>
          <w:sz w:val="28"/>
          <w:szCs w:val="28"/>
        </w:rPr>
        <w:t xml:space="preserve">…".  </w:t>
      </w:r>
    </w:p>
    <w:p w14:paraId="5D2D414D" w14:textId="77777777" w:rsidR="009D7E4A" w:rsidRDefault="009D7E4A" w:rsidP="00075B20">
      <w:pPr>
        <w:spacing w:line="360" w:lineRule="auto"/>
        <w:ind w:right="90" w:firstLine="720"/>
        <w:rPr>
          <w:color w:val="0070C0"/>
          <w:sz w:val="28"/>
          <w:szCs w:val="28"/>
        </w:rPr>
      </w:pPr>
    </w:p>
    <w:p w14:paraId="2C2F029D" w14:textId="77777777" w:rsidR="009D7E4A" w:rsidRDefault="009D7E4A" w:rsidP="00075B20">
      <w:pPr>
        <w:spacing w:line="360" w:lineRule="auto"/>
        <w:ind w:right="90" w:firstLine="720"/>
        <w:rPr>
          <w:color w:val="0070C0"/>
          <w:sz w:val="28"/>
          <w:szCs w:val="28"/>
        </w:rPr>
      </w:pPr>
    </w:p>
    <w:p w14:paraId="2283FA22" w14:textId="77777777" w:rsidR="009D7E4A" w:rsidRDefault="009D7E4A" w:rsidP="00075B20">
      <w:pPr>
        <w:spacing w:line="360" w:lineRule="auto"/>
        <w:ind w:right="90" w:firstLine="720"/>
        <w:rPr>
          <w:color w:val="0070C0"/>
          <w:sz w:val="28"/>
          <w:szCs w:val="28"/>
        </w:rPr>
      </w:pPr>
      <w:r>
        <w:rPr>
          <w:color w:val="0070C0"/>
          <w:sz w:val="28"/>
          <w:szCs w:val="28"/>
        </w:rPr>
        <w:t xml:space="preserve">Quoting from that court: </w:t>
      </w:r>
    </w:p>
    <w:p w14:paraId="3C1FAD90" w14:textId="77777777" w:rsidR="009D7E4A" w:rsidRDefault="009D7E4A" w:rsidP="00075B20">
      <w:pPr>
        <w:spacing w:line="360" w:lineRule="auto"/>
        <w:ind w:left="1440" w:right="90"/>
        <w:rPr>
          <w:color w:val="0070C0"/>
          <w:sz w:val="28"/>
          <w:szCs w:val="28"/>
        </w:rPr>
      </w:pPr>
      <w:r>
        <w:rPr>
          <w:color w:val="0070C0"/>
          <w:sz w:val="28"/>
          <w:szCs w:val="28"/>
        </w:rPr>
        <w:t xml:space="preserve">"(4) </w:t>
      </w:r>
      <w:r w:rsidRPr="009D7E4A">
        <w:rPr>
          <w:color w:val="0070C0"/>
          <w:sz w:val="28"/>
          <w:szCs w:val="28"/>
        </w:rPr>
        <w:t xml:space="preserve">Litigants have the right to choose their abodes; they do not have the right to control who may sue or serve them by denying them physical access. In </w:t>
      </w:r>
      <w:proofErr w:type="spellStart"/>
      <w:r w:rsidRPr="009D7E4A">
        <w:rPr>
          <w:i/>
          <w:color w:val="0070C0"/>
          <w:sz w:val="28"/>
          <w:szCs w:val="28"/>
        </w:rPr>
        <w:t>Khourie</w:t>
      </w:r>
      <w:proofErr w:type="spellEnd"/>
      <w:r w:rsidRPr="009D7E4A">
        <w:rPr>
          <w:i/>
          <w:color w:val="0070C0"/>
          <w:sz w:val="28"/>
          <w:szCs w:val="28"/>
        </w:rPr>
        <w:t>, Crew &amp; Jaeger v. Sabek, Inc</w:t>
      </w:r>
      <w:r w:rsidRPr="009D7E4A">
        <w:rPr>
          <w:color w:val="0070C0"/>
          <w:sz w:val="28"/>
          <w:szCs w:val="28"/>
        </w:rPr>
        <w:t xml:space="preserve">. (1990) 220 Cal. App.3d 1009 [269 Cal. </w:t>
      </w:r>
      <w:proofErr w:type="spellStart"/>
      <w:r w:rsidRPr="009D7E4A">
        <w:rPr>
          <w:color w:val="0070C0"/>
          <w:sz w:val="28"/>
          <w:szCs w:val="28"/>
        </w:rPr>
        <w:t>Rptr</w:t>
      </w:r>
      <w:proofErr w:type="spellEnd"/>
      <w:r w:rsidRPr="009D7E4A">
        <w:rPr>
          <w:color w:val="0070C0"/>
          <w:sz w:val="28"/>
          <w:szCs w:val="28"/>
        </w:rPr>
        <w:t xml:space="preserve">. 687], where a corporation attempted to avoid service by refusing to unlock its door, the court determined a "defendant will not be permitted to defeat service by rendering physical service impossible." (Id. at p. 1013.) (2c) "The evident purpose of Code of Civil Procedure section 415.20 is to permit service to be completed upon a good faith attempt at physical service on a </w:t>
      </w:r>
      <w:r w:rsidRPr="009D7E4A">
        <w:rPr>
          <w:i/>
          <w:color w:val="0070C0"/>
          <w:sz w:val="28"/>
          <w:szCs w:val="28"/>
        </w:rPr>
        <w:t>responsible person</w:t>
      </w:r>
      <w:r w:rsidRPr="009D7E4A">
        <w:rPr>
          <w:color w:val="0070C0"/>
          <w:sz w:val="28"/>
          <w:szCs w:val="28"/>
        </w:rPr>
        <w:t xml:space="preserve">...." (Ibid., italics added.) Service must be made upon a person whose "relationship with the person to </w:t>
      </w:r>
      <w:r w:rsidRPr="009D7E4A">
        <w:rPr>
          <w:color w:val="0070C0"/>
          <w:sz w:val="28"/>
          <w:szCs w:val="28"/>
        </w:rPr>
        <w:lastRenderedPageBreak/>
        <w:t>be served makes it more likely than not that they will deliver process to the named party." (</w:t>
      </w:r>
      <w:r w:rsidRPr="009D7E4A">
        <w:rPr>
          <w:i/>
          <w:color w:val="0070C0"/>
          <w:sz w:val="28"/>
          <w:szCs w:val="28"/>
        </w:rPr>
        <w:t>50 Court St. Assoc. v. Mendelson et al</w:t>
      </w:r>
      <w:r w:rsidRPr="009D7E4A">
        <w:rPr>
          <w:color w:val="0070C0"/>
          <w:sz w:val="28"/>
          <w:szCs w:val="28"/>
        </w:rPr>
        <w:t>. (1991) 151 Misc.2d 87 [572 N.Y.S.2d 997, 999].)</w:t>
      </w:r>
      <w:r>
        <w:rPr>
          <w:color w:val="0070C0"/>
          <w:sz w:val="28"/>
          <w:szCs w:val="28"/>
        </w:rPr>
        <w:t xml:space="preserve">  </w:t>
      </w:r>
      <w:r w:rsidRPr="009D7E4A">
        <w:rPr>
          <w:color w:val="0070C0"/>
          <w:sz w:val="28"/>
          <w:szCs w:val="28"/>
        </w:rPr>
        <w:t>Here, the gate guard's relationship with appellants made it more likely than not that he would deliver process to appellants</w:t>
      </w:r>
      <w:r>
        <w:rPr>
          <w:color w:val="0070C0"/>
          <w:sz w:val="28"/>
          <w:szCs w:val="28"/>
        </w:rPr>
        <w:t>..</w:t>
      </w:r>
      <w:r w:rsidRPr="009D7E4A">
        <w:rPr>
          <w:color w:val="0070C0"/>
          <w:sz w:val="28"/>
          <w:szCs w:val="28"/>
        </w:rPr>
        <w:t>.</w:t>
      </w:r>
      <w:r>
        <w:rPr>
          <w:color w:val="0070C0"/>
          <w:sz w:val="28"/>
          <w:szCs w:val="28"/>
        </w:rPr>
        <w:t>"</w:t>
      </w:r>
    </w:p>
    <w:p w14:paraId="26524488" w14:textId="77777777" w:rsidR="00E21465" w:rsidRDefault="009D7E4A" w:rsidP="00075B20">
      <w:pPr>
        <w:spacing w:line="360" w:lineRule="auto"/>
        <w:ind w:right="90" w:firstLine="720"/>
        <w:rPr>
          <w:color w:val="0070C0"/>
          <w:sz w:val="28"/>
          <w:szCs w:val="28"/>
        </w:rPr>
      </w:pPr>
      <w:r>
        <w:rPr>
          <w:color w:val="0070C0"/>
          <w:sz w:val="28"/>
          <w:szCs w:val="28"/>
        </w:rPr>
        <w:t>That court found that because "…</w:t>
      </w:r>
      <w:r w:rsidRPr="009D7E4A">
        <w:t xml:space="preserve"> </w:t>
      </w:r>
      <w:r w:rsidRPr="009D7E4A">
        <w:rPr>
          <w:color w:val="0070C0"/>
          <w:sz w:val="28"/>
          <w:szCs w:val="28"/>
        </w:rPr>
        <w:t>the gate guard denied access. Substitute service was appropriate.</w:t>
      </w:r>
      <w:r>
        <w:rPr>
          <w:color w:val="0070C0"/>
          <w:sz w:val="28"/>
          <w:szCs w:val="28"/>
        </w:rPr>
        <w:t>"</w:t>
      </w:r>
    </w:p>
    <w:p w14:paraId="3D1BD95E" w14:textId="77777777" w:rsidR="00E21465" w:rsidRPr="00E21465" w:rsidRDefault="00E21465" w:rsidP="00075B20">
      <w:pPr>
        <w:spacing w:line="360" w:lineRule="auto"/>
        <w:ind w:right="90" w:firstLine="720"/>
        <w:rPr>
          <w:color w:val="000000" w:themeColor="text1"/>
          <w:sz w:val="28"/>
          <w:szCs w:val="28"/>
        </w:rPr>
      </w:pPr>
      <w:r w:rsidRPr="00E21465">
        <w:rPr>
          <w:color w:val="0070C0"/>
          <w:sz w:val="28"/>
          <w:szCs w:val="28"/>
        </w:rPr>
        <w:t xml:space="preserve">.  Additionally, in the states cited by Petitioner, the changes were made by legislation, not by a judicial rule-making process", the State Bar fails to mention that </w:t>
      </w:r>
      <w:r>
        <w:rPr>
          <w:color w:val="0070C0"/>
          <w:sz w:val="28"/>
          <w:szCs w:val="28"/>
        </w:rPr>
        <w:t xml:space="preserve">invasive authority to enter one's property must necessarily be by legislative action, </w:t>
      </w:r>
    </w:p>
    <w:p w14:paraId="706EBB52" w14:textId="02CD8377" w:rsidR="00111119" w:rsidRDefault="0029494C" w:rsidP="00075B20">
      <w:pPr>
        <w:spacing w:line="360" w:lineRule="auto"/>
        <w:ind w:right="90" w:firstLine="720"/>
        <w:rPr>
          <w:color w:val="000000" w:themeColor="text1"/>
          <w:sz w:val="28"/>
          <w:szCs w:val="28"/>
        </w:rPr>
      </w:pPr>
      <w:r>
        <w:rPr>
          <w:color w:val="000000" w:themeColor="text1"/>
          <w:sz w:val="28"/>
          <w:szCs w:val="28"/>
        </w:rPr>
        <w:t xml:space="preserve">Accordingly, Petitioner seeks to have an available means for service of process upon a gatekeeper, while respecting the ownership boundaries of the planned community.  </w:t>
      </w:r>
      <w:r w:rsidR="008A1C3B">
        <w:rPr>
          <w:color w:val="000000" w:themeColor="text1"/>
          <w:sz w:val="28"/>
          <w:szCs w:val="28"/>
        </w:rPr>
        <w:t>Petitioner believes that this proposed rule change is consistent with others, in that the</w:t>
      </w:r>
      <w:r w:rsidR="00111119">
        <w:rPr>
          <w:color w:val="000000" w:themeColor="text1"/>
          <w:sz w:val="28"/>
          <w:szCs w:val="28"/>
        </w:rPr>
        <w:t xml:space="preserve"> gate guard at a planned community is </w:t>
      </w:r>
      <w:r w:rsidR="008A1C3B">
        <w:rPr>
          <w:color w:val="000000" w:themeColor="text1"/>
          <w:sz w:val="28"/>
          <w:szCs w:val="28"/>
        </w:rPr>
        <w:t xml:space="preserve">appointed as the </w:t>
      </w:r>
      <w:r w:rsidR="00111119">
        <w:rPr>
          <w:color w:val="000000" w:themeColor="text1"/>
          <w:sz w:val="28"/>
          <w:szCs w:val="28"/>
        </w:rPr>
        <w:t xml:space="preserve">person who allows or disallows access to the premises, and thus </w:t>
      </w:r>
      <w:r>
        <w:rPr>
          <w:color w:val="000000" w:themeColor="text1"/>
          <w:sz w:val="28"/>
          <w:szCs w:val="28"/>
        </w:rPr>
        <w:t xml:space="preserve">a person </w:t>
      </w:r>
      <w:r w:rsidR="00111119">
        <w:rPr>
          <w:color w:val="000000" w:themeColor="text1"/>
          <w:sz w:val="28"/>
          <w:szCs w:val="28"/>
        </w:rPr>
        <w:t>of suitable age and discretion.</w:t>
      </w:r>
    </w:p>
    <w:p w14:paraId="63152043" w14:textId="77777777" w:rsidR="0062404A" w:rsidRPr="008A1C3B" w:rsidRDefault="0062404A" w:rsidP="00075B20">
      <w:pPr>
        <w:spacing w:line="360" w:lineRule="auto"/>
        <w:ind w:right="90" w:firstLine="720"/>
        <w:rPr>
          <w:color w:val="000000" w:themeColor="text1"/>
          <w:sz w:val="28"/>
          <w:szCs w:val="28"/>
        </w:rPr>
      </w:pPr>
    </w:p>
    <w:p w14:paraId="3C83A4B3" w14:textId="77777777" w:rsidR="009830BC" w:rsidRPr="008A1C3B" w:rsidRDefault="009830BC" w:rsidP="00075B20">
      <w:pPr>
        <w:spacing w:line="360" w:lineRule="auto"/>
        <w:ind w:right="90" w:firstLine="720"/>
        <w:rPr>
          <w:i/>
          <w:color w:val="0070C0"/>
          <w:sz w:val="28"/>
          <w:szCs w:val="28"/>
        </w:rPr>
      </w:pPr>
      <w:r w:rsidRPr="008A1C3B">
        <w:rPr>
          <w:i/>
          <w:color w:val="0070C0"/>
          <w:sz w:val="28"/>
          <w:szCs w:val="28"/>
        </w:rPr>
        <w:t>And in only one state– Nevada – was service on a gate guard permitted.  Additionally, in the states cited by Petitioner, the changes were made by legislation, not by</w:t>
      </w:r>
      <w:r w:rsidR="004D0366" w:rsidRPr="008A1C3B">
        <w:rPr>
          <w:i/>
          <w:color w:val="0070C0"/>
          <w:sz w:val="28"/>
          <w:szCs w:val="28"/>
        </w:rPr>
        <w:t xml:space="preserve"> a judicial rule-making process.</w:t>
      </w:r>
    </w:p>
    <w:p w14:paraId="21523242" w14:textId="77777777" w:rsidR="009830BC" w:rsidRPr="008A1C3B" w:rsidRDefault="009830BC" w:rsidP="00075B20">
      <w:pPr>
        <w:spacing w:line="360" w:lineRule="auto"/>
        <w:ind w:right="90" w:firstLine="720"/>
        <w:rPr>
          <w:i/>
          <w:color w:val="0070C0"/>
          <w:sz w:val="28"/>
          <w:szCs w:val="28"/>
        </w:rPr>
      </w:pPr>
      <w:r w:rsidRPr="008A1C3B">
        <w:rPr>
          <w:i/>
          <w:color w:val="0070C0"/>
          <w:sz w:val="28"/>
          <w:szCs w:val="28"/>
        </w:rPr>
        <w:t xml:space="preserve">The State Bar believes that if the existing alternative service provisions in Rule 4.1(k) are deemed insufficient, Petitioner </w:t>
      </w:r>
      <w:r w:rsidR="004A467D" w:rsidRPr="008A1C3B">
        <w:rPr>
          <w:i/>
          <w:color w:val="0070C0"/>
          <w:sz w:val="28"/>
          <w:szCs w:val="28"/>
        </w:rPr>
        <w:t>may raise this matter with the</w:t>
      </w:r>
      <w:r w:rsidRPr="008A1C3B">
        <w:rPr>
          <w:i/>
          <w:color w:val="0070C0"/>
          <w:sz w:val="28"/>
          <w:szCs w:val="28"/>
        </w:rPr>
        <w:t xml:space="preserve"> Legislature.  Determining th</w:t>
      </w:r>
      <w:r w:rsidR="00E8589D" w:rsidRPr="008A1C3B">
        <w:rPr>
          <w:i/>
          <w:color w:val="0070C0"/>
          <w:sz w:val="28"/>
          <w:szCs w:val="28"/>
        </w:rPr>
        <w:t>e legal obligations of guards in</w:t>
      </w:r>
      <w:r w:rsidRPr="008A1C3B">
        <w:rPr>
          <w:i/>
          <w:color w:val="0070C0"/>
          <w:sz w:val="28"/>
          <w:szCs w:val="28"/>
        </w:rPr>
        <w:t xml:space="preserve"> gated communities is intrinsically legislative.  The Legislature is better equipped to weigh the </w:t>
      </w:r>
      <w:r w:rsidRPr="008A1C3B">
        <w:rPr>
          <w:i/>
          <w:color w:val="0070C0"/>
          <w:sz w:val="28"/>
          <w:szCs w:val="28"/>
        </w:rPr>
        <w:lastRenderedPageBreak/>
        <w:t>conflicting interests of process servers, residents o</w:t>
      </w:r>
      <w:r w:rsidR="004D0366" w:rsidRPr="008A1C3B">
        <w:rPr>
          <w:i/>
          <w:color w:val="0070C0"/>
          <w:sz w:val="28"/>
          <w:szCs w:val="28"/>
        </w:rPr>
        <w:t>f gated communities, homeowners associations and other stakeholders.</w:t>
      </w:r>
    </w:p>
    <w:p w14:paraId="695ECF89" w14:textId="77777777" w:rsidR="009830BC" w:rsidRPr="008A1C3B" w:rsidRDefault="00E411A6" w:rsidP="00075B20">
      <w:pPr>
        <w:keepNext/>
        <w:keepLines/>
        <w:widowControl w:val="0"/>
        <w:spacing w:before="200" w:after="54" w:line="360" w:lineRule="auto"/>
        <w:ind w:right="90"/>
        <w:rPr>
          <w:b/>
          <w:i/>
          <w:color w:val="0070C0"/>
          <w:sz w:val="28"/>
          <w:szCs w:val="28"/>
        </w:rPr>
      </w:pPr>
      <w:r w:rsidRPr="008A1C3B">
        <w:rPr>
          <w:b/>
          <w:i/>
          <w:color w:val="0070C0"/>
          <w:sz w:val="28"/>
          <w:szCs w:val="28"/>
        </w:rPr>
        <w:t>CONCLUSION</w:t>
      </w:r>
    </w:p>
    <w:p w14:paraId="754CB87F" w14:textId="77777777" w:rsidR="00E411A6" w:rsidRPr="008A1C3B" w:rsidRDefault="00E411A6" w:rsidP="00075B20">
      <w:pPr>
        <w:keepNext/>
        <w:keepLines/>
        <w:widowControl w:val="0"/>
        <w:spacing w:before="200" w:after="54" w:line="360" w:lineRule="auto"/>
        <w:ind w:right="90"/>
        <w:rPr>
          <w:b/>
          <w:i/>
          <w:sz w:val="28"/>
          <w:szCs w:val="28"/>
        </w:rPr>
      </w:pPr>
    </w:p>
    <w:p w14:paraId="1B4ED866" w14:textId="77777777" w:rsidR="00A035C0" w:rsidRDefault="00E411A6" w:rsidP="00075B20">
      <w:pPr>
        <w:spacing w:line="360" w:lineRule="auto"/>
        <w:ind w:right="90" w:firstLine="720"/>
        <w:rPr>
          <w:sz w:val="28"/>
          <w:szCs w:val="28"/>
        </w:rPr>
      </w:pPr>
      <w:r>
        <w:rPr>
          <w:sz w:val="28"/>
          <w:szCs w:val="28"/>
        </w:rPr>
        <w:tab/>
      </w:r>
      <w:r w:rsidR="00A035C0">
        <w:rPr>
          <w:sz w:val="28"/>
          <w:szCs w:val="28"/>
        </w:rPr>
        <w:t>Petitioner is grateful to the Task Force in its submission of a comprehensive re-write of the Arizona Rules of Civil Procedure (ARCP).  However, being that the Task Force did not include process servers in its composition, Petitioner believes that this area of service of process was overlooked, to the detriment of not only individual litigants representing themselves, but those represented by counsel.</w:t>
      </w:r>
    </w:p>
    <w:p w14:paraId="3AD08910" w14:textId="77777777" w:rsidR="00E411A6" w:rsidRPr="003C7309" w:rsidRDefault="009830BC" w:rsidP="00075B20">
      <w:pPr>
        <w:pStyle w:val="Body"/>
        <w:widowControl w:val="0"/>
        <w:tabs>
          <w:tab w:val="left" w:pos="720"/>
        </w:tabs>
        <w:spacing w:line="360" w:lineRule="auto"/>
        <w:ind w:right="90" w:firstLine="0"/>
        <w:rPr>
          <w:color w:val="0070C0"/>
          <w:sz w:val="28"/>
          <w:szCs w:val="28"/>
        </w:rPr>
      </w:pPr>
      <w:r w:rsidRPr="008A1C3B">
        <w:rPr>
          <w:i/>
          <w:color w:val="0070C0"/>
          <w:sz w:val="28"/>
          <w:szCs w:val="28"/>
        </w:rPr>
        <w:t>Existing Rule 4.1(k) allows a flexible approach to service of process on residents of gated communities.  Any attempt to impose specific legal duties on gate guards is both unnecessary and beyond the scope of the rule-making process of this Court.  For these reasons,</w:t>
      </w:r>
      <w:r w:rsidRPr="003C7309">
        <w:rPr>
          <w:color w:val="0070C0"/>
          <w:sz w:val="28"/>
          <w:szCs w:val="28"/>
        </w:rPr>
        <w:t xml:space="preserve"> the State Bar respectfully recommends that the Court reject Petition R-17-0001.</w:t>
      </w:r>
      <w:r w:rsidR="006F63FD" w:rsidRPr="003C7309">
        <w:rPr>
          <w:color w:val="0070C0"/>
          <w:sz w:val="28"/>
          <w:szCs w:val="28"/>
        </w:rPr>
        <w:t xml:space="preserve">       </w:t>
      </w:r>
    </w:p>
    <w:p w14:paraId="6D26F3A4" w14:textId="77777777" w:rsidR="000C48A9" w:rsidRPr="003C7309" w:rsidRDefault="00E411A6" w:rsidP="00075B20">
      <w:pPr>
        <w:pStyle w:val="Body"/>
        <w:widowControl w:val="0"/>
        <w:tabs>
          <w:tab w:val="left" w:pos="720"/>
        </w:tabs>
        <w:spacing w:line="360" w:lineRule="auto"/>
        <w:ind w:right="90" w:firstLine="0"/>
        <w:rPr>
          <w:color w:val="0070C0"/>
          <w:sz w:val="28"/>
          <w:szCs w:val="28"/>
        </w:rPr>
      </w:pPr>
      <w:r w:rsidRPr="003C7309">
        <w:rPr>
          <w:color w:val="0070C0"/>
          <w:sz w:val="28"/>
          <w:szCs w:val="28"/>
        </w:rPr>
        <w:tab/>
      </w:r>
      <w:r w:rsidR="000C48A9" w:rsidRPr="003C7309">
        <w:rPr>
          <w:color w:val="0070C0"/>
          <w:sz w:val="28"/>
          <w:szCs w:val="28"/>
        </w:rPr>
        <w:t>RESPECTFULLY SUBMITTED this ____day of____________</w:t>
      </w:r>
      <w:r w:rsidRPr="003C7309">
        <w:rPr>
          <w:color w:val="0070C0"/>
          <w:sz w:val="28"/>
          <w:szCs w:val="28"/>
        </w:rPr>
        <w:t>____</w:t>
      </w:r>
      <w:r w:rsidR="00F850BE" w:rsidRPr="003C7309">
        <w:rPr>
          <w:color w:val="0070C0"/>
          <w:sz w:val="28"/>
          <w:szCs w:val="28"/>
        </w:rPr>
        <w:t>, 2017</w:t>
      </w:r>
      <w:r w:rsidR="000C48A9" w:rsidRPr="003C7309">
        <w:rPr>
          <w:color w:val="0070C0"/>
          <w:sz w:val="28"/>
          <w:szCs w:val="28"/>
        </w:rPr>
        <w:t>.</w:t>
      </w:r>
    </w:p>
    <w:p w14:paraId="0A5DC9B3" w14:textId="77777777" w:rsidR="000C48A9" w:rsidRPr="003C7309" w:rsidRDefault="000C48A9" w:rsidP="00075B20">
      <w:pPr>
        <w:pStyle w:val="Body"/>
        <w:widowControl w:val="0"/>
        <w:tabs>
          <w:tab w:val="left" w:pos="720"/>
        </w:tabs>
        <w:spacing w:line="360" w:lineRule="auto"/>
        <w:ind w:firstLine="0"/>
        <w:rPr>
          <w:color w:val="0070C0"/>
          <w:sz w:val="28"/>
          <w:szCs w:val="28"/>
        </w:rPr>
      </w:pPr>
    </w:p>
    <w:p w14:paraId="4B0F99E4" w14:textId="77777777" w:rsidR="000C48A9" w:rsidRPr="003C7309" w:rsidRDefault="000C48A9" w:rsidP="00075B20">
      <w:pPr>
        <w:pStyle w:val="Body"/>
        <w:widowControl w:val="0"/>
        <w:tabs>
          <w:tab w:val="left" w:pos="720"/>
        </w:tabs>
        <w:spacing w:line="360" w:lineRule="auto"/>
        <w:ind w:firstLine="0"/>
        <w:rPr>
          <w:color w:val="0070C0"/>
          <w:sz w:val="28"/>
          <w:szCs w:val="28"/>
        </w:rPr>
      </w:pPr>
    </w:p>
    <w:p w14:paraId="308F8CB5" w14:textId="77777777" w:rsidR="000C48A9" w:rsidRPr="003C7309" w:rsidRDefault="000C48A9" w:rsidP="00075B20">
      <w:pPr>
        <w:pStyle w:val="Body"/>
        <w:widowControl w:val="0"/>
        <w:tabs>
          <w:tab w:val="left" w:pos="720"/>
        </w:tabs>
        <w:spacing w:line="360" w:lineRule="auto"/>
        <w:ind w:firstLine="0"/>
        <w:rPr>
          <w:color w:val="0070C0"/>
          <w:sz w:val="28"/>
          <w:szCs w:val="28"/>
        </w:rPr>
      </w:pPr>
    </w:p>
    <w:p w14:paraId="0E15BD2B" w14:textId="77777777" w:rsidR="000C48A9" w:rsidRPr="003C7309" w:rsidRDefault="00F850BE" w:rsidP="00075B20">
      <w:pPr>
        <w:pStyle w:val="PleadingSignature"/>
        <w:keepNext w:val="0"/>
        <w:keepLines w:val="0"/>
        <w:pBdr>
          <w:top w:val="single" w:sz="4" w:space="1" w:color="auto"/>
        </w:pBdr>
        <w:spacing w:line="360" w:lineRule="auto"/>
        <w:ind w:left="5070"/>
        <w:rPr>
          <w:color w:val="0070C0"/>
          <w:sz w:val="28"/>
          <w:szCs w:val="28"/>
        </w:rPr>
      </w:pPr>
      <w:r w:rsidRPr="003C7309">
        <w:rPr>
          <w:color w:val="0070C0"/>
          <w:sz w:val="28"/>
          <w:szCs w:val="28"/>
        </w:rPr>
        <w:t>Lisa M. Panahi</w:t>
      </w:r>
    </w:p>
    <w:p w14:paraId="7306E40C" w14:textId="77777777" w:rsidR="000C48A9" w:rsidRPr="003C7309" w:rsidRDefault="000C48A9" w:rsidP="00075B20">
      <w:pPr>
        <w:pStyle w:val="PleadingSignature"/>
        <w:keepNext w:val="0"/>
        <w:keepLines w:val="0"/>
        <w:spacing w:line="360" w:lineRule="auto"/>
        <w:ind w:left="5070"/>
        <w:rPr>
          <w:color w:val="0070C0"/>
          <w:sz w:val="28"/>
          <w:szCs w:val="28"/>
        </w:rPr>
      </w:pPr>
      <w:r w:rsidRPr="003C7309">
        <w:rPr>
          <w:color w:val="0070C0"/>
          <w:sz w:val="28"/>
          <w:szCs w:val="28"/>
        </w:rPr>
        <w:t>General Counsel</w:t>
      </w:r>
    </w:p>
    <w:p w14:paraId="6A67A0DC" w14:textId="77777777" w:rsidR="00C52E56" w:rsidRPr="003C7309" w:rsidRDefault="00C52E56" w:rsidP="00075B20">
      <w:pPr>
        <w:widowControl w:val="0"/>
        <w:spacing w:line="360" w:lineRule="auto"/>
        <w:ind w:right="4140"/>
        <w:rPr>
          <w:color w:val="0070C0"/>
          <w:sz w:val="28"/>
          <w:szCs w:val="28"/>
        </w:rPr>
      </w:pPr>
    </w:p>
    <w:p w14:paraId="2493058B" w14:textId="77777777" w:rsidR="00C52E56" w:rsidRPr="003C7309" w:rsidRDefault="00C52E56" w:rsidP="00075B20">
      <w:pPr>
        <w:widowControl w:val="0"/>
        <w:spacing w:line="360" w:lineRule="auto"/>
        <w:ind w:right="4140"/>
        <w:rPr>
          <w:color w:val="0070C0"/>
          <w:sz w:val="28"/>
          <w:szCs w:val="28"/>
        </w:rPr>
      </w:pPr>
    </w:p>
    <w:p w14:paraId="3748755F" w14:textId="77777777" w:rsidR="000C48A9" w:rsidRPr="003C7309" w:rsidRDefault="000C48A9" w:rsidP="00075B20">
      <w:pPr>
        <w:widowControl w:val="0"/>
        <w:spacing w:line="360" w:lineRule="auto"/>
        <w:ind w:right="4140"/>
        <w:rPr>
          <w:color w:val="0070C0"/>
          <w:sz w:val="28"/>
          <w:szCs w:val="28"/>
        </w:rPr>
      </w:pPr>
      <w:r w:rsidRPr="003C7309">
        <w:rPr>
          <w:color w:val="0070C0"/>
          <w:sz w:val="28"/>
          <w:szCs w:val="28"/>
        </w:rPr>
        <w:lastRenderedPageBreak/>
        <w:t>Electronic copy filed with the</w:t>
      </w:r>
    </w:p>
    <w:p w14:paraId="71CB891D" w14:textId="77777777" w:rsidR="000C48A9" w:rsidRPr="003C7309" w:rsidRDefault="000C48A9" w:rsidP="00075B20">
      <w:pPr>
        <w:spacing w:line="360" w:lineRule="auto"/>
        <w:ind w:right="4140"/>
        <w:rPr>
          <w:color w:val="0070C0"/>
          <w:sz w:val="28"/>
          <w:szCs w:val="28"/>
        </w:rPr>
      </w:pPr>
      <w:r w:rsidRPr="003C7309">
        <w:rPr>
          <w:color w:val="0070C0"/>
          <w:sz w:val="28"/>
          <w:szCs w:val="28"/>
        </w:rPr>
        <w:t>Clerk of the Arizona Supreme Court</w:t>
      </w:r>
    </w:p>
    <w:p w14:paraId="285801F1" w14:textId="77777777" w:rsidR="000C48A9" w:rsidRPr="003C7309" w:rsidRDefault="000C48A9" w:rsidP="00075B20">
      <w:pPr>
        <w:tabs>
          <w:tab w:val="left" w:pos="4836"/>
        </w:tabs>
        <w:spacing w:line="360" w:lineRule="auto"/>
        <w:ind w:right="3870"/>
        <w:rPr>
          <w:color w:val="0070C0"/>
          <w:sz w:val="28"/>
          <w:szCs w:val="28"/>
        </w:rPr>
      </w:pPr>
      <w:r w:rsidRPr="003C7309">
        <w:rPr>
          <w:color w:val="0070C0"/>
          <w:sz w:val="28"/>
          <w:szCs w:val="28"/>
        </w:rPr>
        <w:t>t</w:t>
      </w:r>
      <w:r w:rsidR="000F7A7F" w:rsidRPr="003C7309">
        <w:rPr>
          <w:color w:val="0070C0"/>
          <w:sz w:val="28"/>
          <w:szCs w:val="28"/>
        </w:rPr>
        <w:t>his _____ day of ________________</w:t>
      </w:r>
      <w:r w:rsidR="006F63FD" w:rsidRPr="003C7309">
        <w:rPr>
          <w:color w:val="0070C0"/>
          <w:sz w:val="28"/>
          <w:szCs w:val="28"/>
        </w:rPr>
        <w:t xml:space="preserve">___, </w:t>
      </w:r>
      <w:r w:rsidR="00F850BE" w:rsidRPr="003C7309">
        <w:rPr>
          <w:color w:val="0070C0"/>
          <w:sz w:val="28"/>
          <w:szCs w:val="28"/>
        </w:rPr>
        <w:t>2017</w:t>
      </w:r>
      <w:r w:rsidR="000F7A7F" w:rsidRPr="003C7309">
        <w:rPr>
          <w:color w:val="0070C0"/>
          <w:sz w:val="28"/>
          <w:szCs w:val="28"/>
        </w:rPr>
        <w:t>.</w:t>
      </w:r>
    </w:p>
    <w:p w14:paraId="534F3D50" w14:textId="77777777" w:rsidR="000F7A7F" w:rsidRPr="003C7309" w:rsidRDefault="000F7A7F" w:rsidP="00075B20">
      <w:pPr>
        <w:spacing w:line="360" w:lineRule="auto"/>
        <w:ind w:right="4572"/>
        <w:rPr>
          <w:color w:val="0070C0"/>
          <w:sz w:val="28"/>
          <w:szCs w:val="28"/>
        </w:rPr>
      </w:pPr>
    </w:p>
    <w:p w14:paraId="21EFF9D6" w14:textId="77777777" w:rsidR="00726A59" w:rsidRPr="003C7309" w:rsidRDefault="000C48A9" w:rsidP="00075B20">
      <w:pPr>
        <w:spacing w:line="360" w:lineRule="auto"/>
        <w:ind w:right="4572"/>
        <w:rPr>
          <w:color w:val="0070C0"/>
          <w:sz w:val="28"/>
          <w:szCs w:val="28"/>
        </w:rPr>
      </w:pPr>
      <w:r w:rsidRPr="003C7309">
        <w:rPr>
          <w:color w:val="0070C0"/>
          <w:sz w:val="28"/>
          <w:szCs w:val="28"/>
        </w:rPr>
        <w:t>by: ___________________________</w:t>
      </w:r>
      <w:r w:rsidR="004331B2" w:rsidRPr="003C7309">
        <w:rPr>
          <w:color w:val="0070C0"/>
          <w:sz w:val="28"/>
          <w:szCs w:val="28"/>
        </w:rPr>
        <w:t>____</w:t>
      </w:r>
      <w:r w:rsidRPr="003C7309">
        <w:rPr>
          <w:color w:val="0070C0"/>
          <w:sz w:val="28"/>
          <w:szCs w:val="28"/>
        </w:rPr>
        <w:t xml:space="preserve"> </w:t>
      </w:r>
      <w:bookmarkEnd w:id="1"/>
    </w:p>
    <w:sectPr w:rsidR="00726A59" w:rsidRPr="003C7309" w:rsidSect="008038DF">
      <w:type w:val="continuous"/>
      <w:pgSz w:w="12240" w:h="15840" w:code="1"/>
      <w:pgMar w:top="1440" w:right="1440" w:bottom="1440"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3834" w14:textId="77777777" w:rsidR="008038DF" w:rsidRDefault="008038DF">
      <w:r>
        <w:separator/>
      </w:r>
    </w:p>
  </w:endnote>
  <w:endnote w:type="continuationSeparator" w:id="0">
    <w:p w14:paraId="74093F99" w14:textId="77777777" w:rsidR="008038DF" w:rsidRDefault="0080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charset w:val="00"/>
    <w:family w:val="roman"/>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B284" w14:textId="77777777" w:rsidR="00782188" w:rsidRDefault="00782188"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54A25" w14:textId="77777777" w:rsidR="00782188" w:rsidRDefault="00782188" w:rsidP="00861563">
    <w:pPr>
      <w:pStyle w:val="Footer"/>
      <w:ind w:right="360"/>
    </w:pPr>
  </w:p>
  <w:p w14:paraId="1CBA3F44" w14:textId="77777777" w:rsidR="00782188" w:rsidRDefault="00782188"/>
  <w:p w14:paraId="3019D4AB" w14:textId="77777777" w:rsidR="00782188" w:rsidRDefault="007821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796323"/>
      <w:docPartObj>
        <w:docPartGallery w:val="Page Numbers (Bottom of Page)"/>
        <w:docPartUnique/>
      </w:docPartObj>
    </w:sdtPr>
    <w:sdtEndPr>
      <w:rPr>
        <w:noProof/>
      </w:rPr>
    </w:sdtEndPr>
    <w:sdtContent>
      <w:p w14:paraId="2AE859E8" w14:textId="2C1BD567" w:rsidR="00C37E57" w:rsidRDefault="009D2A54" w:rsidP="00855384">
        <w:pPr>
          <w:pStyle w:val="Footer"/>
          <w:tabs>
            <w:tab w:val="left" w:pos="9000"/>
          </w:tabs>
          <w:spacing w:before="240" w:line="240" w:lineRule="auto"/>
          <w:ind w:right="450"/>
          <w:jc w:val="right"/>
          <w:rPr>
            <w:noProof/>
          </w:rPr>
        </w:pPr>
        <w:r>
          <w:fldChar w:fldCharType="begin"/>
        </w:r>
        <w:r>
          <w:instrText xml:space="preserve"> PAGE   \* MERGEFORMAT </w:instrText>
        </w:r>
        <w:r>
          <w:fldChar w:fldCharType="separate"/>
        </w:r>
        <w:r>
          <w:rPr>
            <w:noProof/>
          </w:rPr>
          <w:t>2</w:t>
        </w:r>
        <w:r>
          <w:rPr>
            <w:noProof/>
          </w:rPr>
          <w:fldChar w:fldCharType="end"/>
        </w:r>
      </w:p>
      <w:p w14:paraId="532C7F88" w14:textId="4C375A9F" w:rsidR="009D2A54" w:rsidRDefault="00000000" w:rsidP="00855384">
        <w:pPr>
          <w:pStyle w:val="Footer"/>
          <w:spacing w:after="240" w:line="240" w:lineRule="auto"/>
          <w:ind w:right="450"/>
          <w:jc w:val="right"/>
        </w:pPr>
        <w:fldSimple w:instr=" FILENAME \* MERGEFORMAT ">
          <w:fldSimple w:instr=" FILENAME \* MERGEFORMAT ">
            <w:r w:rsidR="00855384">
              <w:rPr>
                <w:noProof/>
              </w:rPr>
              <w:t>APSA R-23-0049 2024-01-30 COMMENT</w:t>
            </w:r>
          </w:fldSimple>
        </w:fldSimple>
      </w:p>
    </w:sdtContent>
  </w:sdt>
  <w:p w14:paraId="3A5ADBAC" w14:textId="77777777" w:rsidR="00782188" w:rsidRDefault="00782188" w:rsidP="00555164">
    <w:pPr>
      <w:spacing w:before="24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CD18" w14:textId="77777777" w:rsidR="00855384" w:rsidRDefault="0085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2EA9" w14:textId="77777777" w:rsidR="008038DF" w:rsidRDefault="008038DF">
      <w:r>
        <w:separator/>
      </w:r>
    </w:p>
  </w:footnote>
  <w:footnote w:type="continuationSeparator" w:id="0">
    <w:p w14:paraId="0DCE47B2" w14:textId="77777777" w:rsidR="008038DF" w:rsidRDefault="008038DF">
      <w:r>
        <w:continuationSeparator/>
      </w:r>
    </w:p>
  </w:footnote>
  <w:footnote w:id="1">
    <w:p w14:paraId="3AE9E9AC" w14:textId="77777777" w:rsidR="0012706E" w:rsidRDefault="0012706E" w:rsidP="0012706E">
      <w:pPr>
        <w:pStyle w:val="FootnoteText"/>
      </w:pPr>
      <w:r>
        <w:rPr>
          <w:rStyle w:val="FootnoteReference"/>
        </w:rPr>
        <w:footnoteRef/>
      </w:r>
      <w:r>
        <w:t xml:space="preserve"> ARS §12-1577(</w:t>
      </w:r>
      <w:r w:rsidRPr="00AA5BC2">
        <w:t>B</w:t>
      </w:r>
      <w:r>
        <w:t xml:space="preserve">): </w:t>
      </w:r>
      <w:r w:rsidRPr="00AA5BC2">
        <w:t xml:space="preserve"> Notwithstanding subsection A of this section, service of a writ of garnishment on any banking corporation or association, savings bank, savings and loan association or credit union may also be made by certified mail, return receipt requested, at the garnishee's regular place of business, or to the garnishee's statutory agent or at a location that is designated by the garnishee.  If served by certified mail, the effective date of service is the date of receipt by the garnishee or the garnishee's statutory agent.</w:t>
      </w:r>
    </w:p>
  </w:footnote>
  <w:footnote w:id="2">
    <w:p w14:paraId="31A495D1" w14:textId="77777777" w:rsidR="00782188" w:rsidRDefault="00782188">
      <w:pPr>
        <w:pStyle w:val="FootnoteText"/>
      </w:pPr>
      <w:r>
        <w:rPr>
          <w:rStyle w:val="FootnoteReference"/>
        </w:rPr>
        <w:footnoteRef/>
      </w:r>
      <w:r>
        <w:t xml:space="preserve"> Nor is it believed that the majority of litigants would pay or have the capacity to pay the $386 purchase price charged by the publisher for this one book. (ref. </w:t>
      </w:r>
      <w:r w:rsidRPr="00B41FC5">
        <w:t>http://legalsolutions.thomsonreuters.com/law-products/Practice-Materials/Arizona-Civil-Rules-Handbook-2017-ed-Vol-2B-Arizona-Practice-Series/p/104631898</w:t>
      </w:r>
      <w:r>
        <w:t>)</w:t>
      </w:r>
    </w:p>
  </w:footnote>
  <w:footnote w:id="3">
    <w:p w14:paraId="121448DF" w14:textId="77777777" w:rsidR="00782188" w:rsidRDefault="00782188">
      <w:pPr>
        <w:pStyle w:val="FootnoteText"/>
      </w:pPr>
      <w:r>
        <w:rPr>
          <w:rStyle w:val="FootnoteReference"/>
        </w:rPr>
        <w:footnoteRef/>
      </w:r>
      <w:r>
        <w:t xml:space="preserve"> Ref. ARCP Rule 4(i)</w:t>
      </w:r>
    </w:p>
  </w:footnote>
  <w:footnote w:id="4">
    <w:p w14:paraId="2F3C539A" w14:textId="77777777" w:rsidR="00782188" w:rsidRDefault="00782188">
      <w:pPr>
        <w:pStyle w:val="FootnoteText"/>
      </w:pPr>
      <w:r>
        <w:rPr>
          <w:rStyle w:val="FootnoteReference"/>
        </w:rPr>
        <w:footnoteRef/>
      </w:r>
      <w:r>
        <w:t xml:space="preserve"> ARS §13-1504(5)</w:t>
      </w:r>
    </w:p>
  </w:footnote>
  <w:footnote w:id="5">
    <w:p w14:paraId="38600473" w14:textId="77777777" w:rsidR="00782188" w:rsidRDefault="00782188">
      <w:pPr>
        <w:pStyle w:val="FootnoteText"/>
      </w:pPr>
      <w:r>
        <w:rPr>
          <w:rStyle w:val="FootnoteReference"/>
        </w:rPr>
        <w:footnoteRef/>
      </w:r>
      <w:r>
        <w:t xml:space="preserve"> ARS §13-1502(A)(1)</w:t>
      </w:r>
    </w:p>
  </w:footnote>
  <w:footnote w:id="6">
    <w:p w14:paraId="569790E2" w14:textId="77777777" w:rsidR="00782188" w:rsidRDefault="00782188" w:rsidP="0062404A">
      <w:pPr>
        <w:pStyle w:val="FootnoteText"/>
      </w:pPr>
      <w:r>
        <w:rPr>
          <w:rStyle w:val="FootnoteReference"/>
        </w:rPr>
        <w:footnoteRef/>
      </w:r>
      <w:r>
        <w:t xml:space="preserve"> </w:t>
      </w:r>
      <w:r w:rsidRPr="0062404A">
        <w:t>State v. Star LC 87-00135, Maricopa County Superior Court (06-11-1987, Gerber)</w:t>
      </w:r>
    </w:p>
  </w:footnote>
  <w:footnote w:id="7">
    <w:p w14:paraId="0F9E1787" w14:textId="77777777" w:rsidR="00782188" w:rsidRDefault="00782188">
      <w:pPr>
        <w:pStyle w:val="FootnoteText"/>
      </w:pPr>
      <w:r>
        <w:rPr>
          <w:rStyle w:val="FootnoteReference"/>
        </w:rPr>
        <w:footnoteRef/>
      </w:r>
      <w:r>
        <w:t xml:space="preserve"> ARS §13-1501(2):</w:t>
      </w:r>
      <w:r w:rsidRPr="0029494C">
        <w:t xml:space="preserve"> "Enter or remain unlawfully" means an act of a person who enters or remains on premises when the person's intent for so entering or remaining is not licensed, authorized or otherwise privileged except when the entry is to commit theft of merchandise displayed for sale during normal business hours, when the premises are open to the public and when the person does not enter any unauthorized areas of the premises.</w:t>
      </w:r>
    </w:p>
  </w:footnote>
  <w:footnote w:id="8">
    <w:p w14:paraId="3EF95F53" w14:textId="77777777" w:rsidR="009D7E4A" w:rsidRDefault="009D7E4A" w:rsidP="009D7E4A">
      <w:pPr>
        <w:pStyle w:val="FootnoteText"/>
      </w:pPr>
      <w:r>
        <w:rPr>
          <w:rStyle w:val="FootnoteReference"/>
        </w:rPr>
        <w:footnoteRef/>
      </w:r>
      <w:r>
        <w:t xml:space="preserve"> See </w:t>
      </w:r>
      <w:proofErr w:type="spellStart"/>
      <w:r w:rsidRPr="00782188">
        <w:rPr>
          <w:i/>
        </w:rPr>
        <w:t>Bein</w:t>
      </w:r>
      <w:proofErr w:type="spellEnd"/>
      <w:r w:rsidRPr="00782188">
        <w:rPr>
          <w:i/>
        </w:rPr>
        <w:t xml:space="preserve"> v. Brechtel-</w:t>
      </w:r>
      <w:proofErr w:type="spellStart"/>
      <w:r w:rsidRPr="00782188">
        <w:rPr>
          <w:i/>
        </w:rPr>
        <w:t>Jockim</w:t>
      </w:r>
      <w:proofErr w:type="spellEnd"/>
      <w:r w:rsidRPr="00782188">
        <w:rPr>
          <w:i/>
        </w:rPr>
        <w:t xml:space="preserve"> Group</w:t>
      </w:r>
      <w:r>
        <w:t xml:space="preserve"> 6 Cal.App.4th 1387 (1992); 8 Cal. Rptr.2d 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E74D" w14:textId="77777777" w:rsidR="00855384" w:rsidRDefault="00855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CA5B" w14:textId="69B3A4E6" w:rsidR="00782188" w:rsidRDefault="00FB761C">
    <w:pPr>
      <w:pStyle w:val="Header"/>
    </w:pPr>
    <w:r>
      <w:rPr>
        <w:noProof/>
      </w:rPr>
      <mc:AlternateContent>
        <mc:Choice Requires="wps">
          <w:drawing>
            <wp:anchor distT="0" distB="0" distL="114299" distR="114299" simplePos="0" relativeHeight="251657728" behindDoc="0" locked="0" layoutInCell="1" allowOverlap="1" wp14:anchorId="4E03CD08" wp14:editId="0A21D1E5">
              <wp:simplePos x="0" y="0"/>
              <wp:positionH relativeFrom="margin">
                <wp:posOffset>6000749</wp:posOffset>
              </wp:positionH>
              <wp:positionV relativeFrom="page">
                <wp:posOffset>0</wp:posOffset>
              </wp:positionV>
              <wp:extent cx="0" cy="10058400"/>
              <wp:effectExtent l="0" t="0" r="19050" b="0"/>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4C5F" id="RightBorder"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299" distR="114299" simplePos="0" relativeHeight="251656704" behindDoc="0" locked="0" layoutInCell="1" allowOverlap="1" wp14:anchorId="02DD8D3E" wp14:editId="1DCC06BC">
              <wp:simplePos x="0" y="0"/>
              <wp:positionH relativeFrom="margin">
                <wp:posOffset>-91441</wp:posOffset>
              </wp:positionH>
              <wp:positionV relativeFrom="page">
                <wp:posOffset>0</wp:posOffset>
              </wp:positionV>
              <wp:extent cx="0" cy="10058400"/>
              <wp:effectExtent l="0" t="0" r="1905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A59D0" id="LeftBorder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9" distR="114299" simplePos="0" relativeHeight="251655680" behindDoc="0" locked="0" layoutInCell="1" allowOverlap="1" wp14:anchorId="08803521" wp14:editId="50B1C464">
              <wp:simplePos x="0" y="0"/>
              <wp:positionH relativeFrom="margin">
                <wp:posOffset>-45721</wp:posOffset>
              </wp:positionH>
              <wp:positionV relativeFrom="page">
                <wp:posOffset>0</wp:posOffset>
              </wp:positionV>
              <wp:extent cx="0" cy="10058400"/>
              <wp:effectExtent l="0" t="0" r="1905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4D600" id="LeftBorder1"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3DACB430" w14:textId="70457FEA" w:rsidR="00782188" w:rsidRDefault="00782188"/>
  <w:p w14:paraId="258978F2" w14:textId="354934A9" w:rsidR="00782188" w:rsidRDefault="008A722F">
    <w:r>
      <w:rPr>
        <w:noProof/>
      </w:rPr>
      <mc:AlternateContent>
        <mc:Choice Requires="wps">
          <w:drawing>
            <wp:anchor distT="0" distB="0" distL="114300" distR="114300" simplePos="0" relativeHeight="251658752" behindDoc="0" locked="0" layoutInCell="1" allowOverlap="1" wp14:anchorId="3982EFE8" wp14:editId="12A65E72">
              <wp:simplePos x="0" y="0"/>
              <wp:positionH relativeFrom="margin">
                <wp:posOffset>-635083</wp:posOffset>
              </wp:positionH>
              <wp:positionV relativeFrom="margin">
                <wp:posOffset>-68856</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BD57C" w14:textId="77777777" w:rsidR="00782188" w:rsidRPr="00000C35" w:rsidRDefault="00782188" w:rsidP="008A722F">
                          <w:pPr>
                            <w:spacing w:line="480" w:lineRule="exact"/>
                            <w:contextualSpacing/>
                            <w:jc w:val="right"/>
                            <w:rPr>
                              <w:sz w:val="28"/>
                              <w:szCs w:val="28"/>
                            </w:rPr>
                          </w:pPr>
                          <w:r w:rsidRPr="00000C35">
                            <w:rPr>
                              <w:sz w:val="28"/>
                              <w:szCs w:val="28"/>
                            </w:rPr>
                            <w:t>1</w:t>
                          </w:r>
                        </w:p>
                        <w:p w14:paraId="66D9BE33" w14:textId="77777777" w:rsidR="00782188" w:rsidRPr="00000C35" w:rsidRDefault="00782188">
                          <w:pPr>
                            <w:jc w:val="right"/>
                            <w:rPr>
                              <w:sz w:val="28"/>
                              <w:szCs w:val="28"/>
                            </w:rPr>
                          </w:pPr>
                          <w:r w:rsidRPr="00000C35">
                            <w:rPr>
                              <w:sz w:val="28"/>
                              <w:szCs w:val="28"/>
                            </w:rPr>
                            <w:t>2</w:t>
                          </w:r>
                        </w:p>
                        <w:p w14:paraId="4A62A7A8" w14:textId="77777777" w:rsidR="00782188" w:rsidRPr="00000C35" w:rsidRDefault="00782188">
                          <w:pPr>
                            <w:jc w:val="right"/>
                            <w:rPr>
                              <w:sz w:val="28"/>
                              <w:szCs w:val="28"/>
                            </w:rPr>
                          </w:pPr>
                          <w:r w:rsidRPr="00000C35">
                            <w:rPr>
                              <w:sz w:val="28"/>
                              <w:szCs w:val="28"/>
                            </w:rPr>
                            <w:t>3</w:t>
                          </w:r>
                        </w:p>
                        <w:p w14:paraId="45C6BEE8" w14:textId="77777777" w:rsidR="00782188" w:rsidRPr="00000C35" w:rsidRDefault="00782188">
                          <w:pPr>
                            <w:jc w:val="right"/>
                            <w:rPr>
                              <w:sz w:val="28"/>
                              <w:szCs w:val="28"/>
                            </w:rPr>
                          </w:pPr>
                          <w:r w:rsidRPr="00000C35">
                            <w:rPr>
                              <w:sz w:val="28"/>
                              <w:szCs w:val="28"/>
                            </w:rPr>
                            <w:t>4</w:t>
                          </w:r>
                        </w:p>
                        <w:p w14:paraId="7496B32E" w14:textId="77777777" w:rsidR="00782188" w:rsidRPr="00000C35" w:rsidRDefault="00782188">
                          <w:pPr>
                            <w:jc w:val="right"/>
                            <w:rPr>
                              <w:sz w:val="28"/>
                              <w:szCs w:val="28"/>
                            </w:rPr>
                          </w:pPr>
                          <w:r w:rsidRPr="00000C35">
                            <w:rPr>
                              <w:sz w:val="28"/>
                              <w:szCs w:val="28"/>
                            </w:rPr>
                            <w:t>5</w:t>
                          </w:r>
                        </w:p>
                        <w:p w14:paraId="5464D0F0" w14:textId="77777777" w:rsidR="00782188" w:rsidRPr="00000C35" w:rsidRDefault="00782188">
                          <w:pPr>
                            <w:jc w:val="right"/>
                            <w:rPr>
                              <w:sz w:val="28"/>
                              <w:szCs w:val="28"/>
                            </w:rPr>
                          </w:pPr>
                          <w:r w:rsidRPr="00000C35">
                            <w:rPr>
                              <w:sz w:val="28"/>
                              <w:szCs w:val="28"/>
                            </w:rPr>
                            <w:t>6</w:t>
                          </w:r>
                        </w:p>
                        <w:p w14:paraId="3AB07050" w14:textId="77777777" w:rsidR="00782188" w:rsidRPr="00000C35" w:rsidRDefault="00782188">
                          <w:pPr>
                            <w:jc w:val="right"/>
                            <w:rPr>
                              <w:sz w:val="28"/>
                              <w:szCs w:val="28"/>
                            </w:rPr>
                          </w:pPr>
                          <w:r w:rsidRPr="00000C35">
                            <w:rPr>
                              <w:sz w:val="28"/>
                              <w:szCs w:val="28"/>
                            </w:rPr>
                            <w:t>7</w:t>
                          </w:r>
                        </w:p>
                        <w:p w14:paraId="1DD180D6" w14:textId="77777777" w:rsidR="00782188" w:rsidRPr="00000C35" w:rsidRDefault="00782188">
                          <w:pPr>
                            <w:jc w:val="right"/>
                            <w:rPr>
                              <w:sz w:val="28"/>
                              <w:szCs w:val="28"/>
                            </w:rPr>
                          </w:pPr>
                          <w:r w:rsidRPr="00000C35">
                            <w:rPr>
                              <w:sz w:val="28"/>
                              <w:szCs w:val="28"/>
                            </w:rPr>
                            <w:t>8</w:t>
                          </w:r>
                        </w:p>
                        <w:p w14:paraId="09484812" w14:textId="77777777" w:rsidR="00782188" w:rsidRPr="00000C35" w:rsidRDefault="00782188">
                          <w:pPr>
                            <w:jc w:val="right"/>
                            <w:rPr>
                              <w:sz w:val="28"/>
                              <w:szCs w:val="28"/>
                            </w:rPr>
                          </w:pPr>
                          <w:r w:rsidRPr="00000C35">
                            <w:rPr>
                              <w:sz w:val="28"/>
                              <w:szCs w:val="28"/>
                            </w:rPr>
                            <w:t>9</w:t>
                          </w:r>
                        </w:p>
                        <w:p w14:paraId="3501821A" w14:textId="77777777" w:rsidR="00782188" w:rsidRPr="00000C35" w:rsidRDefault="00782188">
                          <w:pPr>
                            <w:jc w:val="right"/>
                            <w:rPr>
                              <w:sz w:val="28"/>
                              <w:szCs w:val="28"/>
                            </w:rPr>
                          </w:pPr>
                          <w:r w:rsidRPr="00000C35">
                            <w:rPr>
                              <w:sz w:val="28"/>
                              <w:szCs w:val="28"/>
                            </w:rPr>
                            <w:t>10</w:t>
                          </w:r>
                        </w:p>
                        <w:p w14:paraId="15E8F5B1" w14:textId="77777777" w:rsidR="00782188" w:rsidRPr="00000C35" w:rsidRDefault="00782188">
                          <w:pPr>
                            <w:jc w:val="right"/>
                            <w:rPr>
                              <w:sz w:val="28"/>
                              <w:szCs w:val="28"/>
                            </w:rPr>
                          </w:pPr>
                          <w:r w:rsidRPr="00000C35">
                            <w:rPr>
                              <w:sz w:val="28"/>
                              <w:szCs w:val="28"/>
                            </w:rPr>
                            <w:t>11</w:t>
                          </w:r>
                        </w:p>
                        <w:p w14:paraId="25263D67" w14:textId="77777777" w:rsidR="00782188" w:rsidRPr="00000C35" w:rsidRDefault="00782188">
                          <w:pPr>
                            <w:jc w:val="right"/>
                            <w:rPr>
                              <w:sz w:val="28"/>
                              <w:szCs w:val="28"/>
                            </w:rPr>
                          </w:pPr>
                          <w:r w:rsidRPr="00000C35">
                            <w:rPr>
                              <w:sz w:val="28"/>
                              <w:szCs w:val="28"/>
                            </w:rPr>
                            <w:t>12</w:t>
                          </w:r>
                        </w:p>
                        <w:p w14:paraId="470E5170" w14:textId="77777777" w:rsidR="00782188" w:rsidRPr="00000C35" w:rsidRDefault="00782188">
                          <w:pPr>
                            <w:jc w:val="right"/>
                            <w:rPr>
                              <w:sz w:val="28"/>
                              <w:szCs w:val="28"/>
                            </w:rPr>
                          </w:pPr>
                          <w:r w:rsidRPr="00000C35">
                            <w:rPr>
                              <w:sz w:val="28"/>
                              <w:szCs w:val="28"/>
                            </w:rPr>
                            <w:t>13</w:t>
                          </w:r>
                        </w:p>
                        <w:p w14:paraId="0B57184C" w14:textId="77777777" w:rsidR="00782188" w:rsidRPr="00000C35" w:rsidRDefault="00782188">
                          <w:pPr>
                            <w:jc w:val="right"/>
                            <w:rPr>
                              <w:sz w:val="28"/>
                              <w:szCs w:val="28"/>
                            </w:rPr>
                          </w:pPr>
                          <w:r w:rsidRPr="00000C35">
                            <w:rPr>
                              <w:sz w:val="28"/>
                              <w:szCs w:val="28"/>
                            </w:rPr>
                            <w:t>14</w:t>
                          </w:r>
                        </w:p>
                        <w:p w14:paraId="274BD096" w14:textId="77777777" w:rsidR="00782188" w:rsidRPr="00000C35" w:rsidRDefault="00782188">
                          <w:pPr>
                            <w:jc w:val="right"/>
                            <w:rPr>
                              <w:sz w:val="28"/>
                              <w:szCs w:val="28"/>
                            </w:rPr>
                          </w:pPr>
                          <w:r w:rsidRPr="00000C35">
                            <w:rPr>
                              <w:sz w:val="28"/>
                              <w:szCs w:val="28"/>
                            </w:rPr>
                            <w:t>15</w:t>
                          </w:r>
                        </w:p>
                        <w:p w14:paraId="228DCE14" w14:textId="77777777" w:rsidR="00782188" w:rsidRPr="00000C35" w:rsidRDefault="00782188">
                          <w:pPr>
                            <w:jc w:val="right"/>
                            <w:rPr>
                              <w:sz w:val="28"/>
                              <w:szCs w:val="28"/>
                            </w:rPr>
                          </w:pPr>
                          <w:r w:rsidRPr="00000C35">
                            <w:rPr>
                              <w:sz w:val="28"/>
                              <w:szCs w:val="28"/>
                            </w:rPr>
                            <w:t>16</w:t>
                          </w:r>
                        </w:p>
                        <w:p w14:paraId="3527A8F6" w14:textId="77777777" w:rsidR="00782188" w:rsidRPr="00000C35" w:rsidRDefault="00782188">
                          <w:pPr>
                            <w:jc w:val="right"/>
                            <w:rPr>
                              <w:sz w:val="28"/>
                              <w:szCs w:val="28"/>
                            </w:rPr>
                          </w:pPr>
                          <w:r w:rsidRPr="00000C35">
                            <w:rPr>
                              <w:sz w:val="28"/>
                              <w:szCs w:val="28"/>
                            </w:rPr>
                            <w:t>17</w:t>
                          </w:r>
                        </w:p>
                        <w:p w14:paraId="4D89BB16" w14:textId="77777777" w:rsidR="00782188" w:rsidRPr="00000C35" w:rsidRDefault="00782188">
                          <w:pPr>
                            <w:jc w:val="right"/>
                            <w:rPr>
                              <w:sz w:val="28"/>
                              <w:szCs w:val="28"/>
                            </w:rPr>
                          </w:pPr>
                          <w:r w:rsidRPr="00000C35">
                            <w:rPr>
                              <w:sz w:val="28"/>
                              <w:szCs w:val="28"/>
                            </w:rPr>
                            <w:t>18</w:t>
                          </w:r>
                        </w:p>
                        <w:p w14:paraId="37DB0D0A" w14:textId="77777777" w:rsidR="00782188" w:rsidRPr="00000C35" w:rsidRDefault="00782188">
                          <w:pPr>
                            <w:jc w:val="right"/>
                            <w:rPr>
                              <w:sz w:val="28"/>
                              <w:szCs w:val="28"/>
                            </w:rPr>
                          </w:pPr>
                          <w:r w:rsidRPr="00000C35">
                            <w:rPr>
                              <w:sz w:val="28"/>
                              <w:szCs w:val="28"/>
                            </w:rPr>
                            <w:t>19</w:t>
                          </w:r>
                        </w:p>
                        <w:p w14:paraId="69900E80" w14:textId="77777777" w:rsidR="00782188" w:rsidRPr="00000C35" w:rsidRDefault="00782188">
                          <w:pPr>
                            <w:jc w:val="right"/>
                            <w:rPr>
                              <w:sz w:val="28"/>
                              <w:szCs w:val="28"/>
                            </w:rPr>
                          </w:pPr>
                          <w:r w:rsidRPr="00000C35">
                            <w:rPr>
                              <w:sz w:val="28"/>
                              <w:szCs w:val="28"/>
                            </w:rPr>
                            <w:t>20</w:t>
                          </w:r>
                        </w:p>
                        <w:p w14:paraId="5689247B" w14:textId="77777777" w:rsidR="00782188" w:rsidRPr="00000C35" w:rsidRDefault="00782188">
                          <w:pPr>
                            <w:jc w:val="right"/>
                            <w:rPr>
                              <w:sz w:val="28"/>
                              <w:szCs w:val="28"/>
                            </w:rPr>
                          </w:pPr>
                          <w:r w:rsidRPr="00000C35">
                            <w:rPr>
                              <w:sz w:val="28"/>
                              <w:szCs w:val="28"/>
                            </w:rPr>
                            <w:t>21</w:t>
                          </w:r>
                        </w:p>
                        <w:p w14:paraId="664976AC" w14:textId="77777777" w:rsidR="00782188" w:rsidRPr="00000C35" w:rsidRDefault="00782188">
                          <w:pPr>
                            <w:jc w:val="right"/>
                            <w:rPr>
                              <w:sz w:val="28"/>
                              <w:szCs w:val="28"/>
                            </w:rPr>
                          </w:pPr>
                          <w:r w:rsidRPr="00000C35">
                            <w:rPr>
                              <w:sz w:val="28"/>
                              <w:szCs w:val="28"/>
                            </w:rPr>
                            <w:t>22</w:t>
                          </w:r>
                        </w:p>
                        <w:p w14:paraId="2B5A8538" w14:textId="77777777" w:rsidR="00782188" w:rsidRPr="00000C35" w:rsidRDefault="00782188">
                          <w:pPr>
                            <w:jc w:val="right"/>
                            <w:rPr>
                              <w:sz w:val="28"/>
                              <w:szCs w:val="28"/>
                            </w:rPr>
                          </w:pPr>
                          <w:r w:rsidRPr="00000C35">
                            <w:rPr>
                              <w:sz w:val="28"/>
                              <w:szCs w:val="28"/>
                            </w:rPr>
                            <w:t>23</w:t>
                          </w:r>
                        </w:p>
                        <w:p w14:paraId="4AB57BED" w14:textId="77777777" w:rsidR="00782188" w:rsidRPr="00000C35" w:rsidRDefault="00782188">
                          <w:pPr>
                            <w:jc w:val="right"/>
                            <w:rPr>
                              <w:sz w:val="28"/>
                              <w:szCs w:val="28"/>
                            </w:rPr>
                          </w:pPr>
                          <w:r w:rsidRPr="00000C35">
                            <w:rPr>
                              <w:sz w:val="28"/>
                              <w:szCs w:val="28"/>
                            </w:rPr>
                            <w:t>24</w:t>
                          </w:r>
                        </w:p>
                        <w:p w14:paraId="2F6010FC" w14:textId="77777777" w:rsidR="00782188" w:rsidRPr="00000C35" w:rsidRDefault="00782188">
                          <w:pPr>
                            <w:jc w:val="right"/>
                            <w:rPr>
                              <w:sz w:val="28"/>
                              <w:szCs w:val="28"/>
                            </w:rPr>
                          </w:pPr>
                          <w:r w:rsidRPr="00000C35">
                            <w:rPr>
                              <w:sz w:val="28"/>
                              <w:szCs w:val="28"/>
                            </w:rPr>
                            <w:t>25</w:t>
                          </w:r>
                        </w:p>
                        <w:p w14:paraId="13785DE1" w14:textId="77777777" w:rsidR="00782188" w:rsidRPr="00000C35" w:rsidRDefault="00782188">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982EFE8" id="_x0000_t202" coordsize="21600,21600" o:spt="202" path="m,l,21600r21600,l21600,xe">
              <v:stroke joinstyle="miter"/>
              <v:path gradientshapeok="t" o:connecttype="rect"/>
            </v:shapetype>
            <v:shape id="LineNumbers" o:spid="_x0000_s1026" type="#_x0000_t202" style="position:absolute;margin-left:-50pt;margin-top:-5.4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" stroked="f">
              <v:textbox inset="0,0,0,0">
                <w:txbxContent>
                  <w:p w14:paraId="201BD57C" w14:textId="77777777" w:rsidR="00782188" w:rsidRPr="00000C35" w:rsidRDefault="00782188" w:rsidP="008A722F">
                    <w:pPr>
                      <w:spacing w:line="480" w:lineRule="exact"/>
                      <w:contextualSpacing/>
                      <w:jc w:val="right"/>
                      <w:rPr>
                        <w:sz w:val="28"/>
                        <w:szCs w:val="28"/>
                      </w:rPr>
                    </w:pPr>
                    <w:r w:rsidRPr="00000C35">
                      <w:rPr>
                        <w:sz w:val="28"/>
                        <w:szCs w:val="28"/>
                      </w:rPr>
                      <w:t>1</w:t>
                    </w:r>
                  </w:p>
                  <w:p w14:paraId="66D9BE33" w14:textId="77777777" w:rsidR="00782188" w:rsidRPr="00000C35" w:rsidRDefault="00782188">
                    <w:pPr>
                      <w:jc w:val="right"/>
                      <w:rPr>
                        <w:sz w:val="28"/>
                        <w:szCs w:val="28"/>
                      </w:rPr>
                    </w:pPr>
                    <w:r w:rsidRPr="00000C35">
                      <w:rPr>
                        <w:sz w:val="28"/>
                        <w:szCs w:val="28"/>
                      </w:rPr>
                      <w:t>2</w:t>
                    </w:r>
                  </w:p>
                  <w:p w14:paraId="4A62A7A8" w14:textId="77777777" w:rsidR="00782188" w:rsidRPr="00000C35" w:rsidRDefault="00782188">
                    <w:pPr>
                      <w:jc w:val="right"/>
                      <w:rPr>
                        <w:sz w:val="28"/>
                        <w:szCs w:val="28"/>
                      </w:rPr>
                    </w:pPr>
                    <w:r w:rsidRPr="00000C35">
                      <w:rPr>
                        <w:sz w:val="28"/>
                        <w:szCs w:val="28"/>
                      </w:rPr>
                      <w:t>3</w:t>
                    </w:r>
                  </w:p>
                  <w:p w14:paraId="45C6BEE8" w14:textId="77777777" w:rsidR="00782188" w:rsidRPr="00000C35" w:rsidRDefault="00782188">
                    <w:pPr>
                      <w:jc w:val="right"/>
                      <w:rPr>
                        <w:sz w:val="28"/>
                        <w:szCs w:val="28"/>
                      </w:rPr>
                    </w:pPr>
                    <w:r w:rsidRPr="00000C35">
                      <w:rPr>
                        <w:sz w:val="28"/>
                        <w:szCs w:val="28"/>
                      </w:rPr>
                      <w:t>4</w:t>
                    </w:r>
                  </w:p>
                  <w:p w14:paraId="7496B32E" w14:textId="77777777" w:rsidR="00782188" w:rsidRPr="00000C35" w:rsidRDefault="00782188">
                    <w:pPr>
                      <w:jc w:val="right"/>
                      <w:rPr>
                        <w:sz w:val="28"/>
                        <w:szCs w:val="28"/>
                      </w:rPr>
                    </w:pPr>
                    <w:r w:rsidRPr="00000C35">
                      <w:rPr>
                        <w:sz w:val="28"/>
                        <w:szCs w:val="28"/>
                      </w:rPr>
                      <w:t>5</w:t>
                    </w:r>
                  </w:p>
                  <w:p w14:paraId="5464D0F0" w14:textId="77777777" w:rsidR="00782188" w:rsidRPr="00000C35" w:rsidRDefault="00782188">
                    <w:pPr>
                      <w:jc w:val="right"/>
                      <w:rPr>
                        <w:sz w:val="28"/>
                        <w:szCs w:val="28"/>
                      </w:rPr>
                    </w:pPr>
                    <w:r w:rsidRPr="00000C35">
                      <w:rPr>
                        <w:sz w:val="28"/>
                        <w:szCs w:val="28"/>
                      </w:rPr>
                      <w:t>6</w:t>
                    </w:r>
                  </w:p>
                  <w:p w14:paraId="3AB07050" w14:textId="77777777" w:rsidR="00782188" w:rsidRPr="00000C35" w:rsidRDefault="00782188">
                    <w:pPr>
                      <w:jc w:val="right"/>
                      <w:rPr>
                        <w:sz w:val="28"/>
                        <w:szCs w:val="28"/>
                      </w:rPr>
                    </w:pPr>
                    <w:r w:rsidRPr="00000C35">
                      <w:rPr>
                        <w:sz w:val="28"/>
                        <w:szCs w:val="28"/>
                      </w:rPr>
                      <w:t>7</w:t>
                    </w:r>
                  </w:p>
                  <w:p w14:paraId="1DD180D6" w14:textId="77777777" w:rsidR="00782188" w:rsidRPr="00000C35" w:rsidRDefault="00782188">
                    <w:pPr>
                      <w:jc w:val="right"/>
                      <w:rPr>
                        <w:sz w:val="28"/>
                        <w:szCs w:val="28"/>
                      </w:rPr>
                    </w:pPr>
                    <w:r w:rsidRPr="00000C35">
                      <w:rPr>
                        <w:sz w:val="28"/>
                        <w:szCs w:val="28"/>
                      </w:rPr>
                      <w:t>8</w:t>
                    </w:r>
                  </w:p>
                  <w:p w14:paraId="09484812" w14:textId="77777777" w:rsidR="00782188" w:rsidRPr="00000C35" w:rsidRDefault="00782188">
                    <w:pPr>
                      <w:jc w:val="right"/>
                      <w:rPr>
                        <w:sz w:val="28"/>
                        <w:szCs w:val="28"/>
                      </w:rPr>
                    </w:pPr>
                    <w:r w:rsidRPr="00000C35">
                      <w:rPr>
                        <w:sz w:val="28"/>
                        <w:szCs w:val="28"/>
                      </w:rPr>
                      <w:t>9</w:t>
                    </w:r>
                  </w:p>
                  <w:p w14:paraId="3501821A" w14:textId="77777777" w:rsidR="00782188" w:rsidRPr="00000C35" w:rsidRDefault="00782188">
                    <w:pPr>
                      <w:jc w:val="right"/>
                      <w:rPr>
                        <w:sz w:val="28"/>
                        <w:szCs w:val="28"/>
                      </w:rPr>
                    </w:pPr>
                    <w:r w:rsidRPr="00000C35">
                      <w:rPr>
                        <w:sz w:val="28"/>
                        <w:szCs w:val="28"/>
                      </w:rPr>
                      <w:t>10</w:t>
                    </w:r>
                  </w:p>
                  <w:p w14:paraId="15E8F5B1" w14:textId="77777777" w:rsidR="00782188" w:rsidRPr="00000C35" w:rsidRDefault="00782188">
                    <w:pPr>
                      <w:jc w:val="right"/>
                      <w:rPr>
                        <w:sz w:val="28"/>
                        <w:szCs w:val="28"/>
                      </w:rPr>
                    </w:pPr>
                    <w:r w:rsidRPr="00000C35">
                      <w:rPr>
                        <w:sz w:val="28"/>
                        <w:szCs w:val="28"/>
                      </w:rPr>
                      <w:t>11</w:t>
                    </w:r>
                  </w:p>
                  <w:p w14:paraId="25263D67" w14:textId="77777777" w:rsidR="00782188" w:rsidRPr="00000C35" w:rsidRDefault="00782188">
                    <w:pPr>
                      <w:jc w:val="right"/>
                      <w:rPr>
                        <w:sz w:val="28"/>
                        <w:szCs w:val="28"/>
                      </w:rPr>
                    </w:pPr>
                    <w:r w:rsidRPr="00000C35">
                      <w:rPr>
                        <w:sz w:val="28"/>
                        <w:szCs w:val="28"/>
                      </w:rPr>
                      <w:t>12</w:t>
                    </w:r>
                  </w:p>
                  <w:p w14:paraId="470E5170" w14:textId="77777777" w:rsidR="00782188" w:rsidRPr="00000C35" w:rsidRDefault="00782188">
                    <w:pPr>
                      <w:jc w:val="right"/>
                      <w:rPr>
                        <w:sz w:val="28"/>
                        <w:szCs w:val="28"/>
                      </w:rPr>
                    </w:pPr>
                    <w:r w:rsidRPr="00000C35">
                      <w:rPr>
                        <w:sz w:val="28"/>
                        <w:szCs w:val="28"/>
                      </w:rPr>
                      <w:t>13</w:t>
                    </w:r>
                  </w:p>
                  <w:p w14:paraId="0B57184C" w14:textId="77777777" w:rsidR="00782188" w:rsidRPr="00000C35" w:rsidRDefault="00782188">
                    <w:pPr>
                      <w:jc w:val="right"/>
                      <w:rPr>
                        <w:sz w:val="28"/>
                        <w:szCs w:val="28"/>
                      </w:rPr>
                    </w:pPr>
                    <w:r w:rsidRPr="00000C35">
                      <w:rPr>
                        <w:sz w:val="28"/>
                        <w:szCs w:val="28"/>
                      </w:rPr>
                      <w:t>14</w:t>
                    </w:r>
                  </w:p>
                  <w:p w14:paraId="274BD096" w14:textId="77777777" w:rsidR="00782188" w:rsidRPr="00000C35" w:rsidRDefault="00782188">
                    <w:pPr>
                      <w:jc w:val="right"/>
                      <w:rPr>
                        <w:sz w:val="28"/>
                        <w:szCs w:val="28"/>
                      </w:rPr>
                    </w:pPr>
                    <w:r w:rsidRPr="00000C35">
                      <w:rPr>
                        <w:sz w:val="28"/>
                        <w:szCs w:val="28"/>
                      </w:rPr>
                      <w:t>15</w:t>
                    </w:r>
                  </w:p>
                  <w:p w14:paraId="228DCE14" w14:textId="77777777" w:rsidR="00782188" w:rsidRPr="00000C35" w:rsidRDefault="00782188">
                    <w:pPr>
                      <w:jc w:val="right"/>
                      <w:rPr>
                        <w:sz w:val="28"/>
                        <w:szCs w:val="28"/>
                      </w:rPr>
                    </w:pPr>
                    <w:r w:rsidRPr="00000C35">
                      <w:rPr>
                        <w:sz w:val="28"/>
                        <w:szCs w:val="28"/>
                      </w:rPr>
                      <w:t>16</w:t>
                    </w:r>
                  </w:p>
                  <w:p w14:paraId="3527A8F6" w14:textId="77777777" w:rsidR="00782188" w:rsidRPr="00000C35" w:rsidRDefault="00782188">
                    <w:pPr>
                      <w:jc w:val="right"/>
                      <w:rPr>
                        <w:sz w:val="28"/>
                        <w:szCs w:val="28"/>
                      </w:rPr>
                    </w:pPr>
                    <w:r w:rsidRPr="00000C35">
                      <w:rPr>
                        <w:sz w:val="28"/>
                        <w:szCs w:val="28"/>
                      </w:rPr>
                      <w:t>17</w:t>
                    </w:r>
                  </w:p>
                  <w:p w14:paraId="4D89BB16" w14:textId="77777777" w:rsidR="00782188" w:rsidRPr="00000C35" w:rsidRDefault="00782188">
                    <w:pPr>
                      <w:jc w:val="right"/>
                      <w:rPr>
                        <w:sz w:val="28"/>
                        <w:szCs w:val="28"/>
                      </w:rPr>
                    </w:pPr>
                    <w:r w:rsidRPr="00000C35">
                      <w:rPr>
                        <w:sz w:val="28"/>
                        <w:szCs w:val="28"/>
                      </w:rPr>
                      <w:t>18</w:t>
                    </w:r>
                  </w:p>
                  <w:p w14:paraId="37DB0D0A" w14:textId="77777777" w:rsidR="00782188" w:rsidRPr="00000C35" w:rsidRDefault="00782188">
                    <w:pPr>
                      <w:jc w:val="right"/>
                      <w:rPr>
                        <w:sz w:val="28"/>
                        <w:szCs w:val="28"/>
                      </w:rPr>
                    </w:pPr>
                    <w:r w:rsidRPr="00000C35">
                      <w:rPr>
                        <w:sz w:val="28"/>
                        <w:szCs w:val="28"/>
                      </w:rPr>
                      <w:t>19</w:t>
                    </w:r>
                  </w:p>
                  <w:p w14:paraId="69900E80" w14:textId="77777777" w:rsidR="00782188" w:rsidRPr="00000C35" w:rsidRDefault="00782188">
                    <w:pPr>
                      <w:jc w:val="right"/>
                      <w:rPr>
                        <w:sz w:val="28"/>
                        <w:szCs w:val="28"/>
                      </w:rPr>
                    </w:pPr>
                    <w:r w:rsidRPr="00000C35">
                      <w:rPr>
                        <w:sz w:val="28"/>
                        <w:szCs w:val="28"/>
                      </w:rPr>
                      <w:t>20</w:t>
                    </w:r>
                  </w:p>
                  <w:p w14:paraId="5689247B" w14:textId="77777777" w:rsidR="00782188" w:rsidRPr="00000C35" w:rsidRDefault="00782188">
                    <w:pPr>
                      <w:jc w:val="right"/>
                      <w:rPr>
                        <w:sz w:val="28"/>
                        <w:szCs w:val="28"/>
                      </w:rPr>
                    </w:pPr>
                    <w:r w:rsidRPr="00000C35">
                      <w:rPr>
                        <w:sz w:val="28"/>
                        <w:szCs w:val="28"/>
                      </w:rPr>
                      <w:t>21</w:t>
                    </w:r>
                  </w:p>
                  <w:p w14:paraId="664976AC" w14:textId="77777777" w:rsidR="00782188" w:rsidRPr="00000C35" w:rsidRDefault="00782188">
                    <w:pPr>
                      <w:jc w:val="right"/>
                      <w:rPr>
                        <w:sz w:val="28"/>
                        <w:szCs w:val="28"/>
                      </w:rPr>
                    </w:pPr>
                    <w:r w:rsidRPr="00000C35">
                      <w:rPr>
                        <w:sz w:val="28"/>
                        <w:szCs w:val="28"/>
                      </w:rPr>
                      <w:t>22</w:t>
                    </w:r>
                  </w:p>
                  <w:p w14:paraId="2B5A8538" w14:textId="77777777" w:rsidR="00782188" w:rsidRPr="00000C35" w:rsidRDefault="00782188">
                    <w:pPr>
                      <w:jc w:val="right"/>
                      <w:rPr>
                        <w:sz w:val="28"/>
                        <w:szCs w:val="28"/>
                      </w:rPr>
                    </w:pPr>
                    <w:r w:rsidRPr="00000C35">
                      <w:rPr>
                        <w:sz w:val="28"/>
                        <w:szCs w:val="28"/>
                      </w:rPr>
                      <w:t>23</w:t>
                    </w:r>
                  </w:p>
                  <w:p w14:paraId="4AB57BED" w14:textId="77777777" w:rsidR="00782188" w:rsidRPr="00000C35" w:rsidRDefault="00782188">
                    <w:pPr>
                      <w:jc w:val="right"/>
                      <w:rPr>
                        <w:sz w:val="28"/>
                        <w:szCs w:val="28"/>
                      </w:rPr>
                    </w:pPr>
                    <w:r w:rsidRPr="00000C35">
                      <w:rPr>
                        <w:sz w:val="28"/>
                        <w:szCs w:val="28"/>
                      </w:rPr>
                      <w:t>24</w:t>
                    </w:r>
                  </w:p>
                  <w:p w14:paraId="2F6010FC" w14:textId="77777777" w:rsidR="00782188" w:rsidRPr="00000C35" w:rsidRDefault="00782188">
                    <w:pPr>
                      <w:jc w:val="right"/>
                      <w:rPr>
                        <w:sz w:val="28"/>
                        <w:szCs w:val="28"/>
                      </w:rPr>
                    </w:pPr>
                    <w:r w:rsidRPr="00000C35">
                      <w:rPr>
                        <w:sz w:val="28"/>
                        <w:szCs w:val="28"/>
                      </w:rPr>
                      <w:t>25</w:t>
                    </w:r>
                  </w:p>
                  <w:p w14:paraId="13785DE1" w14:textId="77777777" w:rsidR="00782188" w:rsidRPr="00000C35" w:rsidRDefault="00782188">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B8CB" w14:textId="77777777" w:rsidR="00855384" w:rsidRDefault="00855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B494D"/>
    <w:multiLevelType w:val="hybridMultilevel"/>
    <w:tmpl w:val="C6C6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34F95"/>
    <w:multiLevelType w:val="hybridMultilevel"/>
    <w:tmpl w:val="BE22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D30C0C"/>
    <w:multiLevelType w:val="hybridMultilevel"/>
    <w:tmpl w:val="A006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62410"/>
    <w:multiLevelType w:val="hybridMultilevel"/>
    <w:tmpl w:val="479A52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408059">
    <w:abstractNumId w:val="16"/>
  </w:num>
  <w:num w:numId="2" w16cid:durableId="111219011">
    <w:abstractNumId w:val="18"/>
  </w:num>
  <w:num w:numId="3" w16cid:durableId="945310900">
    <w:abstractNumId w:val="1"/>
  </w:num>
  <w:num w:numId="4" w16cid:durableId="2049865412">
    <w:abstractNumId w:val="9"/>
  </w:num>
  <w:num w:numId="5" w16cid:durableId="1992784310">
    <w:abstractNumId w:val="11"/>
  </w:num>
  <w:num w:numId="6" w16cid:durableId="1806043920">
    <w:abstractNumId w:val="12"/>
  </w:num>
  <w:num w:numId="7" w16cid:durableId="1159540232">
    <w:abstractNumId w:val="2"/>
  </w:num>
  <w:num w:numId="8" w16cid:durableId="1870491353">
    <w:abstractNumId w:val="19"/>
  </w:num>
  <w:num w:numId="9" w16cid:durableId="1038311242">
    <w:abstractNumId w:val="13"/>
  </w:num>
  <w:num w:numId="10" w16cid:durableId="2041974263">
    <w:abstractNumId w:val="15"/>
  </w:num>
  <w:num w:numId="11" w16cid:durableId="1946184651">
    <w:abstractNumId w:val="14"/>
  </w:num>
  <w:num w:numId="12" w16cid:durableId="714473859">
    <w:abstractNumId w:val="10"/>
  </w:num>
  <w:num w:numId="13" w16cid:durableId="1674143455">
    <w:abstractNumId w:val="4"/>
  </w:num>
  <w:num w:numId="14" w16cid:durableId="1135683940">
    <w:abstractNumId w:val="8"/>
  </w:num>
  <w:num w:numId="15" w16cid:durableId="48234533">
    <w:abstractNumId w:val="17"/>
  </w:num>
  <w:num w:numId="16" w16cid:durableId="1995865351">
    <w:abstractNumId w:val="0"/>
  </w:num>
  <w:num w:numId="17" w16cid:durableId="1049112236">
    <w:abstractNumId w:val="6"/>
  </w:num>
  <w:num w:numId="18" w16cid:durableId="1705521456">
    <w:abstractNumId w:val="7"/>
  </w:num>
  <w:num w:numId="19" w16cid:durableId="189727550">
    <w:abstractNumId w:val="3"/>
  </w:num>
  <w:num w:numId="20" w16cid:durableId="1737581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4DE2"/>
    <w:rsid w:val="000352E0"/>
    <w:rsid w:val="00037470"/>
    <w:rsid w:val="000410B3"/>
    <w:rsid w:val="00043D4D"/>
    <w:rsid w:val="00050E14"/>
    <w:rsid w:val="00052372"/>
    <w:rsid w:val="00054D3D"/>
    <w:rsid w:val="000666D1"/>
    <w:rsid w:val="00075B20"/>
    <w:rsid w:val="000917C0"/>
    <w:rsid w:val="000A1D6B"/>
    <w:rsid w:val="000C48A9"/>
    <w:rsid w:val="000D3A9E"/>
    <w:rsid w:val="000F0BE4"/>
    <w:rsid w:val="000F1AF1"/>
    <w:rsid w:val="000F7A7F"/>
    <w:rsid w:val="000F7C13"/>
    <w:rsid w:val="00103A61"/>
    <w:rsid w:val="00111119"/>
    <w:rsid w:val="0012706E"/>
    <w:rsid w:val="00135326"/>
    <w:rsid w:val="001452DB"/>
    <w:rsid w:val="001A2520"/>
    <w:rsid w:val="001F591C"/>
    <w:rsid w:val="001F762E"/>
    <w:rsid w:val="00252225"/>
    <w:rsid w:val="00274D6A"/>
    <w:rsid w:val="0029494C"/>
    <w:rsid w:val="002F3BCA"/>
    <w:rsid w:val="00352347"/>
    <w:rsid w:val="003566D6"/>
    <w:rsid w:val="00357F4D"/>
    <w:rsid w:val="003617D1"/>
    <w:rsid w:val="0037677B"/>
    <w:rsid w:val="00377199"/>
    <w:rsid w:val="00387276"/>
    <w:rsid w:val="00395092"/>
    <w:rsid w:val="003A28AC"/>
    <w:rsid w:val="003A7280"/>
    <w:rsid w:val="003C7309"/>
    <w:rsid w:val="003F1D87"/>
    <w:rsid w:val="00403433"/>
    <w:rsid w:val="00407E2D"/>
    <w:rsid w:val="004126DF"/>
    <w:rsid w:val="004331B2"/>
    <w:rsid w:val="00440E4C"/>
    <w:rsid w:val="00463734"/>
    <w:rsid w:val="00474C42"/>
    <w:rsid w:val="00494BDF"/>
    <w:rsid w:val="004A467D"/>
    <w:rsid w:val="004B05DF"/>
    <w:rsid w:val="004C3AE3"/>
    <w:rsid w:val="004D0366"/>
    <w:rsid w:val="004D2185"/>
    <w:rsid w:val="004E0DBE"/>
    <w:rsid w:val="004F53AD"/>
    <w:rsid w:val="00504E1E"/>
    <w:rsid w:val="00506859"/>
    <w:rsid w:val="00520F93"/>
    <w:rsid w:val="00544AF7"/>
    <w:rsid w:val="00555164"/>
    <w:rsid w:val="0056481E"/>
    <w:rsid w:val="00564DB6"/>
    <w:rsid w:val="00566856"/>
    <w:rsid w:val="005A21B0"/>
    <w:rsid w:val="005A3B92"/>
    <w:rsid w:val="005B5161"/>
    <w:rsid w:val="005C4281"/>
    <w:rsid w:val="005D6AD4"/>
    <w:rsid w:val="005E6E04"/>
    <w:rsid w:val="0061169A"/>
    <w:rsid w:val="0062404A"/>
    <w:rsid w:val="006338C1"/>
    <w:rsid w:val="00636F5E"/>
    <w:rsid w:val="00665CCF"/>
    <w:rsid w:val="006666D1"/>
    <w:rsid w:val="00666D1D"/>
    <w:rsid w:val="006721EC"/>
    <w:rsid w:val="006766BF"/>
    <w:rsid w:val="00691587"/>
    <w:rsid w:val="006932BA"/>
    <w:rsid w:val="00697562"/>
    <w:rsid w:val="006B4F9A"/>
    <w:rsid w:val="006F474E"/>
    <w:rsid w:val="006F63FD"/>
    <w:rsid w:val="00724F54"/>
    <w:rsid w:val="00725D0B"/>
    <w:rsid w:val="00726A59"/>
    <w:rsid w:val="00732169"/>
    <w:rsid w:val="00735659"/>
    <w:rsid w:val="007427C6"/>
    <w:rsid w:val="00745F4E"/>
    <w:rsid w:val="0075382C"/>
    <w:rsid w:val="0077110E"/>
    <w:rsid w:val="00772769"/>
    <w:rsid w:val="00782188"/>
    <w:rsid w:val="007870CB"/>
    <w:rsid w:val="00787307"/>
    <w:rsid w:val="007A3F0F"/>
    <w:rsid w:val="007C75FF"/>
    <w:rsid w:val="007D5C49"/>
    <w:rsid w:val="007D73FF"/>
    <w:rsid w:val="008006ED"/>
    <w:rsid w:val="0080187F"/>
    <w:rsid w:val="008038DF"/>
    <w:rsid w:val="00813CFE"/>
    <w:rsid w:val="00822598"/>
    <w:rsid w:val="00835E1A"/>
    <w:rsid w:val="008360A1"/>
    <w:rsid w:val="00855384"/>
    <w:rsid w:val="00861563"/>
    <w:rsid w:val="00871AAA"/>
    <w:rsid w:val="00876F57"/>
    <w:rsid w:val="00891AAA"/>
    <w:rsid w:val="00895A97"/>
    <w:rsid w:val="008A1C3B"/>
    <w:rsid w:val="008A722F"/>
    <w:rsid w:val="00927638"/>
    <w:rsid w:val="00933EA1"/>
    <w:rsid w:val="00951416"/>
    <w:rsid w:val="00954DBC"/>
    <w:rsid w:val="00960D21"/>
    <w:rsid w:val="00973306"/>
    <w:rsid w:val="00981D29"/>
    <w:rsid w:val="00981E11"/>
    <w:rsid w:val="009830BC"/>
    <w:rsid w:val="009D2A54"/>
    <w:rsid w:val="009D7E4A"/>
    <w:rsid w:val="009E3F10"/>
    <w:rsid w:val="00A035C0"/>
    <w:rsid w:val="00A1564B"/>
    <w:rsid w:val="00A15FCF"/>
    <w:rsid w:val="00A5194F"/>
    <w:rsid w:val="00A871D6"/>
    <w:rsid w:val="00A93A7C"/>
    <w:rsid w:val="00AF282C"/>
    <w:rsid w:val="00AF3FF7"/>
    <w:rsid w:val="00B1491D"/>
    <w:rsid w:val="00B2480D"/>
    <w:rsid w:val="00B41FC5"/>
    <w:rsid w:val="00B47B7D"/>
    <w:rsid w:val="00B91728"/>
    <w:rsid w:val="00BC1097"/>
    <w:rsid w:val="00BF2A01"/>
    <w:rsid w:val="00C00A30"/>
    <w:rsid w:val="00C03E0F"/>
    <w:rsid w:val="00C352E7"/>
    <w:rsid w:val="00C37E57"/>
    <w:rsid w:val="00C52E56"/>
    <w:rsid w:val="00C5407A"/>
    <w:rsid w:val="00C6060F"/>
    <w:rsid w:val="00C662B0"/>
    <w:rsid w:val="00C84FD4"/>
    <w:rsid w:val="00C958EE"/>
    <w:rsid w:val="00C97EA4"/>
    <w:rsid w:val="00CD21FB"/>
    <w:rsid w:val="00D06CA6"/>
    <w:rsid w:val="00D423FE"/>
    <w:rsid w:val="00D442E4"/>
    <w:rsid w:val="00D44974"/>
    <w:rsid w:val="00D56080"/>
    <w:rsid w:val="00D80EDC"/>
    <w:rsid w:val="00D92F7A"/>
    <w:rsid w:val="00DC1D65"/>
    <w:rsid w:val="00DE4971"/>
    <w:rsid w:val="00DF4F15"/>
    <w:rsid w:val="00E047D3"/>
    <w:rsid w:val="00E21465"/>
    <w:rsid w:val="00E266B7"/>
    <w:rsid w:val="00E321C5"/>
    <w:rsid w:val="00E32F33"/>
    <w:rsid w:val="00E361BC"/>
    <w:rsid w:val="00E411A6"/>
    <w:rsid w:val="00E5772B"/>
    <w:rsid w:val="00E67511"/>
    <w:rsid w:val="00E82D0F"/>
    <w:rsid w:val="00E8589D"/>
    <w:rsid w:val="00E87A70"/>
    <w:rsid w:val="00E950B5"/>
    <w:rsid w:val="00EA35BA"/>
    <w:rsid w:val="00F05879"/>
    <w:rsid w:val="00F06F5B"/>
    <w:rsid w:val="00F1151E"/>
    <w:rsid w:val="00F2485D"/>
    <w:rsid w:val="00F33926"/>
    <w:rsid w:val="00F60C61"/>
    <w:rsid w:val="00F64839"/>
    <w:rsid w:val="00F64B52"/>
    <w:rsid w:val="00F850BE"/>
    <w:rsid w:val="00F96A1A"/>
    <w:rsid w:val="00FB5291"/>
    <w:rsid w:val="00FB5E84"/>
    <w:rsid w:val="00FB761C"/>
    <w:rsid w:val="00FF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ED866"/>
  <w15:docId w15:val="{578DE62F-9E13-4D49-B641-0CDFC46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F54"/>
    <w:pPr>
      <w:spacing w:line="508" w:lineRule="exact"/>
    </w:pPr>
  </w:style>
  <w:style w:type="paragraph" w:styleId="Heading1">
    <w:name w:val="heading 1"/>
    <w:basedOn w:val="Normal"/>
    <w:next w:val="Normal"/>
    <w:qFormat/>
    <w:rsid w:val="00724F54"/>
    <w:pPr>
      <w:keepNext/>
      <w:jc w:val="center"/>
      <w:outlineLvl w:val="0"/>
    </w:pPr>
    <w:rPr>
      <w:b/>
      <w:bCs/>
    </w:rPr>
  </w:style>
  <w:style w:type="paragraph" w:styleId="Heading3">
    <w:name w:val="heading 3"/>
    <w:basedOn w:val="Normal"/>
    <w:next w:val="Normal"/>
    <w:link w:val="Heading3Char"/>
    <w:semiHidden/>
    <w:unhideWhenUsed/>
    <w:qFormat/>
    <w:rsid w:val="00BC10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724F54"/>
    <w:pPr>
      <w:spacing w:line="254" w:lineRule="exact"/>
    </w:pPr>
  </w:style>
  <w:style w:type="paragraph" w:customStyle="1" w:styleId="15Spacing">
    <w:name w:val="1.5 Spacing"/>
    <w:basedOn w:val="Normal"/>
    <w:rsid w:val="00724F54"/>
    <w:pPr>
      <w:spacing w:line="381" w:lineRule="exact"/>
    </w:pPr>
  </w:style>
  <w:style w:type="paragraph" w:customStyle="1" w:styleId="DoubleSpacing">
    <w:name w:val="Double Spacing"/>
    <w:basedOn w:val="Normal"/>
    <w:rsid w:val="00724F54"/>
  </w:style>
  <w:style w:type="paragraph" w:customStyle="1" w:styleId="AttorneyName">
    <w:name w:val="Attorney Name"/>
    <w:basedOn w:val="SingleSpacing"/>
    <w:rsid w:val="00724F54"/>
  </w:style>
  <w:style w:type="paragraph" w:customStyle="1" w:styleId="FirmName">
    <w:name w:val="Firm Name"/>
    <w:basedOn w:val="SingleSpacing"/>
    <w:rsid w:val="00724F54"/>
    <w:pPr>
      <w:jc w:val="center"/>
    </w:pPr>
  </w:style>
  <w:style w:type="paragraph" w:customStyle="1" w:styleId="SignatureBlock">
    <w:name w:val="Signature Block"/>
    <w:basedOn w:val="SingleSpacing"/>
    <w:rsid w:val="00724F54"/>
    <w:pPr>
      <w:ind w:left="4680"/>
    </w:pPr>
  </w:style>
  <w:style w:type="paragraph" w:styleId="Header">
    <w:name w:val="header"/>
    <w:basedOn w:val="Normal"/>
    <w:rsid w:val="00724F54"/>
    <w:pPr>
      <w:tabs>
        <w:tab w:val="center" w:pos="4320"/>
        <w:tab w:val="right" w:pos="8640"/>
      </w:tabs>
    </w:pPr>
  </w:style>
  <w:style w:type="paragraph" w:styleId="Footer">
    <w:name w:val="footer"/>
    <w:basedOn w:val="Normal"/>
    <w:link w:val="FooterChar"/>
    <w:uiPriority w:val="99"/>
    <w:rsid w:val="00724F54"/>
    <w:pPr>
      <w:tabs>
        <w:tab w:val="center" w:pos="4320"/>
        <w:tab w:val="right" w:pos="8640"/>
      </w:tabs>
    </w:pPr>
  </w:style>
  <w:style w:type="character" w:styleId="Strong">
    <w:name w:val="Strong"/>
    <w:qFormat/>
    <w:rsid w:val="00724F54"/>
    <w:rPr>
      <w:b/>
      <w:bCs/>
    </w:rPr>
  </w:style>
  <w:style w:type="paragraph" w:styleId="BodyTextIndent">
    <w:name w:val="Body Text Indent"/>
    <w:basedOn w:val="Normal"/>
    <w:rsid w:val="00724F54"/>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1"/>
    <w:qFormat/>
    <w:rsid w:val="009830BC"/>
    <w:pPr>
      <w:spacing w:line="240" w:lineRule="auto"/>
      <w:ind w:left="720"/>
      <w:contextualSpacing/>
    </w:pPr>
    <w:rPr>
      <w:sz w:val="24"/>
      <w:szCs w:val="24"/>
    </w:rPr>
  </w:style>
  <w:style w:type="character" w:styleId="CommentReference">
    <w:name w:val="annotation reference"/>
    <w:basedOn w:val="DefaultParagraphFont"/>
    <w:rsid w:val="001F762E"/>
    <w:rPr>
      <w:sz w:val="16"/>
      <w:szCs w:val="16"/>
    </w:rPr>
  </w:style>
  <w:style w:type="paragraph" w:styleId="CommentText">
    <w:name w:val="annotation text"/>
    <w:basedOn w:val="Normal"/>
    <w:link w:val="CommentTextChar"/>
    <w:rsid w:val="001F762E"/>
    <w:pPr>
      <w:spacing w:line="240" w:lineRule="auto"/>
    </w:pPr>
  </w:style>
  <w:style w:type="character" w:customStyle="1" w:styleId="CommentTextChar">
    <w:name w:val="Comment Text Char"/>
    <w:basedOn w:val="DefaultParagraphFont"/>
    <w:link w:val="CommentText"/>
    <w:rsid w:val="001F762E"/>
  </w:style>
  <w:style w:type="paragraph" w:styleId="CommentSubject">
    <w:name w:val="annotation subject"/>
    <w:basedOn w:val="CommentText"/>
    <w:next w:val="CommentText"/>
    <w:link w:val="CommentSubjectChar"/>
    <w:rsid w:val="001F762E"/>
    <w:rPr>
      <w:b/>
      <w:bCs/>
    </w:rPr>
  </w:style>
  <w:style w:type="character" w:customStyle="1" w:styleId="CommentSubjectChar">
    <w:name w:val="Comment Subject Char"/>
    <w:basedOn w:val="CommentTextChar"/>
    <w:link w:val="CommentSubject"/>
    <w:rsid w:val="001F762E"/>
    <w:rPr>
      <w:b/>
      <w:bCs/>
    </w:rPr>
  </w:style>
  <w:style w:type="paragraph" w:styleId="Revision">
    <w:name w:val="Revision"/>
    <w:hidden/>
    <w:uiPriority w:val="99"/>
    <w:semiHidden/>
    <w:rsid w:val="00FB761C"/>
  </w:style>
  <w:style w:type="character" w:customStyle="1" w:styleId="Heading3Char">
    <w:name w:val="Heading 3 Char"/>
    <w:basedOn w:val="DefaultParagraphFont"/>
    <w:link w:val="Heading3"/>
    <w:semiHidden/>
    <w:rsid w:val="00BC10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54938">
      <w:bodyDiv w:val="1"/>
      <w:marLeft w:val="0"/>
      <w:marRight w:val="0"/>
      <w:marTop w:val="0"/>
      <w:marBottom w:val="0"/>
      <w:divBdr>
        <w:top w:val="none" w:sz="0" w:space="0" w:color="auto"/>
        <w:left w:val="none" w:sz="0" w:space="0" w:color="auto"/>
        <w:bottom w:val="none" w:sz="0" w:space="0" w:color="auto"/>
        <w:right w:val="none" w:sz="0" w:space="0" w:color="auto"/>
      </w:divBdr>
    </w:div>
    <w:div w:id="1708679356">
      <w:bodyDiv w:val="1"/>
      <w:marLeft w:val="0"/>
      <w:marRight w:val="0"/>
      <w:marTop w:val="0"/>
      <w:marBottom w:val="0"/>
      <w:divBdr>
        <w:top w:val="none" w:sz="0" w:space="0" w:color="auto"/>
        <w:left w:val="none" w:sz="0" w:space="0" w:color="auto"/>
        <w:bottom w:val="none" w:sz="0" w:space="0" w:color="auto"/>
        <w:right w:val="none" w:sz="0" w:space="0" w:color="auto"/>
      </w:divBdr>
      <w:divsChild>
        <w:div w:id="9845287">
          <w:marLeft w:val="0"/>
          <w:marRight w:val="0"/>
          <w:marTop w:val="0"/>
          <w:marBottom w:val="0"/>
          <w:divBdr>
            <w:top w:val="none" w:sz="0" w:space="0" w:color="auto"/>
            <w:left w:val="none" w:sz="0" w:space="0" w:color="auto"/>
            <w:bottom w:val="none" w:sz="0" w:space="0" w:color="auto"/>
            <w:right w:val="none" w:sz="0" w:space="0" w:color="auto"/>
          </w:divBdr>
          <w:divsChild>
            <w:div w:id="1219322330">
              <w:marLeft w:val="0"/>
              <w:marRight w:val="0"/>
              <w:marTop w:val="0"/>
              <w:marBottom w:val="0"/>
              <w:divBdr>
                <w:top w:val="none" w:sz="0" w:space="0" w:color="auto"/>
                <w:left w:val="none" w:sz="0" w:space="0" w:color="auto"/>
                <w:bottom w:val="none" w:sz="0" w:space="0" w:color="auto"/>
                <w:right w:val="none" w:sz="0" w:space="0" w:color="auto"/>
              </w:divBdr>
            </w:div>
          </w:divsChild>
        </w:div>
        <w:div w:id="1476679727">
          <w:marLeft w:val="0"/>
          <w:marRight w:val="0"/>
          <w:marTop w:val="0"/>
          <w:marBottom w:val="0"/>
          <w:divBdr>
            <w:top w:val="none" w:sz="0" w:space="0" w:color="auto"/>
            <w:left w:val="none" w:sz="0" w:space="0" w:color="auto"/>
            <w:bottom w:val="none" w:sz="0" w:space="0" w:color="auto"/>
            <w:right w:val="none" w:sz="0" w:space="0" w:color="auto"/>
          </w:divBdr>
          <w:divsChild>
            <w:div w:id="171340240">
              <w:marLeft w:val="0"/>
              <w:marRight w:val="0"/>
              <w:marTop w:val="0"/>
              <w:marBottom w:val="0"/>
              <w:divBdr>
                <w:top w:val="none" w:sz="0" w:space="0" w:color="auto"/>
                <w:left w:val="none" w:sz="0" w:space="0" w:color="auto"/>
                <w:bottom w:val="none" w:sz="0" w:space="0" w:color="auto"/>
                <w:right w:val="none" w:sz="0" w:space="0" w:color="auto"/>
              </w:divBdr>
              <w:divsChild>
                <w:div w:id="2443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7005">
          <w:marLeft w:val="0"/>
          <w:marRight w:val="0"/>
          <w:marTop w:val="0"/>
          <w:marBottom w:val="0"/>
          <w:divBdr>
            <w:top w:val="none" w:sz="0" w:space="0" w:color="auto"/>
            <w:left w:val="none" w:sz="0" w:space="0" w:color="auto"/>
            <w:bottom w:val="none" w:sz="0" w:space="0" w:color="auto"/>
            <w:right w:val="none" w:sz="0" w:space="0" w:color="auto"/>
          </w:divBdr>
          <w:divsChild>
            <w:div w:id="444081851">
              <w:marLeft w:val="0"/>
              <w:marRight w:val="0"/>
              <w:marTop w:val="0"/>
              <w:marBottom w:val="0"/>
              <w:divBdr>
                <w:top w:val="none" w:sz="0" w:space="0" w:color="auto"/>
                <w:left w:val="none" w:sz="0" w:space="0" w:color="auto"/>
                <w:bottom w:val="none" w:sz="0" w:space="0" w:color="auto"/>
                <w:right w:val="none" w:sz="0" w:space="0" w:color="auto"/>
              </w:divBdr>
              <w:divsChild>
                <w:div w:id="474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9065">
      <w:bodyDiv w:val="1"/>
      <w:marLeft w:val="0"/>
      <w:marRight w:val="0"/>
      <w:marTop w:val="0"/>
      <w:marBottom w:val="0"/>
      <w:divBdr>
        <w:top w:val="none" w:sz="0" w:space="0" w:color="auto"/>
        <w:left w:val="none" w:sz="0" w:space="0" w:color="auto"/>
        <w:bottom w:val="none" w:sz="0" w:space="0" w:color="auto"/>
        <w:right w:val="none" w:sz="0" w:space="0" w:color="auto"/>
      </w:divBdr>
      <w:divsChild>
        <w:div w:id="1893733041">
          <w:marLeft w:val="0"/>
          <w:marRight w:val="0"/>
          <w:marTop w:val="0"/>
          <w:marBottom w:val="0"/>
          <w:divBdr>
            <w:top w:val="none" w:sz="0" w:space="0" w:color="auto"/>
            <w:left w:val="none" w:sz="0" w:space="0" w:color="auto"/>
            <w:bottom w:val="none" w:sz="0" w:space="0" w:color="auto"/>
            <w:right w:val="none" w:sz="0" w:space="0" w:color="auto"/>
          </w:divBdr>
          <w:divsChild>
            <w:div w:id="1609509146">
              <w:marLeft w:val="0"/>
              <w:marRight w:val="0"/>
              <w:marTop w:val="0"/>
              <w:marBottom w:val="0"/>
              <w:divBdr>
                <w:top w:val="none" w:sz="0" w:space="0" w:color="auto"/>
                <w:left w:val="none" w:sz="0" w:space="0" w:color="auto"/>
                <w:bottom w:val="none" w:sz="0" w:space="0" w:color="auto"/>
                <w:right w:val="none" w:sz="0" w:space="0" w:color="auto"/>
              </w:divBdr>
              <w:divsChild>
                <w:div w:id="4127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25694">
          <w:marLeft w:val="0"/>
          <w:marRight w:val="0"/>
          <w:marTop w:val="0"/>
          <w:marBottom w:val="0"/>
          <w:divBdr>
            <w:top w:val="none" w:sz="0" w:space="0" w:color="auto"/>
            <w:left w:val="none" w:sz="0" w:space="0" w:color="auto"/>
            <w:bottom w:val="none" w:sz="0" w:space="0" w:color="auto"/>
            <w:right w:val="none" w:sz="0" w:space="0" w:color="auto"/>
          </w:divBdr>
          <w:divsChild>
            <w:div w:id="543712439">
              <w:marLeft w:val="0"/>
              <w:marRight w:val="0"/>
              <w:marTop w:val="0"/>
              <w:marBottom w:val="0"/>
              <w:divBdr>
                <w:top w:val="none" w:sz="0" w:space="0" w:color="auto"/>
                <w:left w:val="none" w:sz="0" w:space="0" w:color="auto"/>
                <w:bottom w:val="none" w:sz="0" w:space="0" w:color="auto"/>
                <w:right w:val="none" w:sz="0" w:space="0" w:color="auto"/>
              </w:divBdr>
              <w:divsChild>
                <w:div w:id="7093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490B-89D2-40C2-9371-16BAD799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17</Pages>
  <Words>3846</Words>
  <Characters>19311</Characters>
  <Application>Microsoft Office Word</Application>
  <DocSecurity>0</DocSecurity>
  <Lines>567</Lines>
  <Paragraphs>210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dc:description/>
  <cp:lastModifiedBy>Barry R Goldman</cp:lastModifiedBy>
  <cp:revision>4</cp:revision>
  <cp:lastPrinted>2024-01-30T19:04:00Z</cp:lastPrinted>
  <dcterms:created xsi:type="dcterms:W3CDTF">2024-01-31T00:00:00Z</dcterms:created>
  <dcterms:modified xsi:type="dcterms:W3CDTF">2024-01-31T00:03:00Z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