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Pr="000F7A7F" w:rsidRDefault="00357F4D"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1F95FBE3" w:rsidR="00357F4D" w:rsidRPr="002D4CBF" w:rsidRDefault="00E67511" w:rsidP="002D4CBF">
            <w:pPr>
              <w:pStyle w:val="Caption"/>
              <w:spacing w:before="240" w:line="260" w:lineRule="exact"/>
              <w:rPr>
                <w:b/>
                <w:sz w:val="28"/>
                <w:szCs w:val="28"/>
              </w:rPr>
            </w:pPr>
            <w:r w:rsidRPr="00732169">
              <w:rPr>
                <w:b/>
                <w:sz w:val="28"/>
                <w:szCs w:val="28"/>
              </w:rPr>
              <w:t xml:space="preserve">PETITION TO </w:t>
            </w:r>
            <w:r w:rsidR="002D4CBF">
              <w:rPr>
                <w:b/>
                <w:sz w:val="28"/>
                <w:szCs w:val="28"/>
              </w:rPr>
              <w:t>AMEND RULE 59(c) OF THE ARIZONA RULES OF SUPREME COURT</w:t>
            </w:r>
            <w:r w:rsidR="002D4CBF">
              <w:rPr>
                <w:b/>
                <w:sz w:val="28"/>
                <w:szCs w:val="28"/>
              </w:rPr>
              <w:br/>
            </w:r>
          </w:p>
        </w:tc>
        <w:tc>
          <w:tcPr>
            <w:tcW w:w="4524" w:type="dxa"/>
            <w:tcBorders>
              <w:top w:val="nil"/>
              <w:left w:val="single" w:sz="4" w:space="0" w:color="auto"/>
            </w:tcBorders>
            <w:shd w:val="clear" w:color="auto" w:fill="auto"/>
          </w:tcPr>
          <w:p w14:paraId="4C75C8D6" w14:textId="5FFBEC5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0598C">
              <w:rPr>
                <w:sz w:val="28"/>
                <w:szCs w:val="28"/>
              </w:rPr>
              <w:t>4</w:t>
            </w:r>
            <w:r w:rsidR="00F850BE">
              <w:rPr>
                <w:sz w:val="28"/>
                <w:szCs w:val="28"/>
              </w:rPr>
              <w:t>-</w:t>
            </w:r>
          </w:p>
          <w:p w14:paraId="5DA69FB8" w14:textId="57ECF7E0" w:rsidR="00357F4D" w:rsidRPr="002D4CBF" w:rsidRDefault="00D60D9B" w:rsidP="000F7A7F">
            <w:pPr>
              <w:pStyle w:val="Caption"/>
              <w:tabs>
                <w:tab w:val="left" w:pos="1238"/>
              </w:tabs>
              <w:spacing w:line="260" w:lineRule="exact"/>
              <w:ind w:right="115"/>
              <w:jc w:val="center"/>
              <w:rPr>
                <w:b/>
                <w:sz w:val="28"/>
                <w:szCs w:val="28"/>
              </w:rPr>
            </w:pPr>
            <w:r w:rsidRPr="002D4CBF">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37BFC336" w14:textId="77777777" w:rsidR="002D4CBF" w:rsidRDefault="0008003D" w:rsidP="002D4CBF">
      <w:pPr>
        <w:pStyle w:val="Body"/>
        <w:widowControl w:val="0"/>
        <w:spacing w:line="480" w:lineRule="auto"/>
        <w:ind w:firstLine="720"/>
        <w:jc w:val="both"/>
        <w:rPr>
          <w:sz w:val="28"/>
          <w:szCs w:val="28"/>
        </w:rPr>
      </w:pPr>
      <w:r w:rsidRPr="007B7449">
        <w:rPr>
          <w:sz w:val="28"/>
          <w:szCs w:val="28"/>
        </w:rPr>
        <w:t>Pursuant to Rule 28(</w:t>
      </w:r>
      <w:r w:rsidR="005845AE">
        <w:rPr>
          <w:sz w:val="28"/>
          <w:szCs w:val="28"/>
        </w:rPr>
        <w:t>a</w:t>
      </w:r>
      <w:r w:rsidRPr="007B7449">
        <w:rPr>
          <w:sz w:val="28"/>
          <w:szCs w:val="28"/>
        </w:rPr>
        <w:t xml:space="preserve">) of the Arizona Rules of Supreme Court, the State Bar of Arizona (the “State Bar”) hereby </w:t>
      </w:r>
      <w:r w:rsidR="005845AE">
        <w:rPr>
          <w:sz w:val="28"/>
          <w:szCs w:val="28"/>
        </w:rPr>
        <w:t>petitions the Court to amend</w:t>
      </w:r>
      <w:r w:rsidR="002D4CBF">
        <w:rPr>
          <w:sz w:val="28"/>
          <w:szCs w:val="28"/>
        </w:rPr>
        <w:t xml:space="preserve"> Rule 59(c) of the Arizona Rules of Supreme Court.  The purpose of the amendment is to clarify the requirements of an application for stay pending appeal of a disciplinary sanction. </w:t>
      </w:r>
    </w:p>
    <w:p w14:paraId="52B0C143" w14:textId="77777777" w:rsidR="002D4CBF" w:rsidRPr="00D5327A" w:rsidRDefault="002D4CBF" w:rsidP="002D4CBF">
      <w:pPr>
        <w:pStyle w:val="Body"/>
        <w:widowControl w:val="0"/>
        <w:spacing w:line="480" w:lineRule="auto"/>
        <w:ind w:firstLine="720"/>
        <w:jc w:val="both"/>
        <w:rPr>
          <w:rStyle w:val="BodyTextChar"/>
          <w:b/>
          <w:bCs/>
          <w:sz w:val="28"/>
          <w:szCs w:val="28"/>
        </w:rPr>
      </w:pPr>
      <w:r w:rsidRPr="00D5327A">
        <w:rPr>
          <w:rStyle w:val="BodyTextChar"/>
          <w:b/>
          <w:bCs/>
          <w:sz w:val="28"/>
          <w:szCs w:val="28"/>
        </w:rPr>
        <w:t>Background and Purpose of the Proposed Rule Amendment</w:t>
      </w:r>
    </w:p>
    <w:p w14:paraId="61F30E97" w14:textId="6536F932" w:rsidR="002D4CBF" w:rsidRDefault="002D4CBF" w:rsidP="002D4CBF">
      <w:pPr>
        <w:pStyle w:val="Body"/>
        <w:widowControl w:val="0"/>
        <w:spacing w:line="480" w:lineRule="auto"/>
        <w:ind w:firstLine="0"/>
        <w:jc w:val="both"/>
        <w:rPr>
          <w:rStyle w:val="BodyTextChar"/>
          <w:bCs/>
          <w:sz w:val="28"/>
          <w:szCs w:val="28"/>
        </w:rPr>
      </w:pPr>
      <w:r>
        <w:rPr>
          <w:rStyle w:val="BodyTextChar"/>
          <w:b/>
          <w:sz w:val="28"/>
          <w:szCs w:val="28"/>
        </w:rPr>
        <w:tab/>
      </w:r>
      <w:r>
        <w:rPr>
          <w:rStyle w:val="BodyTextChar"/>
          <w:bCs/>
          <w:sz w:val="28"/>
          <w:szCs w:val="28"/>
        </w:rPr>
        <w:t xml:space="preserve">Effective January 1, 2011, the Supreme Court promulgated Rule 59(c), Ariz. R. Sup. Ct., allowing for a stay pending an appeal of a disciplinary sanction.  The rule provides that a stay pending an appeal of a disciplinary sanction shall be granted subject to appropriate conditions of supervision, except when an interim suspension has been ordered or when the hearing panel, in its discretion, determines no conditions of supervision will protect the public while the appeal is pending. See, </w:t>
      </w:r>
      <w:r>
        <w:rPr>
          <w:rStyle w:val="BodyTextChar"/>
          <w:bCs/>
          <w:sz w:val="28"/>
          <w:szCs w:val="28"/>
        </w:rPr>
        <w:lastRenderedPageBreak/>
        <w:t xml:space="preserve">Rule 59(c), Ariz. R. Sup. Ct.  The rule did not include any specific requirements that a petitioner would have to establish to obtain a stay pending appeal. </w:t>
      </w:r>
    </w:p>
    <w:p w14:paraId="44839C3C" w14:textId="77777777" w:rsidR="002D4CBF" w:rsidRPr="00A81D5C" w:rsidRDefault="002D4CBF" w:rsidP="002D4CBF">
      <w:pPr>
        <w:pStyle w:val="Body"/>
        <w:widowControl w:val="0"/>
        <w:spacing w:line="480" w:lineRule="auto"/>
        <w:ind w:firstLine="0"/>
        <w:jc w:val="both"/>
        <w:rPr>
          <w:rStyle w:val="BodyTextChar"/>
          <w:bCs/>
          <w:sz w:val="28"/>
          <w:szCs w:val="28"/>
        </w:rPr>
      </w:pPr>
      <w:r>
        <w:rPr>
          <w:rStyle w:val="BodyTextChar"/>
          <w:bCs/>
          <w:sz w:val="28"/>
          <w:szCs w:val="28"/>
        </w:rPr>
        <w:tab/>
        <w:t xml:space="preserve">On December 19, 2022, the Court issued an order in </w:t>
      </w:r>
      <w:proofErr w:type="spellStart"/>
      <w:r w:rsidRPr="00A81D5C">
        <w:rPr>
          <w:rStyle w:val="BodyTextChar"/>
          <w:bCs/>
          <w:i/>
          <w:iCs/>
          <w:sz w:val="28"/>
          <w:szCs w:val="28"/>
        </w:rPr>
        <w:t>Gagic</w:t>
      </w:r>
      <w:proofErr w:type="spellEnd"/>
      <w:r w:rsidRPr="00A81D5C">
        <w:rPr>
          <w:rStyle w:val="BodyTextChar"/>
          <w:bCs/>
          <w:i/>
          <w:iCs/>
          <w:sz w:val="28"/>
          <w:szCs w:val="28"/>
        </w:rPr>
        <w:t xml:space="preserve"> vs. Downey, State Bar of Arizona, Real Party in Interest</w:t>
      </w:r>
      <w:r>
        <w:rPr>
          <w:rStyle w:val="BodyTextChar"/>
          <w:bCs/>
          <w:i/>
          <w:iCs/>
          <w:sz w:val="28"/>
          <w:szCs w:val="28"/>
        </w:rPr>
        <w:t xml:space="preserve">, </w:t>
      </w:r>
      <w:r w:rsidRPr="00A81D5C">
        <w:rPr>
          <w:rStyle w:val="BodyTextChar"/>
          <w:bCs/>
          <w:sz w:val="28"/>
          <w:szCs w:val="28"/>
        </w:rPr>
        <w:t>No. CV-22-0293</w:t>
      </w:r>
      <w:r>
        <w:rPr>
          <w:rStyle w:val="BodyTextChar"/>
          <w:bCs/>
          <w:sz w:val="28"/>
          <w:szCs w:val="28"/>
        </w:rPr>
        <w:t xml:space="preserve">-SA relating to a Petition for Special Action for Stay of Order of Suspension.  The Court cited, “A party seeking a stay on appeal must establish the following elements: (1) a strong likelihood of success on the merits; (2) irreparable harm if the stay is not granted; (3) that the harm to the requesting party outweighs the harm to the party opposing the stay; and (4) that public policy favors the granting of the stay.”  </w:t>
      </w:r>
      <w:r w:rsidRPr="00A81D5C">
        <w:rPr>
          <w:rStyle w:val="BodyTextChar"/>
          <w:bCs/>
          <w:i/>
          <w:iCs/>
          <w:sz w:val="28"/>
          <w:szCs w:val="28"/>
        </w:rPr>
        <w:t>Smith v. Arizona Citizens Clean Election Comm’n</w:t>
      </w:r>
      <w:r>
        <w:rPr>
          <w:rStyle w:val="BodyTextChar"/>
          <w:bCs/>
          <w:sz w:val="28"/>
          <w:szCs w:val="28"/>
        </w:rPr>
        <w:t>. 212 Ariz. 407, 410-411 ¶10 (2006).</w:t>
      </w:r>
      <w:r>
        <w:rPr>
          <w:rStyle w:val="FootnoteReference"/>
          <w:bCs/>
          <w:sz w:val="28"/>
          <w:szCs w:val="28"/>
        </w:rPr>
        <w:footnoteReference w:id="1"/>
      </w:r>
      <w:r>
        <w:rPr>
          <w:rStyle w:val="BodyTextChar"/>
          <w:bCs/>
          <w:sz w:val="28"/>
          <w:szCs w:val="28"/>
        </w:rPr>
        <w:t xml:space="preserve"> These elements must be established along with appropriate conditions of supervision as set forth in the Rule. </w:t>
      </w:r>
    </w:p>
    <w:p w14:paraId="748B1AD1" w14:textId="128D2319" w:rsidR="004331B2" w:rsidRPr="002D4CBF" w:rsidRDefault="002D4CBF" w:rsidP="002D4CBF">
      <w:pPr>
        <w:pStyle w:val="Body"/>
        <w:widowControl w:val="0"/>
        <w:spacing w:line="480" w:lineRule="auto"/>
        <w:ind w:firstLine="0"/>
        <w:jc w:val="both"/>
        <w:rPr>
          <w:rStyle w:val="BodyTextChar"/>
          <w:bCs/>
          <w:sz w:val="28"/>
          <w:szCs w:val="28"/>
        </w:rPr>
      </w:pPr>
      <w:r>
        <w:rPr>
          <w:rStyle w:val="BodyTextChar"/>
          <w:b/>
          <w:sz w:val="28"/>
          <w:szCs w:val="28"/>
        </w:rPr>
        <w:tab/>
      </w:r>
      <w:r>
        <w:rPr>
          <w:rStyle w:val="BodyTextChar"/>
          <w:bCs/>
          <w:sz w:val="28"/>
          <w:szCs w:val="28"/>
        </w:rPr>
        <w:t xml:space="preserve">The Supreme Court Rules should be sufficiently clear to allow a petitioner to understand the necessary elements of a petition for stay of a disciplinary sanction.  Amending the Rule to include the specific elements would provide such clarification to petitioners.  </w:t>
      </w: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1D6B6A97" w14:textId="4B883CBD" w:rsidR="000F7A7F" w:rsidRPr="002D4CBF" w:rsidRDefault="000C48A9" w:rsidP="002D4CBF">
      <w:pPr>
        <w:pStyle w:val="Body"/>
        <w:widowControl w:val="0"/>
        <w:tabs>
          <w:tab w:val="left" w:pos="720"/>
        </w:tabs>
        <w:spacing w:line="480" w:lineRule="auto"/>
        <w:ind w:firstLine="0"/>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2D4CBF">
        <w:rPr>
          <w:sz w:val="28"/>
          <w:szCs w:val="28"/>
        </w:rPr>
        <w:t xml:space="preserve">the Court amend Rule </w:t>
      </w:r>
      <w:r w:rsidR="002D4CBF">
        <w:rPr>
          <w:sz w:val="28"/>
          <w:szCs w:val="28"/>
        </w:rPr>
        <w:lastRenderedPageBreak/>
        <w:t xml:space="preserve">59(c) of the Arizona Rules of Supreme Court as set forth in the attached Appendix. </w:t>
      </w:r>
    </w:p>
    <w:p w14:paraId="3D8B2B4C" w14:textId="77777777" w:rsidR="00995E84" w:rsidRDefault="00995E84" w:rsidP="00995E84">
      <w:pPr>
        <w:pStyle w:val="Body"/>
        <w:widowControl w:val="0"/>
        <w:tabs>
          <w:tab w:val="left" w:pos="720"/>
        </w:tabs>
        <w:ind w:firstLine="0"/>
        <w:rPr>
          <w:sz w:val="28"/>
          <w:szCs w:val="28"/>
        </w:rPr>
      </w:pPr>
      <w:r>
        <w:rPr>
          <w:szCs w:val="26"/>
        </w:rPr>
        <w:t xml:space="preserve">       </w:t>
      </w:r>
      <w:r>
        <w:rPr>
          <w:szCs w:val="26"/>
        </w:rPr>
        <w:tab/>
      </w:r>
      <w:r>
        <w:rPr>
          <w:szCs w:val="26"/>
        </w:rPr>
        <w:tab/>
        <w:t xml:space="preserve">          </w:t>
      </w:r>
      <w:r w:rsidRPr="006F63FD">
        <w:rPr>
          <w:sz w:val="28"/>
          <w:szCs w:val="28"/>
        </w:rPr>
        <w:t xml:space="preserve">RESPECTFULLY SUBMITTED this </w:t>
      </w:r>
      <w:r>
        <w:rPr>
          <w:sz w:val="28"/>
          <w:szCs w:val="28"/>
        </w:rPr>
        <w:t>10</w:t>
      </w:r>
      <w:r w:rsidRPr="00C879A6">
        <w:rPr>
          <w:sz w:val="28"/>
          <w:szCs w:val="28"/>
          <w:vertAlign w:val="superscript"/>
        </w:rPr>
        <w:t>th</w:t>
      </w:r>
      <w:r>
        <w:rPr>
          <w:sz w:val="28"/>
          <w:szCs w:val="28"/>
        </w:rPr>
        <w:t xml:space="preserve"> </w:t>
      </w:r>
      <w:r w:rsidRPr="006F63FD">
        <w:rPr>
          <w:sz w:val="28"/>
          <w:szCs w:val="28"/>
        </w:rPr>
        <w:t>day of</w:t>
      </w:r>
      <w:r>
        <w:rPr>
          <w:sz w:val="28"/>
          <w:szCs w:val="28"/>
        </w:rPr>
        <w:t xml:space="preserve"> </w:t>
      </w:r>
      <w:proofErr w:type="gramStart"/>
      <w:r>
        <w:rPr>
          <w:sz w:val="28"/>
          <w:szCs w:val="28"/>
        </w:rPr>
        <w:t>January,</w:t>
      </w:r>
      <w:proofErr w:type="gramEnd"/>
      <w:r>
        <w:rPr>
          <w:sz w:val="28"/>
          <w:szCs w:val="28"/>
        </w:rPr>
        <w:t xml:space="preserve"> 2024</w:t>
      </w:r>
      <w:r w:rsidRPr="006F63FD">
        <w:rPr>
          <w:sz w:val="28"/>
          <w:szCs w:val="28"/>
        </w:rPr>
        <w:t>.</w:t>
      </w:r>
    </w:p>
    <w:p w14:paraId="1F08D02A" w14:textId="77777777" w:rsidR="00995E84" w:rsidRPr="00C879A6" w:rsidRDefault="00995E84" w:rsidP="00995E84">
      <w:pPr>
        <w:pStyle w:val="Body"/>
        <w:widowControl w:val="0"/>
        <w:tabs>
          <w:tab w:val="left" w:pos="720"/>
        </w:tabs>
        <w:ind w:firstLine="0"/>
        <w:rPr>
          <w:sz w:val="28"/>
          <w:szCs w:val="28"/>
        </w:rPr>
      </w:pPr>
    </w:p>
    <w:p w14:paraId="30268EA9" w14:textId="77777777" w:rsidR="00995E84" w:rsidRPr="000F7A7F" w:rsidRDefault="00995E84" w:rsidP="00995E84">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sidRPr="003752AB">
        <w:rPr>
          <w:noProof/>
          <w:sz w:val="24"/>
          <w:szCs w:val="24"/>
        </w:rPr>
        <w:drawing>
          <wp:inline distT="0" distB="0" distL="0" distR="0" wp14:anchorId="764B14EE" wp14:editId="396EF602">
            <wp:extent cx="1000125" cy="266700"/>
            <wp:effectExtent l="0" t="0" r="9525" b="0"/>
            <wp:docPr id="18" name="Picture 18"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914" cy="288777"/>
                    </a:xfrm>
                    <a:prstGeom prst="rect">
                      <a:avLst/>
                    </a:prstGeom>
                    <a:noFill/>
                    <a:ln>
                      <a:noFill/>
                    </a:ln>
                  </pic:spPr>
                </pic:pic>
              </a:graphicData>
            </a:graphic>
          </wp:inline>
        </w:drawing>
      </w:r>
    </w:p>
    <w:p w14:paraId="523BB419" w14:textId="77777777" w:rsidR="00995E84" w:rsidRPr="006F63FD" w:rsidRDefault="00995E84" w:rsidP="00995E84">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57790097" w14:textId="77777777" w:rsidR="00995E84" w:rsidRPr="006F63FD" w:rsidRDefault="00995E84" w:rsidP="00995E84">
      <w:pPr>
        <w:pStyle w:val="PleadingSignature"/>
        <w:keepNext w:val="0"/>
        <w:keepLines w:val="0"/>
        <w:spacing w:line="240" w:lineRule="auto"/>
        <w:ind w:left="5070"/>
        <w:rPr>
          <w:sz w:val="28"/>
          <w:szCs w:val="28"/>
        </w:rPr>
      </w:pPr>
      <w:r w:rsidRPr="006F63FD">
        <w:rPr>
          <w:sz w:val="28"/>
          <w:szCs w:val="28"/>
        </w:rPr>
        <w:t>General Counsel</w:t>
      </w:r>
    </w:p>
    <w:p w14:paraId="58189511" w14:textId="77777777" w:rsidR="00995E84" w:rsidRDefault="00995E84" w:rsidP="00995E84">
      <w:pPr>
        <w:widowControl w:val="0"/>
        <w:spacing w:line="240" w:lineRule="auto"/>
        <w:ind w:right="4140"/>
        <w:rPr>
          <w:sz w:val="28"/>
          <w:szCs w:val="28"/>
        </w:rPr>
      </w:pPr>
    </w:p>
    <w:p w14:paraId="421BA2D0" w14:textId="77777777" w:rsidR="00995E84" w:rsidRDefault="00995E84" w:rsidP="00995E84">
      <w:pPr>
        <w:widowControl w:val="0"/>
        <w:spacing w:line="240" w:lineRule="auto"/>
        <w:ind w:right="4140"/>
        <w:rPr>
          <w:sz w:val="28"/>
          <w:szCs w:val="28"/>
        </w:rPr>
      </w:pPr>
    </w:p>
    <w:p w14:paraId="3941E625" w14:textId="77777777" w:rsidR="00995E84" w:rsidRDefault="00995E84" w:rsidP="00995E84">
      <w:pPr>
        <w:widowControl w:val="0"/>
        <w:spacing w:line="240" w:lineRule="auto"/>
        <w:ind w:right="4140"/>
        <w:rPr>
          <w:sz w:val="28"/>
          <w:szCs w:val="28"/>
        </w:rPr>
      </w:pPr>
    </w:p>
    <w:p w14:paraId="3026F874" w14:textId="77777777" w:rsidR="00995E84" w:rsidRDefault="00995E84" w:rsidP="00995E84">
      <w:pPr>
        <w:widowControl w:val="0"/>
        <w:spacing w:line="240" w:lineRule="auto"/>
        <w:ind w:right="4140"/>
        <w:rPr>
          <w:sz w:val="28"/>
          <w:szCs w:val="28"/>
        </w:rPr>
      </w:pPr>
    </w:p>
    <w:p w14:paraId="621639E7" w14:textId="77777777" w:rsidR="00995E84" w:rsidRPr="00C52E56" w:rsidRDefault="00995E84" w:rsidP="00995E84">
      <w:pPr>
        <w:widowControl w:val="0"/>
        <w:spacing w:line="240" w:lineRule="auto"/>
        <w:ind w:right="4140"/>
        <w:rPr>
          <w:sz w:val="28"/>
          <w:szCs w:val="28"/>
        </w:rPr>
      </w:pPr>
      <w:r w:rsidRPr="00C52E56">
        <w:rPr>
          <w:sz w:val="28"/>
          <w:szCs w:val="28"/>
        </w:rPr>
        <w:t>Electronic copy filed with the</w:t>
      </w:r>
    </w:p>
    <w:p w14:paraId="09B842DD" w14:textId="77777777" w:rsidR="00995E84" w:rsidRPr="00C52E56" w:rsidRDefault="00995E84" w:rsidP="00995E84">
      <w:pPr>
        <w:spacing w:line="240" w:lineRule="auto"/>
        <w:ind w:right="4140"/>
        <w:rPr>
          <w:sz w:val="28"/>
          <w:szCs w:val="28"/>
        </w:rPr>
      </w:pPr>
      <w:r w:rsidRPr="00C52E56">
        <w:rPr>
          <w:sz w:val="28"/>
          <w:szCs w:val="28"/>
        </w:rPr>
        <w:t xml:space="preserve">Clerk of the </w:t>
      </w:r>
      <w:r>
        <w:rPr>
          <w:sz w:val="28"/>
          <w:szCs w:val="28"/>
        </w:rPr>
        <w:t>Supreme Court of Arizona</w:t>
      </w:r>
    </w:p>
    <w:p w14:paraId="7CE9D9FE" w14:textId="77777777" w:rsidR="00995E84" w:rsidRPr="00C52E56" w:rsidRDefault="00995E84" w:rsidP="00995E84">
      <w:pPr>
        <w:tabs>
          <w:tab w:val="left" w:pos="4836"/>
        </w:tabs>
        <w:spacing w:line="240" w:lineRule="auto"/>
        <w:ind w:right="3870"/>
        <w:rPr>
          <w:sz w:val="28"/>
          <w:szCs w:val="28"/>
        </w:rPr>
      </w:pPr>
      <w:r w:rsidRPr="00C52E56">
        <w:rPr>
          <w:sz w:val="28"/>
          <w:szCs w:val="28"/>
        </w:rPr>
        <w:t xml:space="preserve">this </w:t>
      </w:r>
      <w:r>
        <w:rPr>
          <w:sz w:val="28"/>
          <w:szCs w:val="28"/>
        </w:rPr>
        <w:t>10</w:t>
      </w:r>
      <w:r w:rsidRPr="00C879A6">
        <w:rPr>
          <w:sz w:val="28"/>
          <w:szCs w:val="28"/>
          <w:vertAlign w:val="superscript"/>
        </w:rPr>
        <w:t>th</w:t>
      </w:r>
      <w:r>
        <w:rPr>
          <w:sz w:val="28"/>
          <w:szCs w:val="28"/>
        </w:rPr>
        <w:t xml:space="preserve"> </w:t>
      </w:r>
      <w:r w:rsidRPr="00C52E56">
        <w:rPr>
          <w:sz w:val="28"/>
          <w:szCs w:val="28"/>
        </w:rPr>
        <w:t xml:space="preserve">day of </w:t>
      </w:r>
      <w:proofErr w:type="gramStart"/>
      <w:r>
        <w:rPr>
          <w:sz w:val="28"/>
          <w:szCs w:val="28"/>
        </w:rPr>
        <w:t>January,</w:t>
      </w:r>
      <w:proofErr w:type="gramEnd"/>
      <w:r w:rsidRPr="00C52E56">
        <w:rPr>
          <w:sz w:val="28"/>
          <w:szCs w:val="28"/>
        </w:rPr>
        <w:t xml:space="preserve"> </w:t>
      </w:r>
      <w:r>
        <w:rPr>
          <w:sz w:val="28"/>
          <w:szCs w:val="28"/>
        </w:rPr>
        <w:t>2024</w:t>
      </w:r>
      <w:r w:rsidRPr="00C52E56">
        <w:rPr>
          <w:sz w:val="28"/>
          <w:szCs w:val="28"/>
        </w:rPr>
        <w:t>.</w:t>
      </w:r>
    </w:p>
    <w:p w14:paraId="325CF0F1" w14:textId="77777777" w:rsidR="00995E84" w:rsidRPr="00C52E56" w:rsidRDefault="00995E84" w:rsidP="00995E84">
      <w:pPr>
        <w:spacing w:line="240" w:lineRule="auto"/>
        <w:ind w:right="4572"/>
        <w:rPr>
          <w:sz w:val="28"/>
          <w:szCs w:val="28"/>
        </w:rPr>
      </w:pPr>
    </w:p>
    <w:p w14:paraId="32941735" w14:textId="77777777" w:rsidR="00995E84" w:rsidRPr="00C52E56" w:rsidRDefault="00995E84" w:rsidP="00995E84">
      <w:pPr>
        <w:spacing w:line="240" w:lineRule="auto"/>
        <w:ind w:right="4572"/>
        <w:rPr>
          <w:sz w:val="28"/>
          <w:szCs w:val="28"/>
        </w:rPr>
      </w:pPr>
      <w:r w:rsidRPr="00C52E56">
        <w:rPr>
          <w:sz w:val="28"/>
          <w:szCs w:val="28"/>
        </w:rPr>
        <w:t xml:space="preserve">by: </w:t>
      </w:r>
      <w:proofErr w:type="spellStart"/>
      <w:r>
        <w:rPr>
          <w:sz w:val="28"/>
          <w:szCs w:val="28"/>
        </w:rPr>
        <w:t>PSeguin</w:t>
      </w:r>
      <w:proofErr w:type="spellEnd"/>
      <w:r w:rsidRPr="00C52E56">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 w:id="1">
    <w:p w14:paraId="0C685E4E" w14:textId="717AF74C" w:rsidR="002D4CBF" w:rsidRPr="002D4CBF" w:rsidRDefault="002D4CBF" w:rsidP="002D4CBF">
      <w:pPr>
        <w:pStyle w:val="FootnoteText"/>
        <w:jc w:val="both"/>
        <w:rPr>
          <w:sz w:val="28"/>
          <w:szCs w:val="28"/>
        </w:rPr>
      </w:pPr>
      <w:r w:rsidRPr="002D4CBF">
        <w:rPr>
          <w:rStyle w:val="FootnoteReference"/>
          <w:sz w:val="28"/>
          <w:szCs w:val="28"/>
        </w:rPr>
        <w:footnoteRef/>
      </w:r>
      <w:r w:rsidRPr="002D4CBF">
        <w:rPr>
          <w:sz w:val="28"/>
          <w:szCs w:val="28"/>
        </w:rPr>
        <w:t xml:space="preserve"> These requirements were repeated in a subsequent order from the court on December 22, 2022, relating to an Amended Petition for Special Action and Request for Stay.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1"/>
  </w:num>
  <w:num w:numId="2" w16cid:durableId="376468605">
    <w:abstractNumId w:val="12"/>
  </w:num>
  <w:num w:numId="3" w16cid:durableId="117067264">
    <w:abstractNumId w:val="0"/>
  </w:num>
  <w:num w:numId="4" w16cid:durableId="35545643">
    <w:abstractNumId w:val="4"/>
  </w:num>
  <w:num w:numId="5" w16cid:durableId="236012798">
    <w:abstractNumId w:val="6"/>
  </w:num>
  <w:num w:numId="6" w16cid:durableId="1867865982">
    <w:abstractNumId w:val="7"/>
  </w:num>
  <w:num w:numId="7" w16cid:durableId="177698105">
    <w:abstractNumId w:val="1"/>
  </w:num>
  <w:num w:numId="8" w16cid:durableId="1286935107">
    <w:abstractNumId w:val="13"/>
  </w:num>
  <w:num w:numId="9" w16cid:durableId="303775777">
    <w:abstractNumId w:val="8"/>
  </w:num>
  <w:num w:numId="10" w16cid:durableId="1623998060">
    <w:abstractNumId w:val="10"/>
  </w:num>
  <w:num w:numId="11" w16cid:durableId="1057432811">
    <w:abstractNumId w:val="9"/>
  </w:num>
  <w:num w:numId="12" w16cid:durableId="1388261337">
    <w:abstractNumId w:val="5"/>
  </w:num>
  <w:num w:numId="13" w16cid:durableId="1106122761">
    <w:abstractNumId w:val="2"/>
  </w:num>
  <w:num w:numId="14" w16cid:durableId="205784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2D4CBF"/>
    <w:rsid w:val="00352347"/>
    <w:rsid w:val="003566D6"/>
    <w:rsid w:val="00357F4D"/>
    <w:rsid w:val="003617D1"/>
    <w:rsid w:val="00377199"/>
    <w:rsid w:val="003A28AC"/>
    <w:rsid w:val="003F5017"/>
    <w:rsid w:val="0040598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995E84"/>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3</Pages>
  <Words>447</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2024-01-10T21:40:00Z</dcterms:created>
  <dcterms:modified xsi:type="dcterms:W3CDTF">2024-01-10T21:40:00Z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