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5441B4" w14:paraId="5288ADF7" w14:textId="77777777" w:rsidTr="006F63FD">
        <w:trPr>
          <w:cantSplit/>
          <w:trHeight w:val="1987"/>
        </w:trPr>
        <w:tc>
          <w:tcPr>
            <w:tcW w:w="4836" w:type="dxa"/>
          </w:tcPr>
          <w:p w14:paraId="6E9DB00B" w14:textId="77777777" w:rsidR="00000C35" w:rsidRPr="005441B4" w:rsidRDefault="00F850BE" w:rsidP="00000C35">
            <w:pPr>
              <w:pStyle w:val="FirmInformation"/>
              <w:spacing w:line="240" w:lineRule="auto"/>
              <w:rPr>
                <w:sz w:val="28"/>
                <w:szCs w:val="28"/>
              </w:rPr>
            </w:pPr>
            <w:bookmarkStart w:id="0" w:name="_zzmpFIXED_CounselTable"/>
            <w:r w:rsidRPr="005441B4">
              <w:rPr>
                <w:sz w:val="28"/>
                <w:szCs w:val="28"/>
              </w:rPr>
              <w:t>Lisa M. Panahi</w:t>
            </w:r>
            <w:r w:rsidR="00732169" w:rsidRPr="005441B4">
              <w:rPr>
                <w:sz w:val="28"/>
                <w:szCs w:val="28"/>
              </w:rPr>
              <w:t xml:space="preserve">, </w:t>
            </w:r>
            <w:r w:rsidRPr="005441B4">
              <w:rPr>
                <w:sz w:val="28"/>
                <w:szCs w:val="28"/>
              </w:rPr>
              <w:t>Bar No. 023421</w:t>
            </w:r>
            <w:r w:rsidR="00732169" w:rsidRPr="005441B4">
              <w:rPr>
                <w:sz w:val="28"/>
                <w:szCs w:val="28"/>
              </w:rPr>
              <w:br/>
            </w:r>
            <w:r w:rsidR="006F63FD" w:rsidRPr="005441B4">
              <w:rPr>
                <w:sz w:val="28"/>
                <w:szCs w:val="28"/>
              </w:rPr>
              <w:t>General Counsel</w:t>
            </w:r>
          </w:p>
          <w:p w14:paraId="327788CA" w14:textId="77777777" w:rsidR="00494BDF" w:rsidRPr="005441B4" w:rsidRDefault="00494BDF" w:rsidP="00000C35">
            <w:pPr>
              <w:pStyle w:val="FirmInformation"/>
              <w:spacing w:line="240" w:lineRule="auto"/>
              <w:rPr>
                <w:sz w:val="28"/>
                <w:szCs w:val="28"/>
              </w:rPr>
            </w:pPr>
            <w:r w:rsidRPr="005441B4">
              <w:rPr>
                <w:sz w:val="28"/>
                <w:szCs w:val="28"/>
              </w:rPr>
              <w:t>State Bar of Arizona</w:t>
            </w:r>
          </w:p>
          <w:p w14:paraId="2EC76B5A" w14:textId="77777777" w:rsidR="00357F4D" w:rsidRPr="005441B4" w:rsidRDefault="00357F4D" w:rsidP="00000C35">
            <w:pPr>
              <w:pStyle w:val="FirmInformation"/>
              <w:spacing w:line="240" w:lineRule="auto"/>
              <w:rPr>
                <w:sz w:val="28"/>
                <w:szCs w:val="28"/>
              </w:rPr>
            </w:pPr>
            <w:r w:rsidRPr="005441B4">
              <w:rPr>
                <w:sz w:val="28"/>
                <w:szCs w:val="28"/>
              </w:rPr>
              <w:t>4201 N. 24th Street, Suite 100</w:t>
            </w:r>
          </w:p>
          <w:p w14:paraId="336E177D" w14:textId="77777777" w:rsidR="00357F4D" w:rsidRPr="005441B4" w:rsidRDefault="00357F4D" w:rsidP="00000C35">
            <w:pPr>
              <w:pStyle w:val="FirmInformation"/>
              <w:spacing w:line="240" w:lineRule="auto"/>
              <w:rPr>
                <w:sz w:val="28"/>
                <w:szCs w:val="28"/>
              </w:rPr>
            </w:pPr>
            <w:r w:rsidRPr="005441B4">
              <w:rPr>
                <w:sz w:val="28"/>
                <w:szCs w:val="28"/>
              </w:rPr>
              <w:t>Phoenix, AZ  85016-6288</w:t>
            </w:r>
          </w:p>
          <w:p w14:paraId="2187EE4E" w14:textId="77777777" w:rsidR="006F63FD" w:rsidRPr="005441B4" w:rsidRDefault="00352347" w:rsidP="00735659">
            <w:pPr>
              <w:pStyle w:val="FirmInformation"/>
              <w:spacing w:line="240" w:lineRule="auto"/>
              <w:rPr>
                <w:sz w:val="28"/>
                <w:szCs w:val="28"/>
              </w:rPr>
            </w:pPr>
            <w:r w:rsidRPr="005441B4">
              <w:rPr>
                <w:sz w:val="28"/>
                <w:szCs w:val="28"/>
              </w:rPr>
              <w:t>(602) 340-7236</w:t>
            </w:r>
          </w:p>
        </w:tc>
        <w:tc>
          <w:tcPr>
            <w:tcW w:w="4200" w:type="dxa"/>
          </w:tcPr>
          <w:p w14:paraId="76CDDC48" w14:textId="77777777" w:rsidR="00357F4D" w:rsidRPr="005441B4" w:rsidRDefault="00357F4D" w:rsidP="00000C35">
            <w:pPr>
              <w:ind w:left="113" w:right="113"/>
              <w:rPr>
                <w:sz w:val="28"/>
                <w:szCs w:val="28"/>
              </w:rPr>
            </w:pPr>
          </w:p>
        </w:tc>
      </w:tr>
      <w:bookmarkEnd w:id="0"/>
    </w:tbl>
    <w:p w14:paraId="6086C7A7" w14:textId="77777777" w:rsidR="00357F4D" w:rsidRPr="005441B4" w:rsidRDefault="00357F4D" w:rsidP="00735659">
      <w:pPr>
        <w:pStyle w:val="Court"/>
        <w:spacing w:line="508" w:lineRule="exact"/>
        <w:jc w:val="left"/>
        <w:rPr>
          <w:b/>
          <w:sz w:val="28"/>
          <w:szCs w:val="28"/>
        </w:rPr>
      </w:pPr>
    </w:p>
    <w:p w14:paraId="2DA6333A" w14:textId="77777777" w:rsidR="000C48A9" w:rsidRPr="005441B4" w:rsidRDefault="000F7A7F" w:rsidP="00000C35">
      <w:pPr>
        <w:pStyle w:val="Court"/>
        <w:spacing w:line="240" w:lineRule="auto"/>
        <w:rPr>
          <w:b/>
          <w:sz w:val="28"/>
          <w:szCs w:val="28"/>
        </w:rPr>
      </w:pPr>
      <w:r w:rsidRPr="005441B4">
        <w:rPr>
          <w:b/>
          <w:sz w:val="28"/>
          <w:szCs w:val="28"/>
        </w:rPr>
        <w:t>IN THE SUPREME COURT</w:t>
      </w:r>
      <w:r w:rsidRPr="005441B4">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5441B4"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5441B4" w:rsidRDefault="00357F4D" w:rsidP="00E321C5">
            <w:pPr>
              <w:pStyle w:val="Caption"/>
              <w:spacing w:before="240" w:line="260" w:lineRule="exact"/>
              <w:rPr>
                <w:sz w:val="28"/>
                <w:szCs w:val="28"/>
              </w:rPr>
            </w:pPr>
            <w:bookmarkStart w:id="1" w:name="_zzmpFIXED_CaptionTable"/>
            <w:r w:rsidRPr="005441B4">
              <w:rPr>
                <w:sz w:val="28"/>
                <w:szCs w:val="28"/>
              </w:rPr>
              <w:t>In the Matter of:</w:t>
            </w:r>
          </w:p>
          <w:p w14:paraId="5443EA06" w14:textId="11F2087A" w:rsidR="00357F4D" w:rsidRPr="004912C4" w:rsidRDefault="00E67511" w:rsidP="004912C4">
            <w:pPr>
              <w:pStyle w:val="Caption"/>
              <w:spacing w:before="240" w:line="260" w:lineRule="exact"/>
              <w:rPr>
                <w:b/>
                <w:sz w:val="28"/>
                <w:szCs w:val="28"/>
              </w:rPr>
            </w:pPr>
            <w:r w:rsidRPr="005441B4">
              <w:rPr>
                <w:b/>
                <w:sz w:val="28"/>
                <w:szCs w:val="28"/>
              </w:rPr>
              <w:t xml:space="preserve">PETITION TO </w:t>
            </w:r>
            <w:r w:rsidR="004912C4">
              <w:rPr>
                <w:b/>
                <w:sz w:val="28"/>
                <w:szCs w:val="28"/>
              </w:rPr>
              <w:t>AMEND RULE 2 OF THE ARIZONA RULES OF FAMILY LAW PROCEDURE</w:t>
            </w:r>
            <w:r w:rsidR="004912C4">
              <w:rPr>
                <w:b/>
                <w:sz w:val="28"/>
                <w:szCs w:val="28"/>
              </w:rPr>
              <w:br/>
            </w:r>
          </w:p>
        </w:tc>
        <w:tc>
          <w:tcPr>
            <w:tcW w:w="4524" w:type="dxa"/>
            <w:tcBorders>
              <w:top w:val="nil"/>
              <w:left w:val="single" w:sz="4" w:space="0" w:color="auto"/>
            </w:tcBorders>
            <w:shd w:val="clear" w:color="auto" w:fill="auto"/>
          </w:tcPr>
          <w:p w14:paraId="4C75C8D6" w14:textId="5FFBEC5D" w:rsidR="00357F4D" w:rsidRPr="005441B4" w:rsidRDefault="00357F4D" w:rsidP="00E321C5">
            <w:pPr>
              <w:pStyle w:val="Caption"/>
              <w:tabs>
                <w:tab w:val="left" w:pos="1238"/>
              </w:tabs>
              <w:spacing w:before="240" w:after="240"/>
              <w:ind w:left="259" w:right="115"/>
              <w:rPr>
                <w:sz w:val="28"/>
                <w:szCs w:val="28"/>
              </w:rPr>
            </w:pPr>
            <w:r w:rsidRPr="005441B4">
              <w:rPr>
                <w:sz w:val="28"/>
                <w:szCs w:val="28"/>
              </w:rPr>
              <w:t>Supreme Court No. R-</w:t>
            </w:r>
            <w:r w:rsidR="008A4EB3" w:rsidRPr="005441B4">
              <w:rPr>
                <w:sz w:val="28"/>
                <w:szCs w:val="28"/>
              </w:rPr>
              <w:t>2</w:t>
            </w:r>
            <w:r w:rsidR="0040598C" w:rsidRPr="005441B4">
              <w:rPr>
                <w:sz w:val="28"/>
                <w:szCs w:val="28"/>
              </w:rPr>
              <w:t>4</w:t>
            </w:r>
            <w:r w:rsidR="00F850BE" w:rsidRPr="005441B4">
              <w:rPr>
                <w:sz w:val="28"/>
                <w:szCs w:val="28"/>
              </w:rPr>
              <w:t>-</w:t>
            </w:r>
          </w:p>
          <w:p w14:paraId="5DA69FB8" w14:textId="68A4012D" w:rsidR="00357F4D" w:rsidRPr="004912C4" w:rsidRDefault="00D60D9B" w:rsidP="000F7A7F">
            <w:pPr>
              <w:pStyle w:val="Caption"/>
              <w:tabs>
                <w:tab w:val="left" w:pos="1238"/>
              </w:tabs>
              <w:spacing w:line="260" w:lineRule="exact"/>
              <w:ind w:right="115"/>
              <w:jc w:val="center"/>
              <w:rPr>
                <w:b/>
                <w:sz w:val="28"/>
                <w:szCs w:val="28"/>
              </w:rPr>
            </w:pPr>
            <w:r w:rsidRPr="004912C4">
              <w:rPr>
                <w:b/>
                <w:sz w:val="28"/>
                <w:szCs w:val="28"/>
              </w:rPr>
              <w:t>PETITION</w:t>
            </w:r>
          </w:p>
          <w:p w14:paraId="5C4A37D9" w14:textId="77777777" w:rsidR="00357F4D" w:rsidRPr="005441B4" w:rsidRDefault="00357F4D" w:rsidP="00E321C5">
            <w:pPr>
              <w:pStyle w:val="DocumentTitle"/>
              <w:rPr>
                <w:sz w:val="28"/>
                <w:szCs w:val="28"/>
              </w:rPr>
            </w:pPr>
          </w:p>
          <w:p w14:paraId="264D7027" w14:textId="77777777" w:rsidR="00357F4D" w:rsidRPr="005441B4" w:rsidRDefault="00357F4D" w:rsidP="00E321C5">
            <w:pPr>
              <w:pStyle w:val="Caption"/>
              <w:ind w:left="1512" w:right="115" w:hanging="1253"/>
              <w:rPr>
                <w:sz w:val="28"/>
                <w:szCs w:val="28"/>
              </w:rPr>
            </w:pPr>
          </w:p>
        </w:tc>
      </w:tr>
      <w:bookmarkEnd w:id="1"/>
    </w:tbl>
    <w:p w14:paraId="019C0820" w14:textId="77777777" w:rsidR="004331B2" w:rsidRPr="005441B4" w:rsidRDefault="004331B2" w:rsidP="006338C1">
      <w:pPr>
        <w:pStyle w:val="Body"/>
        <w:widowControl w:val="0"/>
        <w:ind w:firstLine="720"/>
        <w:jc w:val="both"/>
        <w:rPr>
          <w:sz w:val="28"/>
          <w:szCs w:val="28"/>
        </w:rPr>
      </w:pPr>
    </w:p>
    <w:p w14:paraId="59F058CA" w14:textId="75786FE3" w:rsidR="001F591C" w:rsidRPr="005441B4" w:rsidRDefault="0008003D" w:rsidP="006766BF">
      <w:pPr>
        <w:pStyle w:val="Body"/>
        <w:widowControl w:val="0"/>
        <w:spacing w:line="480" w:lineRule="auto"/>
        <w:ind w:firstLine="720"/>
        <w:jc w:val="both"/>
        <w:rPr>
          <w:bCs/>
          <w:sz w:val="28"/>
          <w:szCs w:val="28"/>
        </w:rPr>
      </w:pPr>
      <w:r w:rsidRPr="005441B4">
        <w:rPr>
          <w:sz w:val="28"/>
          <w:szCs w:val="28"/>
        </w:rPr>
        <w:t>Pursuant to Rule 28(</w:t>
      </w:r>
      <w:r w:rsidR="005845AE" w:rsidRPr="005441B4">
        <w:rPr>
          <w:sz w:val="28"/>
          <w:szCs w:val="28"/>
        </w:rPr>
        <w:t>a</w:t>
      </w:r>
      <w:r w:rsidRPr="005441B4">
        <w:rPr>
          <w:sz w:val="28"/>
          <w:szCs w:val="28"/>
        </w:rPr>
        <w:t xml:space="preserve">) of the Arizona Rules of Supreme Court, the State Bar of Arizona (the “State Bar”) hereby </w:t>
      </w:r>
      <w:r w:rsidR="005845AE" w:rsidRPr="005441B4">
        <w:rPr>
          <w:sz w:val="28"/>
          <w:szCs w:val="28"/>
        </w:rPr>
        <w:t>petitions the Court to amend</w:t>
      </w:r>
      <w:r w:rsidR="005441B4" w:rsidRPr="005441B4">
        <w:rPr>
          <w:sz w:val="28"/>
          <w:szCs w:val="28"/>
        </w:rPr>
        <w:t xml:space="preserve"> </w:t>
      </w:r>
      <w:r w:rsidR="005441B4" w:rsidRPr="005441B4">
        <w:rPr>
          <w:bCs/>
          <w:sz w:val="28"/>
          <w:szCs w:val="28"/>
        </w:rPr>
        <w:t>Rule 2 of the Arizona Rules of Family Law Procedure (the “Family Rules”).  This proposed amendment will clarify when and how certain Rules of Evidence, which do not normally apply in Family Court, may be enforced in family court matters.</w:t>
      </w:r>
    </w:p>
    <w:p w14:paraId="68DC16D6" w14:textId="24703480" w:rsidR="005441B4" w:rsidRPr="005441B4" w:rsidRDefault="005441B4" w:rsidP="005441B4">
      <w:pPr>
        <w:tabs>
          <w:tab w:val="left" w:pos="900"/>
        </w:tabs>
        <w:spacing w:line="480" w:lineRule="auto"/>
        <w:ind w:firstLine="720"/>
        <w:jc w:val="both"/>
        <w:rPr>
          <w:bCs/>
          <w:sz w:val="28"/>
          <w:szCs w:val="28"/>
        </w:rPr>
      </w:pPr>
      <w:r w:rsidRPr="005441B4">
        <w:rPr>
          <w:bCs/>
          <w:sz w:val="28"/>
          <w:szCs w:val="28"/>
        </w:rPr>
        <w:t xml:space="preserve">Rule 2 of the Family Rules is titled “Applicability of the Rules of Evidence.”  </w:t>
      </w:r>
      <w:r w:rsidR="0023797E">
        <w:rPr>
          <w:bCs/>
          <w:sz w:val="28"/>
          <w:szCs w:val="28"/>
        </w:rPr>
        <w:t>The rule</w:t>
      </w:r>
      <w:r w:rsidRPr="005441B4">
        <w:rPr>
          <w:bCs/>
          <w:sz w:val="28"/>
          <w:szCs w:val="28"/>
        </w:rPr>
        <w:t xml:space="preserve"> provides that unless a party specifically files a notice, Rules of Evidence 602, 801-807, 901-903, and 1002-1005 do not apply in family court.  The </w:t>
      </w:r>
      <w:r w:rsidR="0023797E">
        <w:rPr>
          <w:bCs/>
          <w:sz w:val="28"/>
          <w:szCs w:val="28"/>
        </w:rPr>
        <w:t>rule does</w:t>
      </w:r>
      <w:r w:rsidR="005B1CDA">
        <w:rPr>
          <w:bCs/>
          <w:sz w:val="28"/>
          <w:szCs w:val="28"/>
        </w:rPr>
        <w:t>,</w:t>
      </w:r>
      <w:r w:rsidR="0023797E">
        <w:rPr>
          <w:bCs/>
          <w:sz w:val="28"/>
          <w:szCs w:val="28"/>
        </w:rPr>
        <w:t xml:space="preserve"> however</w:t>
      </w:r>
      <w:r w:rsidR="005B1CDA">
        <w:rPr>
          <w:bCs/>
          <w:sz w:val="28"/>
          <w:szCs w:val="28"/>
        </w:rPr>
        <w:t>,</w:t>
      </w:r>
      <w:r w:rsidRPr="005441B4">
        <w:rPr>
          <w:bCs/>
          <w:sz w:val="28"/>
          <w:szCs w:val="28"/>
        </w:rPr>
        <w:t xml:space="preserve"> provide a method to notify the Court and the other party that a party wishes to have these Rules of Evidence apply in a specific case. This is often referred to colloquially as “invoking the strict rules.”   </w:t>
      </w:r>
    </w:p>
    <w:p w14:paraId="5E650DFF" w14:textId="721C5157" w:rsidR="005441B4" w:rsidRPr="005441B4" w:rsidRDefault="005441B4" w:rsidP="005441B4">
      <w:pPr>
        <w:tabs>
          <w:tab w:val="left" w:pos="900"/>
        </w:tabs>
        <w:spacing w:line="480" w:lineRule="auto"/>
        <w:ind w:firstLine="720"/>
        <w:jc w:val="both"/>
        <w:rPr>
          <w:bCs/>
          <w:sz w:val="28"/>
          <w:szCs w:val="28"/>
        </w:rPr>
      </w:pPr>
      <w:r w:rsidRPr="005441B4">
        <w:rPr>
          <w:bCs/>
          <w:sz w:val="28"/>
          <w:szCs w:val="28"/>
        </w:rPr>
        <w:lastRenderedPageBreak/>
        <w:t>While Rule</w:t>
      </w:r>
      <w:r w:rsidR="0023797E">
        <w:rPr>
          <w:bCs/>
          <w:sz w:val="28"/>
          <w:szCs w:val="28"/>
        </w:rPr>
        <w:t xml:space="preserve"> 2</w:t>
      </w:r>
      <w:r w:rsidRPr="005441B4">
        <w:rPr>
          <w:bCs/>
          <w:sz w:val="28"/>
          <w:szCs w:val="28"/>
        </w:rPr>
        <w:t xml:space="preserve"> provides for the timing of a notice that </w:t>
      </w:r>
      <w:r w:rsidR="004912C4" w:rsidRPr="005441B4">
        <w:rPr>
          <w:bCs/>
          <w:sz w:val="28"/>
          <w:szCs w:val="28"/>
        </w:rPr>
        <w:t>all</w:t>
      </w:r>
      <w:r w:rsidRPr="005441B4">
        <w:rPr>
          <w:bCs/>
          <w:sz w:val="28"/>
          <w:szCs w:val="28"/>
        </w:rPr>
        <w:t xml:space="preserve"> the Rules of Evidence shall apply in a </w:t>
      </w:r>
      <w:r w:rsidR="0023797E">
        <w:rPr>
          <w:bCs/>
          <w:sz w:val="28"/>
          <w:szCs w:val="28"/>
        </w:rPr>
        <w:t>f</w:t>
      </w:r>
      <w:r w:rsidRPr="005441B4">
        <w:rPr>
          <w:bCs/>
          <w:sz w:val="28"/>
          <w:szCs w:val="28"/>
        </w:rPr>
        <w:t xml:space="preserve">amily </w:t>
      </w:r>
      <w:r w:rsidR="0023797E">
        <w:rPr>
          <w:bCs/>
          <w:sz w:val="28"/>
          <w:szCs w:val="28"/>
        </w:rPr>
        <w:t>c</w:t>
      </w:r>
      <w:r w:rsidRPr="005441B4">
        <w:rPr>
          <w:bCs/>
          <w:sz w:val="28"/>
          <w:szCs w:val="28"/>
        </w:rPr>
        <w:t xml:space="preserve">ourt case, it does not address how such a notice affects some of the unique features of family law cases. For example, </w:t>
      </w:r>
      <w:r w:rsidR="00E90CAE">
        <w:rPr>
          <w:bCs/>
          <w:sz w:val="28"/>
          <w:szCs w:val="28"/>
        </w:rPr>
        <w:t>in other</w:t>
      </w:r>
      <w:r w:rsidRPr="005441B4">
        <w:rPr>
          <w:bCs/>
          <w:sz w:val="28"/>
          <w:szCs w:val="28"/>
        </w:rPr>
        <w:t xml:space="preserve"> civil </w:t>
      </w:r>
      <w:r w:rsidR="00E90CAE">
        <w:rPr>
          <w:bCs/>
          <w:sz w:val="28"/>
          <w:szCs w:val="28"/>
        </w:rPr>
        <w:t>litigation, a complaint is filed</w:t>
      </w:r>
      <w:r w:rsidRPr="005441B4">
        <w:rPr>
          <w:bCs/>
          <w:sz w:val="28"/>
          <w:szCs w:val="28"/>
        </w:rPr>
        <w:t xml:space="preserve">, a trial </w:t>
      </w:r>
      <w:r w:rsidR="00E90CAE">
        <w:rPr>
          <w:bCs/>
          <w:sz w:val="28"/>
          <w:szCs w:val="28"/>
        </w:rPr>
        <w:t>may be held</w:t>
      </w:r>
      <w:r w:rsidRPr="005441B4">
        <w:rPr>
          <w:bCs/>
          <w:sz w:val="28"/>
          <w:szCs w:val="28"/>
        </w:rPr>
        <w:t xml:space="preserve">, and once there is a final judgment/appeal, the case </w:t>
      </w:r>
      <w:r w:rsidR="00E90CAE">
        <w:rPr>
          <w:bCs/>
          <w:sz w:val="28"/>
          <w:szCs w:val="28"/>
        </w:rPr>
        <w:t>is closed</w:t>
      </w:r>
      <w:r w:rsidRPr="005441B4">
        <w:rPr>
          <w:bCs/>
          <w:sz w:val="28"/>
          <w:szCs w:val="28"/>
        </w:rPr>
        <w:t xml:space="preserve">. If the same parties have another dispute later, they are required to file a new </w:t>
      </w:r>
      <w:r w:rsidR="00E90CAE">
        <w:rPr>
          <w:bCs/>
          <w:sz w:val="28"/>
          <w:szCs w:val="28"/>
        </w:rPr>
        <w:t>complaint,</w:t>
      </w:r>
      <w:r w:rsidRPr="005441B4">
        <w:rPr>
          <w:bCs/>
          <w:sz w:val="28"/>
          <w:szCs w:val="28"/>
        </w:rPr>
        <w:t xml:space="preserve"> which is assigned a new case number.  In contrast, family law cases can remain open for years, until </w:t>
      </w:r>
      <w:r w:rsidR="0023797E" w:rsidRPr="005441B4">
        <w:rPr>
          <w:bCs/>
          <w:sz w:val="28"/>
          <w:szCs w:val="28"/>
        </w:rPr>
        <w:t>all</w:t>
      </w:r>
      <w:r w:rsidRPr="005441B4">
        <w:rPr>
          <w:bCs/>
          <w:sz w:val="28"/>
          <w:szCs w:val="28"/>
        </w:rPr>
        <w:t xml:space="preserve"> the children involved have been emancipated.  Although the parties may have fully and finally resolved an initial petition for dissolution or to establish parenting time, they may later desire to modify those </w:t>
      </w:r>
      <w:r w:rsidR="0023797E" w:rsidRPr="005441B4">
        <w:rPr>
          <w:bCs/>
          <w:sz w:val="28"/>
          <w:szCs w:val="28"/>
        </w:rPr>
        <w:t>orders,</w:t>
      </w:r>
      <w:r w:rsidRPr="005441B4">
        <w:rPr>
          <w:bCs/>
          <w:sz w:val="28"/>
          <w:szCs w:val="28"/>
        </w:rPr>
        <w:t xml:space="preserve"> or a new dispute may arise</w:t>
      </w:r>
      <w:r w:rsidR="00E90CAE">
        <w:rPr>
          <w:bCs/>
          <w:sz w:val="28"/>
          <w:szCs w:val="28"/>
        </w:rPr>
        <w:t xml:space="preserve"> in this same matter</w:t>
      </w:r>
      <w:r w:rsidRPr="005441B4">
        <w:rPr>
          <w:bCs/>
          <w:sz w:val="28"/>
          <w:szCs w:val="28"/>
        </w:rPr>
        <w:t xml:space="preserve">.  When that occurs, </w:t>
      </w:r>
      <w:r w:rsidR="0023797E">
        <w:rPr>
          <w:bCs/>
          <w:sz w:val="28"/>
          <w:szCs w:val="28"/>
        </w:rPr>
        <w:t>the</w:t>
      </w:r>
      <w:r w:rsidRPr="005441B4">
        <w:rPr>
          <w:bCs/>
          <w:sz w:val="28"/>
          <w:szCs w:val="28"/>
        </w:rPr>
        <w:t xml:space="preserve"> new petition is filed </w:t>
      </w:r>
      <w:r w:rsidR="00E90CAE">
        <w:rPr>
          <w:bCs/>
          <w:sz w:val="28"/>
          <w:szCs w:val="28"/>
        </w:rPr>
        <w:t>under</w:t>
      </w:r>
      <w:r w:rsidRPr="005441B4">
        <w:rPr>
          <w:bCs/>
          <w:sz w:val="28"/>
          <w:szCs w:val="28"/>
        </w:rPr>
        <w:t xml:space="preserve"> the </w:t>
      </w:r>
      <w:r w:rsidRPr="005441B4">
        <w:rPr>
          <w:bCs/>
          <w:i/>
          <w:iCs/>
          <w:sz w:val="28"/>
          <w:szCs w:val="28"/>
        </w:rPr>
        <w:t xml:space="preserve">same </w:t>
      </w:r>
      <w:r w:rsidRPr="005441B4">
        <w:rPr>
          <w:bCs/>
          <w:sz w:val="28"/>
          <w:szCs w:val="28"/>
        </w:rPr>
        <w:t xml:space="preserve">case number.  The current </w:t>
      </w:r>
      <w:r w:rsidR="0023797E">
        <w:rPr>
          <w:bCs/>
          <w:sz w:val="28"/>
          <w:szCs w:val="28"/>
        </w:rPr>
        <w:t>r</w:t>
      </w:r>
      <w:r w:rsidRPr="005441B4">
        <w:rPr>
          <w:bCs/>
          <w:sz w:val="28"/>
          <w:szCs w:val="28"/>
        </w:rPr>
        <w:t xml:space="preserve">ule does not specify whether a notice requiring compliance with the Rules of Evidence applies only to the pending matter or whether it requires such compliance until </w:t>
      </w:r>
      <w:r w:rsidR="004912C4" w:rsidRPr="005441B4">
        <w:rPr>
          <w:bCs/>
          <w:sz w:val="28"/>
          <w:szCs w:val="28"/>
        </w:rPr>
        <w:t>all</w:t>
      </w:r>
      <w:r w:rsidRPr="005441B4">
        <w:rPr>
          <w:bCs/>
          <w:sz w:val="28"/>
          <w:szCs w:val="28"/>
        </w:rPr>
        <w:t xml:space="preserve"> the children have </w:t>
      </w:r>
      <w:r w:rsidR="0023797E">
        <w:rPr>
          <w:bCs/>
          <w:sz w:val="28"/>
          <w:szCs w:val="28"/>
        </w:rPr>
        <w:t xml:space="preserve">been </w:t>
      </w:r>
      <w:r w:rsidRPr="005441B4">
        <w:rPr>
          <w:bCs/>
          <w:sz w:val="28"/>
          <w:szCs w:val="28"/>
        </w:rPr>
        <w:t>emancipated.  Moreover, as the judges and attorneys often change over the course of a case, they often may not know if a notice was filed many years and</w:t>
      </w:r>
      <w:r w:rsidR="001E2D7F">
        <w:rPr>
          <w:bCs/>
          <w:sz w:val="28"/>
          <w:szCs w:val="28"/>
        </w:rPr>
        <w:t>/or</w:t>
      </w:r>
      <w:r w:rsidRPr="005441B4">
        <w:rPr>
          <w:bCs/>
          <w:sz w:val="28"/>
          <w:szCs w:val="28"/>
        </w:rPr>
        <w:t xml:space="preserve"> petitions ago.</w:t>
      </w:r>
    </w:p>
    <w:p w14:paraId="65D6CBF2" w14:textId="12E61896" w:rsidR="005441B4" w:rsidRPr="005441B4" w:rsidRDefault="005441B4" w:rsidP="005441B4">
      <w:pPr>
        <w:tabs>
          <w:tab w:val="left" w:pos="900"/>
        </w:tabs>
        <w:spacing w:line="480" w:lineRule="auto"/>
        <w:ind w:firstLine="720"/>
        <w:jc w:val="both"/>
        <w:rPr>
          <w:bCs/>
          <w:sz w:val="28"/>
          <w:szCs w:val="28"/>
        </w:rPr>
      </w:pPr>
      <w:r w:rsidRPr="005441B4">
        <w:rPr>
          <w:bCs/>
          <w:sz w:val="28"/>
          <w:szCs w:val="28"/>
        </w:rPr>
        <w:t>The proposed addition provides a party with two options.  The</w:t>
      </w:r>
      <w:r w:rsidR="00F7156A">
        <w:rPr>
          <w:bCs/>
          <w:sz w:val="28"/>
          <w:szCs w:val="28"/>
        </w:rPr>
        <w:t xml:space="preserve"> first option allows a</w:t>
      </w:r>
      <w:r w:rsidRPr="005441B4">
        <w:rPr>
          <w:bCs/>
          <w:sz w:val="28"/>
          <w:szCs w:val="28"/>
        </w:rPr>
        <w:t xml:space="preserve"> party</w:t>
      </w:r>
      <w:r w:rsidR="00F7156A">
        <w:rPr>
          <w:bCs/>
          <w:sz w:val="28"/>
          <w:szCs w:val="28"/>
        </w:rPr>
        <w:t xml:space="preserve"> to</w:t>
      </w:r>
      <w:r w:rsidRPr="005441B4">
        <w:rPr>
          <w:bCs/>
          <w:sz w:val="28"/>
          <w:szCs w:val="28"/>
        </w:rPr>
        <w:t xml:space="preserve"> file the notice and the notice will apply for all pending matters until their </w:t>
      </w:r>
      <w:r w:rsidR="0023797E" w:rsidRPr="005441B4">
        <w:rPr>
          <w:bCs/>
          <w:sz w:val="28"/>
          <w:szCs w:val="28"/>
        </w:rPr>
        <w:t>conclusion but</w:t>
      </w:r>
      <w:r w:rsidRPr="005441B4">
        <w:rPr>
          <w:bCs/>
          <w:sz w:val="28"/>
          <w:szCs w:val="28"/>
        </w:rPr>
        <w:t xml:space="preserve"> will not </w:t>
      </w:r>
      <w:r w:rsidR="00F7156A">
        <w:rPr>
          <w:bCs/>
          <w:sz w:val="28"/>
          <w:szCs w:val="28"/>
        </w:rPr>
        <w:t>apply to</w:t>
      </w:r>
      <w:r w:rsidRPr="005441B4">
        <w:rPr>
          <w:bCs/>
          <w:sz w:val="28"/>
          <w:szCs w:val="28"/>
        </w:rPr>
        <w:t xml:space="preserve"> future </w:t>
      </w:r>
      <w:r w:rsidR="003A236D">
        <w:rPr>
          <w:bCs/>
          <w:sz w:val="28"/>
          <w:szCs w:val="28"/>
        </w:rPr>
        <w:t>modifications or enforcement hearings</w:t>
      </w:r>
      <w:r w:rsidRPr="005441B4">
        <w:rPr>
          <w:bCs/>
          <w:sz w:val="28"/>
          <w:szCs w:val="28"/>
        </w:rPr>
        <w:t>.  Thus, if the parties later seek a modification or a new dispute arises</w:t>
      </w:r>
      <w:r w:rsidR="00F7156A">
        <w:rPr>
          <w:bCs/>
          <w:sz w:val="28"/>
          <w:szCs w:val="28"/>
        </w:rPr>
        <w:t>,</w:t>
      </w:r>
      <w:r w:rsidRPr="005441B4">
        <w:rPr>
          <w:bCs/>
          <w:sz w:val="28"/>
          <w:szCs w:val="28"/>
        </w:rPr>
        <w:t xml:space="preserve"> and a party </w:t>
      </w:r>
      <w:r w:rsidRPr="005441B4">
        <w:rPr>
          <w:bCs/>
          <w:sz w:val="28"/>
          <w:szCs w:val="28"/>
        </w:rPr>
        <w:lastRenderedPageBreak/>
        <w:t xml:space="preserve">wishes for the Rules of Evidence to </w:t>
      </w:r>
      <w:r w:rsidR="0023797E">
        <w:rPr>
          <w:bCs/>
          <w:sz w:val="28"/>
          <w:szCs w:val="28"/>
        </w:rPr>
        <w:t>a</w:t>
      </w:r>
      <w:r w:rsidRPr="005441B4">
        <w:rPr>
          <w:bCs/>
          <w:sz w:val="28"/>
          <w:szCs w:val="28"/>
        </w:rPr>
        <w:t xml:space="preserve">pply, they will need to file a new notice. Alternatively, the proposed </w:t>
      </w:r>
      <w:r w:rsidR="0023797E">
        <w:rPr>
          <w:bCs/>
          <w:sz w:val="28"/>
          <w:szCs w:val="28"/>
        </w:rPr>
        <w:t xml:space="preserve">amendment to the </w:t>
      </w:r>
      <w:r w:rsidRPr="005441B4">
        <w:rPr>
          <w:bCs/>
          <w:sz w:val="28"/>
          <w:szCs w:val="28"/>
        </w:rPr>
        <w:t xml:space="preserve">rule provides parties with </w:t>
      </w:r>
      <w:r w:rsidR="00F7156A">
        <w:rPr>
          <w:bCs/>
          <w:sz w:val="28"/>
          <w:szCs w:val="28"/>
        </w:rPr>
        <w:t>a second</w:t>
      </w:r>
      <w:r w:rsidRPr="005441B4">
        <w:rPr>
          <w:bCs/>
          <w:sz w:val="28"/>
          <w:szCs w:val="28"/>
        </w:rPr>
        <w:t xml:space="preserve"> option to have the notice apply only to a specific hearing.  The current </w:t>
      </w:r>
      <w:r w:rsidR="003A236D">
        <w:rPr>
          <w:bCs/>
          <w:sz w:val="28"/>
          <w:szCs w:val="28"/>
        </w:rPr>
        <w:t>version of Rule 2</w:t>
      </w:r>
      <w:r w:rsidRPr="005441B4">
        <w:rPr>
          <w:bCs/>
          <w:sz w:val="28"/>
          <w:szCs w:val="28"/>
        </w:rPr>
        <w:t xml:space="preserve"> does not specify whether the notice applies to all hearings in a pending matter or only to an upcoming hearing, </w:t>
      </w:r>
      <w:r w:rsidR="007B2867" w:rsidRPr="005441B4">
        <w:rPr>
          <w:bCs/>
          <w:sz w:val="28"/>
          <w:szCs w:val="28"/>
        </w:rPr>
        <w:t>which creates</w:t>
      </w:r>
      <w:r w:rsidRPr="005441B4">
        <w:rPr>
          <w:bCs/>
          <w:sz w:val="28"/>
          <w:szCs w:val="28"/>
        </w:rPr>
        <w:t xml:space="preserve"> uncertainty.</w:t>
      </w:r>
    </w:p>
    <w:p w14:paraId="7C5AFAB9" w14:textId="23DA8A10" w:rsidR="005441B4" w:rsidRPr="005441B4" w:rsidRDefault="005441B4" w:rsidP="005441B4">
      <w:pPr>
        <w:tabs>
          <w:tab w:val="left" w:pos="900"/>
        </w:tabs>
        <w:spacing w:line="480" w:lineRule="auto"/>
        <w:ind w:firstLine="720"/>
        <w:jc w:val="both"/>
        <w:rPr>
          <w:bCs/>
          <w:sz w:val="28"/>
          <w:szCs w:val="28"/>
        </w:rPr>
      </w:pPr>
      <w:r w:rsidRPr="005441B4">
        <w:rPr>
          <w:bCs/>
          <w:sz w:val="28"/>
          <w:szCs w:val="28"/>
        </w:rPr>
        <w:t xml:space="preserve">Next, while some attorneys file a notice as a matter of practice, they </w:t>
      </w:r>
      <w:r w:rsidR="00B45645">
        <w:rPr>
          <w:bCs/>
          <w:sz w:val="28"/>
          <w:szCs w:val="28"/>
        </w:rPr>
        <w:t>may</w:t>
      </w:r>
      <w:r w:rsidRPr="005441B4">
        <w:rPr>
          <w:bCs/>
          <w:sz w:val="28"/>
          <w:szCs w:val="28"/>
        </w:rPr>
        <w:t xml:space="preserve"> later find that the application of </w:t>
      </w:r>
      <w:r w:rsidR="0023797E" w:rsidRPr="005441B4">
        <w:rPr>
          <w:bCs/>
          <w:sz w:val="28"/>
          <w:szCs w:val="28"/>
        </w:rPr>
        <w:t>all</w:t>
      </w:r>
      <w:r w:rsidRPr="005441B4">
        <w:rPr>
          <w:bCs/>
          <w:sz w:val="28"/>
          <w:szCs w:val="28"/>
        </w:rPr>
        <w:t xml:space="preserve"> the Rules of Evidence will not best serve the best interests of the children or a full presentation of the case.  </w:t>
      </w:r>
      <w:r w:rsidR="00B45645">
        <w:rPr>
          <w:bCs/>
          <w:sz w:val="28"/>
          <w:szCs w:val="28"/>
        </w:rPr>
        <w:t>Often,</w:t>
      </w:r>
      <w:r w:rsidRPr="005441B4">
        <w:rPr>
          <w:bCs/>
          <w:sz w:val="28"/>
          <w:szCs w:val="28"/>
        </w:rPr>
        <w:t xml:space="preserve"> attorneys for both sides agree that such rules should not apply despite a notice having been filed.  While they have the option to agree not to object, without any written agreement, it is impossible to prepare for trial without knowing whether, in fact, such objections will arise.  Under the current </w:t>
      </w:r>
      <w:r w:rsidR="0023797E">
        <w:rPr>
          <w:bCs/>
          <w:sz w:val="28"/>
          <w:szCs w:val="28"/>
        </w:rPr>
        <w:t>r</w:t>
      </w:r>
      <w:r w:rsidRPr="005441B4">
        <w:rPr>
          <w:bCs/>
          <w:sz w:val="28"/>
          <w:szCs w:val="28"/>
        </w:rPr>
        <w:t xml:space="preserve">ule, there is no provision for a circumstance in which neither party wants </w:t>
      </w:r>
      <w:r w:rsidR="0023797E" w:rsidRPr="005441B4">
        <w:rPr>
          <w:bCs/>
          <w:sz w:val="28"/>
          <w:szCs w:val="28"/>
        </w:rPr>
        <w:t>all</w:t>
      </w:r>
      <w:r w:rsidRPr="005441B4">
        <w:rPr>
          <w:bCs/>
          <w:sz w:val="28"/>
          <w:szCs w:val="28"/>
        </w:rPr>
        <w:t xml:space="preserve"> the Rules of Evidence to apply but a notice has been filed.  The proposed </w:t>
      </w:r>
      <w:r w:rsidR="0023797E">
        <w:rPr>
          <w:bCs/>
          <w:sz w:val="28"/>
          <w:szCs w:val="28"/>
        </w:rPr>
        <w:t>amendment</w:t>
      </w:r>
      <w:r w:rsidRPr="005441B4">
        <w:rPr>
          <w:bCs/>
          <w:sz w:val="28"/>
          <w:szCs w:val="28"/>
        </w:rPr>
        <w:t xml:space="preserve"> allows a notice to be withdrawn, but only upon written stipulation of both parties.</w:t>
      </w:r>
    </w:p>
    <w:p w14:paraId="4951760E" w14:textId="1135F120" w:rsidR="005441B4" w:rsidRPr="005441B4" w:rsidRDefault="005441B4" w:rsidP="005441B4">
      <w:pPr>
        <w:tabs>
          <w:tab w:val="left" w:pos="900"/>
        </w:tabs>
        <w:spacing w:line="480" w:lineRule="auto"/>
        <w:ind w:firstLine="720"/>
        <w:jc w:val="both"/>
        <w:rPr>
          <w:bCs/>
          <w:sz w:val="28"/>
          <w:szCs w:val="28"/>
        </w:rPr>
      </w:pPr>
      <w:r w:rsidRPr="005441B4">
        <w:rPr>
          <w:bCs/>
          <w:sz w:val="28"/>
          <w:szCs w:val="28"/>
        </w:rPr>
        <w:t xml:space="preserve">Finally, </w:t>
      </w:r>
      <w:r w:rsidR="009100F1">
        <w:rPr>
          <w:bCs/>
          <w:sz w:val="28"/>
          <w:szCs w:val="28"/>
        </w:rPr>
        <w:t xml:space="preserve">unique considerations pertaining to a </w:t>
      </w:r>
      <w:r w:rsidR="007B2867">
        <w:rPr>
          <w:bCs/>
          <w:sz w:val="28"/>
          <w:szCs w:val="28"/>
        </w:rPr>
        <w:t>type of</w:t>
      </w:r>
      <w:r w:rsidRPr="005441B4">
        <w:rPr>
          <w:bCs/>
          <w:sz w:val="28"/>
          <w:szCs w:val="28"/>
        </w:rPr>
        <w:t xml:space="preserve"> hearsay–statements by children who are not permitted to testify in court–creates a complication in </w:t>
      </w:r>
      <w:r w:rsidR="0023797E">
        <w:rPr>
          <w:bCs/>
          <w:sz w:val="28"/>
          <w:szCs w:val="28"/>
        </w:rPr>
        <w:t>f</w:t>
      </w:r>
      <w:r w:rsidRPr="005441B4">
        <w:rPr>
          <w:bCs/>
          <w:sz w:val="28"/>
          <w:szCs w:val="28"/>
        </w:rPr>
        <w:t xml:space="preserve">amily </w:t>
      </w:r>
      <w:r w:rsidR="0023797E">
        <w:rPr>
          <w:bCs/>
          <w:sz w:val="28"/>
          <w:szCs w:val="28"/>
        </w:rPr>
        <w:t>c</w:t>
      </w:r>
      <w:r w:rsidRPr="005441B4">
        <w:rPr>
          <w:bCs/>
          <w:sz w:val="28"/>
          <w:szCs w:val="28"/>
        </w:rPr>
        <w:t xml:space="preserve">ourt.   </w:t>
      </w:r>
      <w:r w:rsidR="0023797E">
        <w:rPr>
          <w:bCs/>
          <w:sz w:val="28"/>
          <w:szCs w:val="28"/>
        </w:rPr>
        <w:t>F</w:t>
      </w:r>
      <w:r w:rsidRPr="005441B4">
        <w:rPr>
          <w:bCs/>
          <w:sz w:val="28"/>
          <w:szCs w:val="28"/>
        </w:rPr>
        <w:t xml:space="preserve">amily Court is </w:t>
      </w:r>
      <w:r w:rsidRPr="005441B4">
        <w:rPr>
          <w:bCs/>
          <w:i/>
          <w:iCs/>
          <w:sz w:val="28"/>
          <w:szCs w:val="28"/>
        </w:rPr>
        <w:t>required</w:t>
      </w:r>
      <w:r w:rsidRPr="005441B4">
        <w:rPr>
          <w:bCs/>
          <w:sz w:val="28"/>
          <w:szCs w:val="28"/>
        </w:rPr>
        <w:t xml:space="preserve"> to consider all evidence which is relevant to the children’s best interest. If the children at issue are of suitable age and maturity, then the </w:t>
      </w:r>
      <w:r w:rsidR="0023797E">
        <w:rPr>
          <w:bCs/>
          <w:sz w:val="28"/>
          <w:szCs w:val="28"/>
        </w:rPr>
        <w:t>c</w:t>
      </w:r>
      <w:r w:rsidRPr="005441B4">
        <w:rPr>
          <w:bCs/>
          <w:sz w:val="28"/>
          <w:szCs w:val="28"/>
        </w:rPr>
        <w:t xml:space="preserve">ourt is also required by statute to consider their wishes.  The </w:t>
      </w:r>
      <w:r w:rsidR="0023797E">
        <w:rPr>
          <w:bCs/>
          <w:sz w:val="28"/>
          <w:szCs w:val="28"/>
        </w:rPr>
        <w:t>c</w:t>
      </w:r>
      <w:r w:rsidRPr="005441B4">
        <w:rPr>
          <w:bCs/>
          <w:sz w:val="28"/>
          <w:szCs w:val="28"/>
        </w:rPr>
        <w:t xml:space="preserve">ourt is also </w:t>
      </w:r>
      <w:r w:rsidRPr="005441B4">
        <w:rPr>
          <w:bCs/>
          <w:sz w:val="28"/>
          <w:szCs w:val="28"/>
        </w:rPr>
        <w:lastRenderedPageBreak/>
        <w:t xml:space="preserve">statutorily required to consider the children’s relationship with each parent, their siblings, and other significant individuals in their lives. Evidence regarding this information, however, generally constitutes hearsay and, under the current rule, cannot be used as evidence if a notice is filed.  Thus, a parent against whom allegations of abuse or neglect are made will often file a notice as a strategic matter to prevent the court from hearing the children’s disclosures of such abuse or neglect, which is central to the case and to the children’s welfare. While options for a Child Interview (for children generally over 10 years) are available as are third-party reporters (at a cost), children will often not be open with strangers, particularly in a single meeting, about these issues.  The </w:t>
      </w:r>
      <w:r w:rsidR="004912C4">
        <w:rPr>
          <w:bCs/>
          <w:sz w:val="28"/>
          <w:szCs w:val="28"/>
        </w:rPr>
        <w:t>c</w:t>
      </w:r>
      <w:r w:rsidRPr="005441B4">
        <w:rPr>
          <w:bCs/>
          <w:sz w:val="28"/>
          <w:szCs w:val="28"/>
        </w:rPr>
        <w:t xml:space="preserve">hildren </w:t>
      </w:r>
      <w:r w:rsidR="00B45645">
        <w:rPr>
          <w:bCs/>
          <w:sz w:val="28"/>
          <w:szCs w:val="28"/>
        </w:rPr>
        <w:t>may have other evidence, such as</w:t>
      </w:r>
      <w:r w:rsidRPr="005441B4">
        <w:rPr>
          <w:bCs/>
          <w:sz w:val="28"/>
          <w:szCs w:val="28"/>
        </w:rPr>
        <w:t xml:space="preserve"> e-mails or social media messages with or about their parents or concerns of safety with one of the parents or in their home. As written, the rule would exclude this evidence despite its importance in determining the best interests of the children.  The </w:t>
      </w:r>
      <w:r w:rsidR="004912C4">
        <w:rPr>
          <w:bCs/>
          <w:sz w:val="28"/>
          <w:szCs w:val="28"/>
        </w:rPr>
        <w:t>c</w:t>
      </w:r>
      <w:r w:rsidRPr="005441B4">
        <w:rPr>
          <w:bCs/>
          <w:sz w:val="28"/>
          <w:szCs w:val="28"/>
        </w:rPr>
        <w:t>ourt, therefore, is not able to fulfill its mandate to consider all relevant evidence.</w:t>
      </w:r>
    </w:p>
    <w:p w14:paraId="552AD1D3" w14:textId="77777777" w:rsidR="005441B4" w:rsidRPr="005441B4" w:rsidRDefault="005441B4" w:rsidP="005441B4">
      <w:pPr>
        <w:tabs>
          <w:tab w:val="left" w:pos="900"/>
        </w:tabs>
        <w:spacing w:line="480" w:lineRule="auto"/>
        <w:ind w:firstLine="720"/>
        <w:jc w:val="both"/>
        <w:rPr>
          <w:bCs/>
          <w:sz w:val="28"/>
          <w:szCs w:val="28"/>
        </w:rPr>
      </w:pPr>
      <w:r w:rsidRPr="005441B4">
        <w:rPr>
          <w:bCs/>
          <w:sz w:val="28"/>
          <w:szCs w:val="28"/>
        </w:rPr>
        <w:t>A similar modification to admissible evidence regarding hearsay statements is found in the Rules of Procedure for the Juvenile Court.  Rule 104 provides that “[</w:t>
      </w:r>
      <w:proofErr w:type="spellStart"/>
      <w:r w:rsidRPr="005441B4">
        <w:rPr>
          <w:bCs/>
          <w:sz w:val="28"/>
          <w:szCs w:val="28"/>
        </w:rPr>
        <w:t>i</w:t>
      </w:r>
      <w:proofErr w:type="spellEnd"/>
      <w:r w:rsidRPr="005441B4">
        <w:rPr>
          <w:bCs/>
          <w:sz w:val="28"/>
          <w:szCs w:val="28"/>
        </w:rPr>
        <w:t xml:space="preserve">]n all adoption, dependency, termination, and Title 8 guardianship proceedings, evidence of a child's out-of-court statement or nonverbal conduct regarding acts of abuse or neglect perpetrated on the child is admissible if the time, content, and </w:t>
      </w:r>
      <w:r w:rsidRPr="005441B4">
        <w:rPr>
          <w:bCs/>
          <w:sz w:val="28"/>
          <w:szCs w:val="28"/>
        </w:rPr>
        <w:lastRenderedPageBreak/>
        <w:t>circumstances of the statement or conduct provide sufficient indicia of its reliability.”</w:t>
      </w:r>
    </w:p>
    <w:p w14:paraId="748B1AD1" w14:textId="314CC165" w:rsidR="004331B2" w:rsidRPr="005441B4" w:rsidRDefault="005441B4" w:rsidP="005441B4">
      <w:pPr>
        <w:tabs>
          <w:tab w:val="left" w:pos="900"/>
        </w:tabs>
        <w:spacing w:line="480" w:lineRule="auto"/>
        <w:ind w:firstLine="720"/>
        <w:jc w:val="both"/>
        <w:rPr>
          <w:rStyle w:val="BodyTextChar"/>
          <w:bCs/>
          <w:sz w:val="28"/>
          <w:szCs w:val="28"/>
        </w:rPr>
      </w:pPr>
      <w:r w:rsidRPr="005441B4">
        <w:rPr>
          <w:bCs/>
          <w:sz w:val="28"/>
          <w:szCs w:val="28"/>
        </w:rPr>
        <w:t xml:space="preserve">The proposed amendments will provide clarity regarding the scope of a notice requiring compliance with the Rules of Evidence and will also ensure that even when such Rules do apply, the </w:t>
      </w:r>
      <w:r w:rsidR="004912C4">
        <w:rPr>
          <w:bCs/>
          <w:sz w:val="28"/>
          <w:szCs w:val="28"/>
        </w:rPr>
        <w:t>c</w:t>
      </w:r>
      <w:r w:rsidRPr="005441B4">
        <w:rPr>
          <w:bCs/>
          <w:sz w:val="28"/>
          <w:szCs w:val="28"/>
        </w:rPr>
        <w:t>ourt is not deprived of critical evidence which it is required to consider.</w:t>
      </w:r>
    </w:p>
    <w:p w14:paraId="1790BCA3" w14:textId="77777777" w:rsidR="000C48A9" w:rsidRPr="005441B4" w:rsidRDefault="007A3F0F" w:rsidP="006766BF">
      <w:pPr>
        <w:pStyle w:val="Body"/>
        <w:widowControl w:val="0"/>
        <w:spacing w:line="480" w:lineRule="auto"/>
        <w:ind w:firstLine="0"/>
        <w:jc w:val="center"/>
        <w:rPr>
          <w:rStyle w:val="BodyTextChar"/>
          <w:b/>
          <w:sz w:val="28"/>
          <w:szCs w:val="28"/>
        </w:rPr>
      </w:pPr>
      <w:r w:rsidRPr="005441B4">
        <w:rPr>
          <w:rStyle w:val="BodyTextChar"/>
          <w:b/>
          <w:sz w:val="28"/>
          <w:szCs w:val="28"/>
        </w:rPr>
        <w:t>CONCLUSION</w:t>
      </w:r>
    </w:p>
    <w:p w14:paraId="1D6B6A97" w14:textId="4F4F5398" w:rsidR="000F7A7F" w:rsidRPr="005441B4" w:rsidRDefault="000C48A9" w:rsidP="005441B4">
      <w:pPr>
        <w:pStyle w:val="Body"/>
        <w:widowControl w:val="0"/>
        <w:tabs>
          <w:tab w:val="left" w:pos="720"/>
        </w:tabs>
        <w:spacing w:line="480" w:lineRule="auto"/>
        <w:ind w:firstLine="0"/>
        <w:rPr>
          <w:spacing w:val="-3"/>
          <w:sz w:val="28"/>
          <w:szCs w:val="28"/>
        </w:rPr>
      </w:pPr>
      <w:r w:rsidRPr="005441B4">
        <w:rPr>
          <w:sz w:val="28"/>
          <w:szCs w:val="28"/>
        </w:rPr>
        <w:tab/>
      </w:r>
      <w:r w:rsidR="000F7C13" w:rsidRPr="005441B4">
        <w:rPr>
          <w:sz w:val="28"/>
          <w:szCs w:val="28"/>
        </w:rPr>
        <w:t>The State Bar</w:t>
      </w:r>
      <w:r w:rsidR="00735659" w:rsidRPr="005441B4">
        <w:rPr>
          <w:sz w:val="28"/>
          <w:szCs w:val="28"/>
        </w:rPr>
        <w:t xml:space="preserve"> of Arizona</w:t>
      </w:r>
      <w:r w:rsidR="000F7C13" w:rsidRPr="005441B4">
        <w:rPr>
          <w:sz w:val="28"/>
          <w:szCs w:val="28"/>
        </w:rPr>
        <w:t xml:space="preserve"> respectfully requests that </w:t>
      </w:r>
      <w:r w:rsidR="005441B4">
        <w:rPr>
          <w:sz w:val="28"/>
          <w:szCs w:val="28"/>
        </w:rPr>
        <w:t xml:space="preserve">the Court modify Rule 2 of the Arizona Rules of Family Law Procedure as set forth in the attached Appendix. </w:t>
      </w:r>
    </w:p>
    <w:p w14:paraId="0BB44373" w14:textId="77777777" w:rsidR="007B2867" w:rsidRDefault="007B2867" w:rsidP="007B2867">
      <w:pPr>
        <w:pStyle w:val="Body"/>
        <w:widowControl w:val="0"/>
        <w:tabs>
          <w:tab w:val="left" w:pos="720"/>
        </w:tabs>
        <w:ind w:firstLine="0"/>
        <w:rPr>
          <w:sz w:val="28"/>
          <w:szCs w:val="28"/>
        </w:rPr>
      </w:pPr>
      <w:r>
        <w:rPr>
          <w:szCs w:val="26"/>
        </w:rPr>
        <w:t xml:space="preserve">       </w:t>
      </w:r>
      <w:r>
        <w:rPr>
          <w:szCs w:val="26"/>
        </w:rPr>
        <w:tab/>
      </w:r>
      <w:r>
        <w:rPr>
          <w:szCs w:val="26"/>
        </w:rPr>
        <w:tab/>
        <w:t xml:space="preserve">          </w:t>
      </w:r>
      <w:r w:rsidRPr="006F63FD">
        <w:rPr>
          <w:sz w:val="28"/>
          <w:szCs w:val="28"/>
        </w:rPr>
        <w:t xml:space="preserve">RESPECTFULLY SUBMITTED this </w:t>
      </w:r>
      <w:r>
        <w:rPr>
          <w:sz w:val="28"/>
          <w:szCs w:val="28"/>
        </w:rPr>
        <w:t>10</w:t>
      </w:r>
      <w:r w:rsidRPr="00C879A6">
        <w:rPr>
          <w:sz w:val="28"/>
          <w:szCs w:val="28"/>
          <w:vertAlign w:val="superscript"/>
        </w:rPr>
        <w:t>th</w:t>
      </w:r>
      <w:r>
        <w:rPr>
          <w:sz w:val="28"/>
          <w:szCs w:val="28"/>
        </w:rPr>
        <w:t xml:space="preserve"> </w:t>
      </w:r>
      <w:r w:rsidRPr="006F63FD">
        <w:rPr>
          <w:sz w:val="28"/>
          <w:szCs w:val="28"/>
        </w:rPr>
        <w:t>day of</w:t>
      </w:r>
      <w:r>
        <w:rPr>
          <w:sz w:val="28"/>
          <w:szCs w:val="28"/>
        </w:rPr>
        <w:t xml:space="preserve"> </w:t>
      </w:r>
      <w:proofErr w:type="gramStart"/>
      <w:r>
        <w:rPr>
          <w:sz w:val="28"/>
          <w:szCs w:val="28"/>
        </w:rPr>
        <w:t>January,</w:t>
      </w:r>
      <w:proofErr w:type="gramEnd"/>
      <w:r>
        <w:rPr>
          <w:sz w:val="28"/>
          <w:szCs w:val="28"/>
        </w:rPr>
        <w:t xml:space="preserve"> 2024</w:t>
      </w:r>
      <w:r w:rsidRPr="006F63FD">
        <w:rPr>
          <w:sz w:val="28"/>
          <w:szCs w:val="28"/>
        </w:rPr>
        <w:t>.</w:t>
      </w:r>
    </w:p>
    <w:p w14:paraId="1D8C4787" w14:textId="77777777" w:rsidR="007B2867" w:rsidRPr="00C879A6" w:rsidRDefault="007B2867" w:rsidP="007B2867">
      <w:pPr>
        <w:pStyle w:val="Body"/>
        <w:widowControl w:val="0"/>
        <w:tabs>
          <w:tab w:val="left" w:pos="720"/>
        </w:tabs>
        <w:ind w:firstLine="0"/>
        <w:rPr>
          <w:sz w:val="28"/>
          <w:szCs w:val="28"/>
        </w:rPr>
      </w:pPr>
    </w:p>
    <w:p w14:paraId="29A0DB17" w14:textId="77777777" w:rsidR="007B2867" w:rsidRPr="000F7A7F" w:rsidRDefault="007B2867" w:rsidP="007B2867">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sidRPr="003752AB">
        <w:rPr>
          <w:noProof/>
          <w:sz w:val="24"/>
          <w:szCs w:val="24"/>
        </w:rPr>
        <w:drawing>
          <wp:inline distT="0" distB="0" distL="0" distR="0" wp14:anchorId="58753F44" wp14:editId="2508F363">
            <wp:extent cx="1000125" cy="266700"/>
            <wp:effectExtent l="0" t="0" r="9525" b="0"/>
            <wp:docPr id="18" name="Picture 18"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914" cy="288777"/>
                    </a:xfrm>
                    <a:prstGeom prst="rect">
                      <a:avLst/>
                    </a:prstGeom>
                    <a:noFill/>
                    <a:ln>
                      <a:noFill/>
                    </a:ln>
                  </pic:spPr>
                </pic:pic>
              </a:graphicData>
            </a:graphic>
          </wp:inline>
        </w:drawing>
      </w:r>
    </w:p>
    <w:p w14:paraId="1B01BB0E" w14:textId="77777777" w:rsidR="007B2867" w:rsidRPr="006F63FD" w:rsidRDefault="007B2867" w:rsidP="007B2867">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2C71B651" w14:textId="77777777" w:rsidR="007B2867" w:rsidRPr="006F63FD" w:rsidRDefault="007B2867" w:rsidP="007B2867">
      <w:pPr>
        <w:pStyle w:val="PleadingSignature"/>
        <w:keepNext w:val="0"/>
        <w:keepLines w:val="0"/>
        <w:spacing w:line="240" w:lineRule="auto"/>
        <w:ind w:left="5070"/>
        <w:rPr>
          <w:sz w:val="28"/>
          <w:szCs w:val="28"/>
        </w:rPr>
      </w:pPr>
      <w:r w:rsidRPr="006F63FD">
        <w:rPr>
          <w:sz w:val="28"/>
          <w:szCs w:val="28"/>
        </w:rPr>
        <w:t>General Counsel</w:t>
      </w:r>
    </w:p>
    <w:p w14:paraId="216C1E0A" w14:textId="77777777" w:rsidR="007B2867" w:rsidRDefault="007B2867" w:rsidP="007B2867">
      <w:pPr>
        <w:widowControl w:val="0"/>
        <w:spacing w:line="240" w:lineRule="auto"/>
        <w:ind w:right="4140"/>
        <w:rPr>
          <w:sz w:val="28"/>
          <w:szCs w:val="28"/>
        </w:rPr>
      </w:pPr>
    </w:p>
    <w:p w14:paraId="4BC92C97" w14:textId="77777777" w:rsidR="007B2867" w:rsidRDefault="007B2867" w:rsidP="007B2867">
      <w:pPr>
        <w:widowControl w:val="0"/>
        <w:spacing w:line="240" w:lineRule="auto"/>
        <w:ind w:right="4140"/>
        <w:rPr>
          <w:sz w:val="28"/>
          <w:szCs w:val="28"/>
        </w:rPr>
      </w:pPr>
    </w:p>
    <w:p w14:paraId="7FC07737" w14:textId="77777777" w:rsidR="007B2867" w:rsidRDefault="007B2867" w:rsidP="007B2867">
      <w:pPr>
        <w:widowControl w:val="0"/>
        <w:spacing w:line="240" w:lineRule="auto"/>
        <w:ind w:right="4140"/>
        <w:rPr>
          <w:sz w:val="28"/>
          <w:szCs w:val="28"/>
        </w:rPr>
      </w:pPr>
    </w:p>
    <w:p w14:paraId="15AA7B6F" w14:textId="77777777" w:rsidR="007B2867" w:rsidRDefault="007B2867" w:rsidP="007B2867">
      <w:pPr>
        <w:widowControl w:val="0"/>
        <w:spacing w:line="240" w:lineRule="auto"/>
        <w:ind w:right="4140"/>
        <w:rPr>
          <w:sz w:val="28"/>
          <w:szCs w:val="28"/>
        </w:rPr>
      </w:pPr>
    </w:p>
    <w:p w14:paraId="484E0DF1" w14:textId="77777777" w:rsidR="007B2867" w:rsidRPr="00C52E56" w:rsidRDefault="007B2867" w:rsidP="007B2867">
      <w:pPr>
        <w:widowControl w:val="0"/>
        <w:spacing w:line="240" w:lineRule="auto"/>
        <w:ind w:right="4140"/>
        <w:rPr>
          <w:sz w:val="28"/>
          <w:szCs w:val="28"/>
        </w:rPr>
      </w:pPr>
      <w:r w:rsidRPr="00C52E56">
        <w:rPr>
          <w:sz w:val="28"/>
          <w:szCs w:val="28"/>
        </w:rPr>
        <w:t>Electronic copy filed with the</w:t>
      </w:r>
    </w:p>
    <w:p w14:paraId="7579AE5D" w14:textId="77777777" w:rsidR="007B2867" w:rsidRPr="00C52E56" w:rsidRDefault="007B2867" w:rsidP="007B2867">
      <w:pPr>
        <w:spacing w:line="240" w:lineRule="auto"/>
        <w:ind w:right="4140"/>
        <w:rPr>
          <w:sz w:val="28"/>
          <w:szCs w:val="28"/>
        </w:rPr>
      </w:pPr>
      <w:r w:rsidRPr="00C52E56">
        <w:rPr>
          <w:sz w:val="28"/>
          <w:szCs w:val="28"/>
        </w:rPr>
        <w:t xml:space="preserve">Clerk of the </w:t>
      </w:r>
      <w:r>
        <w:rPr>
          <w:sz w:val="28"/>
          <w:szCs w:val="28"/>
        </w:rPr>
        <w:t>Supreme Court of Arizona</w:t>
      </w:r>
    </w:p>
    <w:p w14:paraId="5823217E" w14:textId="77777777" w:rsidR="007B2867" w:rsidRPr="00C52E56" w:rsidRDefault="007B2867" w:rsidP="007B2867">
      <w:pPr>
        <w:tabs>
          <w:tab w:val="left" w:pos="4836"/>
        </w:tabs>
        <w:spacing w:line="240" w:lineRule="auto"/>
        <w:ind w:right="3870"/>
        <w:rPr>
          <w:sz w:val="28"/>
          <w:szCs w:val="28"/>
        </w:rPr>
      </w:pPr>
      <w:r w:rsidRPr="00C52E56">
        <w:rPr>
          <w:sz w:val="28"/>
          <w:szCs w:val="28"/>
        </w:rPr>
        <w:t xml:space="preserve">this </w:t>
      </w:r>
      <w:r>
        <w:rPr>
          <w:sz w:val="28"/>
          <w:szCs w:val="28"/>
        </w:rPr>
        <w:t>10</w:t>
      </w:r>
      <w:r w:rsidRPr="00C879A6">
        <w:rPr>
          <w:sz w:val="28"/>
          <w:szCs w:val="28"/>
          <w:vertAlign w:val="superscript"/>
        </w:rPr>
        <w:t>th</w:t>
      </w:r>
      <w:r>
        <w:rPr>
          <w:sz w:val="28"/>
          <w:szCs w:val="28"/>
        </w:rPr>
        <w:t xml:space="preserve"> </w:t>
      </w:r>
      <w:r w:rsidRPr="00C52E56">
        <w:rPr>
          <w:sz w:val="28"/>
          <w:szCs w:val="28"/>
        </w:rPr>
        <w:t xml:space="preserve">day of </w:t>
      </w:r>
      <w:proofErr w:type="gramStart"/>
      <w:r>
        <w:rPr>
          <w:sz w:val="28"/>
          <w:szCs w:val="28"/>
        </w:rPr>
        <w:t>January,</w:t>
      </w:r>
      <w:proofErr w:type="gramEnd"/>
      <w:r w:rsidRPr="00C52E56">
        <w:rPr>
          <w:sz w:val="28"/>
          <w:szCs w:val="28"/>
        </w:rPr>
        <w:t xml:space="preserve"> </w:t>
      </w:r>
      <w:r>
        <w:rPr>
          <w:sz w:val="28"/>
          <w:szCs w:val="28"/>
        </w:rPr>
        <w:t>2024</w:t>
      </w:r>
      <w:r w:rsidRPr="00C52E56">
        <w:rPr>
          <w:sz w:val="28"/>
          <w:szCs w:val="28"/>
        </w:rPr>
        <w:t>.</w:t>
      </w:r>
    </w:p>
    <w:p w14:paraId="56C8B46A" w14:textId="77777777" w:rsidR="007B2867" w:rsidRPr="00C52E56" w:rsidRDefault="007B2867" w:rsidP="007B2867">
      <w:pPr>
        <w:spacing w:line="240" w:lineRule="auto"/>
        <w:ind w:right="4572"/>
        <w:rPr>
          <w:sz w:val="28"/>
          <w:szCs w:val="28"/>
        </w:rPr>
      </w:pPr>
    </w:p>
    <w:p w14:paraId="6CBE37F2" w14:textId="77777777" w:rsidR="007B2867" w:rsidRPr="00C52E56" w:rsidRDefault="007B2867" w:rsidP="007B2867">
      <w:pPr>
        <w:spacing w:line="240" w:lineRule="auto"/>
        <w:ind w:right="4572"/>
        <w:rPr>
          <w:sz w:val="28"/>
          <w:szCs w:val="28"/>
        </w:rPr>
      </w:pPr>
      <w:r w:rsidRPr="00C52E56">
        <w:rPr>
          <w:sz w:val="28"/>
          <w:szCs w:val="28"/>
        </w:rPr>
        <w:t xml:space="preserve">by: </w:t>
      </w:r>
      <w:proofErr w:type="spellStart"/>
      <w:r>
        <w:rPr>
          <w:sz w:val="28"/>
          <w:szCs w:val="28"/>
        </w:rPr>
        <w:t>PSeguin</w:t>
      </w:r>
      <w:proofErr w:type="spellEnd"/>
      <w:r w:rsidRPr="00C52E56">
        <w:rPr>
          <w:sz w:val="28"/>
          <w:szCs w:val="28"/>
        </w:rPr>
        <w:t xml:space="preserve"> </w:t>
      </w:r>
    </w:p>
    <w:p w14:paraId="6ABB6026" w14:textId="77777777" w:rsidR="00494BDF" w:rsidRPr="005441B4" w:rsidRDefault="00494BDF" w:rsidP="000C48A9">
      <w:pPr>
        <w:pStyle w:val="Body"/>
        <w:widowControl w:val="0"/>
        <w:ind w:firstLine="0"/>
        <w:jc w:val="both"/>
        <w:rPr>
          <w:sz w:val="28"/>
          <w:szCs w:val="28"/>
        </w:rPr>
      </w:pPr>
    </w:p>
    <w:p w14:paraId="45E6AB20" w14:textId="77777777" w:rsidR="00052372" w:rsidRPr="005441B4" w:rsidRDefault="00052372" w:rsidP="00933EA1">
      <w:pPr>
        <w:tabs>
          <w:tab w:val="left" w:pos="8145"/>
        </w:tabs>
        <w:rPr>
          <w:sz w:val="28"/>
          <w:szCs w:val="28"/>
        </w:rPr>
      </w:pPr>
    </w:p>
    <w:sectPr w:rsidR="00052372" w:rsidRPr="005441B4"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06C04" w14:textId="77777777" w:rsidR="009C2455" w:rsidRDefault="009C2455">
      <w:r>
        <w:separator/>
      </w:r>
    </w:p>
  </w:endnote>
  <w:endnote w:type="continuationSeparator" w:id="0">
    <w:p w14:paraId="7F462692" w14:textId="77777777" w:rsidR="009C2455" w:rsidRDefault="009C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3272C" w14:textId="77777777" w:rsidR="009C2455" w:rsidRDefault="009C2455">
      <w:r>
        <w:separator/>
      </w:r>
    </w:p>
  </w:footnote>
  <w:footnote w:type="continuationSeparator" w:id="0">
    <w:p w14:paraId="24F069FA" w14:textId="77777777" w:rsidR="009C2455" w:rsidRDefault="009C2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4611867">
    <w:abstractNumId w:val="11"/>
  </w:num>
  <w:num w:numId="2" w16cid:durableId="376468605">
    <w:abstractNumId w:val="12"/>
  </w:num>
  <w:num w:numId="3" w16cid:durableId="117067264">
    <w:abstractNumId w:val="0"/>
  </w:num>
  <w:num w:numId="4" w16cid:durableId="35545643">
    <w:abstractNumId w:val="4"/>
  </w:num>
  <w:num w:numId="5" w16cid:durableId="236012798">
    <w:abstractNumId w:val="6"/>
  </w:num>
  <w:num w:numId="6" w16cid:durableId="1867865982">
    <w:abstractNumId w:val="7"/>
  </w:num>
  <w:num w:numId="7" w16cid:durableId="177698105">
    <w:abstractNumId w:val="1"/>
  </w:num>
  <w:num w:numId="8" w16cid:durableId="1286935107">
    <w:abstractNumId w:val="13"/>
  </w:num>
  <w:num w:numId="9" w16cid:durableId="303775777">
    <w:abstractNumId w:val="8"/>
  </w:num>
  <w:num w:numId="10" w16cid:durableId="1623998060">
    <w:abstractNumId w:val="10"/>
  </w:num>
  <w:num w:numId="11" w16cid:durableId="1057432811">
    <w:abstractNumId w:val="9"/>
  </w:num>
  <w:num w:numId="12" w16cid:durableId="1388261337">
    <w:abstractNumId w:val="5"/>
  </w:num>
  <w:num w:numId="13" w16cid:durableId="1106122761">
    <w:abstractNumId w:val="2"/>
  </w:num>
  <w:num w:numId="14" w16cid:durableId="205784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E2D7F"/>
    <w:rsid w:val="001F591C"/>
    <w:rsid w:val="0023797E"/>
    <w:rsid w:val="00274D6A"/>
    <w:rsid w:val="00352347"/>
    <w:rsid w:val="003566D6"/>
    <w:rsid w:val="00357F4D"/>
    <w:rsid w:val="003617D1"/>
    <w:rsid w:val="00377199"/>
    <w:rsid w:val="003A236D"/>
    <w:rsid w:val="003A28AC"/>
    <w:rsid w:val="003F5017"/>
    <w:rsid w:val="0040598C"/>
    <w:rsid w:val="00407E2D"/>
    <w:rsid w:val="004331B2"/>
    <w:rsid w:val="00440E4C"/>
    <w:rsid w:val="00463734"/>
    <w:rsid w:val="004912C4"/>
    <w:rsid w:val="00494BDF"/>
    <w:rsid w:val="004C3AE3"/>
    <w:rsid w:val="00504E1E"/>
    <w:rsid w:val="00506859"/>
    <w:rsid w:val="00520F93"/>
    <w:rsid w:val="005441B4"/>
    <w:rsid w:val="00566856"/>
    <w:rsid w:val="005845AE"/>
    <w:rsid w:val="005A21B0"/>
    <w:rsid w:val="005B1CDA"/>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B2867"/>
    <w:rsid w:val="007D5C49"/>
    <w:rsid w:val="007D73FF"/>
    <w:rsid w:val="007E3CCB"/>
    <w:rsid w:val="008006ED"/>
    <w:rsid w:val="00822598"/>
    <w:rsid w:val="008360A1"/>
    <w:rsid w:val="00861563"/>
    <w:rsid w:val="00871AAA"/>
    <w:rsid w:val="00876F57"/>
    <w:rsid w:val="00891AAA"/>
    <w:rsid w:val="008A4EB3"/>
    <w:rsid w:val="009100F1"/>
    <w:rsid w:val="00933EA1"/>
    <w:rsid w:val="00951416"/>
    <w:rsid w:val="00960D21"/>
    <w:rsid w:val="00981D29"/>
    <w:rsid w:val="00981E11"/>
    <w:rsid w:val="009C2455"/>
    <w:rsid w:val="00A058A5"/>
    <w:rsid w:val="00A1564B"/>
    <w:rsid w:val="00A5194F"/>
    <w:rsid w:val="00A871D6"/>
    <w:rsid w:val="00A93A7C"/>
    <w:rsid w:val="00AF282C"/>
    <w:rsid w:val="00AF3FF7"/>
    <w:rsid w:val="00B1491D"/>
    <w:rsid w:val="00B45645"/>
    <w:rsid w:val="00B47B7D"/>
    <w:rsid w:val="00BB0263"/>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0CAE"/>
    <w:rsid w:val="00E950B5"/>
    <w:rsid w:val="00F05879"/>
    <w:rsid w:val="00F06F5B"/>
    <w:rsid w:val="00F2485D"/>
    <w:rsid w:val="00F33926"/>
    <w:rsid w:val="00F60C61"/>
    <w:rsid w:val="00F64B52"/>
    <w:rsid w:val="00F7156A"/>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Revision">
    <w:name w:val="Revision"/>
    <w:hidden/>
    <w:uiPriority w:val="99"/>
    <w:semiHidden/>
    <w:rsid w:val="005B1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47A5-D0F4-4550-BFCC-418264FB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5</Pages>
  <Words>1117</Words>
  <Characters>5584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2024-01-10T22:03:00Z</dcterms:created>
  <dcterms:modified xsi:type="dcterms:W3CDTF">2024-01-10T22:03:00Z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