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128E"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Sara J. Agne</w:t>
      </w:r>
    </w:p>
    <w:p w14:paraId="74649EC2"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Co-Chair, Advisory Committee on Rules of Evidence</w:t>
      </w:r>
    </w:p>
    <w:p w14:paraId="532B7C20"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Judge, Arizona Superior Court</w:t>
      </w:r>
    </w:p>
    <w:p w14:paraId="4645B702" w14:textId="4469B4D8"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 W</w:t>
      </w:r>
      <w:r w:rsidR="00D1562D">
        <w:rPr>
          <w:rFonts w:ascii="Times New Roman" w:eastAsia="Times New Roman" w:hAnsi="Times New Roman" w:cs="Times New Roman"/>
          <w:sz w:val="28"/>
          <w:szCs w:val="28"/>
        </w:rPr>
        <w:t>est</w:t>
      </w:r>
      <w:r>
        <w:rPr>
          <w:rFonts w:ascii="Times New Roman" w:eastAsia="Times New Roman" w:hAnsi="Times New Roman" w:cs="Times New Roman"/>
          <w:sz w:val="28"/>
          <w:szCs w:val="28"/>
        </w:rPr>
        <w:t xml:space="preserve"> Jefferson Street</w:t>
      </w:r>
    </w:p>
    <w:p w14:paraId="7B8AAA54" w14:textId="18BDA264"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w:t>
      </w:r>
      <w:r w:rsidR="00D1562D">
        <w:rPr>
          <w:rFonts w:ascii="Times New Roman" w:eastAsia="Times New Roman" w:hAnsi="Times New Roman" w:cs="Times New Roman"/>
          <w:sz w:val="28"/>
          <w:szCs w:val="28"/>
        </w:rPr>
        <w:t>rizona</w:t>
      </w:r>
      <w:r>
        <w:rPr>
          <w:rFonts w:ascii="Times New Roman" w:eastAsia="Times New Roman" w:hAnsi="Times New Roman" w:cs="Times New Roman"/>
          <w:sz w:val="28"/>
          <w:szCs w:val="28"/>
        </w:rPr>
        <w:t xml:space="preserve"> 85003</w:t>
      </w:r>
    </w:p>
    <w:p w14:paraId="11B55A38"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Telephone: 602-506-8288</w:t>
      </w:r>
    </w:p>
    <w:p w14:paraId="7552DA00"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Facsimile: 602-372-5817</w:t>
      </w:r>
    </w:p>
    <w:p w14:paraId="06823308" w14:textId="77777777" w:rsidR="00D43237" w:rsidRDefault="00D43237">
      <w:pPr>
        <w:spacing w:line="240" w:lineRule="auto"/>
        <w:rPr>
          <w:rFonts w:ascii="Times New Roman" w:eastAsia="Times New Roman" w:hAnsi="Times New Roman" w:cs="Times New Roman"/>
          <w:sz w:val="28"/>
          <w:szCs w:val="28"/>
        </w:rPr>
      </w:pPr>
    </w:p>
    <w:p w14:paraId="4BEC654A"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Maria Elena Cruz</w:t>
      </w:r>
    </w:p>
    <w:p w14:paraId="46F6A83E"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Co-Chair, Advisory Committee on Rules of Evidence</w:t>
      </w:r>
    </w:p>
    <w:p w14:paraId="7FA11CA0"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Judge, Arizona Court of Appeals</w:t>
      </w:r>
    </w:p>
    <w:p w14:paraId="62D4189D"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Division One</w:t>
      </w:r>
    </w:p>
    <w:p w14:paraId="7DC12DDA"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State Courts Building</w:t>
      </w:r>
    </w:p>
    <w:p w14:paraId="7708F6D5"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1501 West Washington</w:t>
      </w:r>
    </w:p>
    <w:p w14:paraId="2DF24649"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Arizona 85007</w:t>
      </w:r>
    </w:p>
    <w:p w14:paraId="427F3091"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Telephone: 602-452-6740</w:t>
      </w:r>
    </w:p>
    <w:p w14:paraId="2477008C" w14:textId="77777777" w:rsidR="00D43237" w:rsidRDefault="00FF78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Facsimile: 602-452-3228</w:t>
      </w:r>
    </w:p>
    <w:p w14:paraId="045CB47C" w14:textId="77777777" w:rsidR="00D43237" w:rsidRDefault="00D43237">
      <w:pPr>
        <w:spacing w:line="240" w:lineRule="auto"/>
        <w:rPr>
          <w:rFonts w:ascii="Times New Roman" w:eastAsia="Times New Roman" w:hAnsi="Times New Roman" w:cs="Times New Roman"/>
          <w:sz w:val="28"/>
          <w:szCs w:val="28"/>
        </w:rPr>
      </w:pPr>
    </w:p>
    <w:p w14:paraId="7384A04E" w14:textId="77777777" w:rsidR="00D43237" w:rsidRDefault="00FF78DE">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 THE SUPREME COURT</w:t>
      </w:r>
    </w:p>
    <w:p w14:paraId="4206D76F" w14:textId="77777777" w:rsidR="00D43237" w:rsidRDefault="00FF78DE">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STATE OF ARIZONA</w:t>
      </w:r>
    </w:p>
    <w:p w14:paraId="1B8383FC" w14:textId="77777777" w:rsidR="00D43237" w:rsidRPr="007B67E2" w:rsidRDefault="00D43237">
      <w:pPr>
        <w:spacing w:line="240" w:lineRule="auto"/>
        <w:rPr>
          <w:rFonts w:ascii="Times New Roman" w:eastAsia="Times New Roman" w:hAnsi="Times New Roman" w:cs="Times New Roman"/>
          <w:sz w:val="28"/>
          <w:szCs w:val="28"/>
        </w:rPr>
      </w:pP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95"/>
      </w:tblGrid>
      <w:tr w:rsidR="00D43237" w:rsidRPr="007B67E2" w14:paraId="0D5E898B" w14:textId="77777777">
        <w:tc>
          <w:tcPr>
            <w:tcW w:w="4680" w:type="dxa"/>
            <w:tcBorders>
              <w:top w:val="single" w:sz="8" w:space="0" w:color="FFFFFF"/>
              <w:left w:val="single" w:sz="8" w:space="0" w:color="FFFFFF"/>
            </w:tcBorders>
            <w:shd w:val="clear" w:color="auto" w:fill="auto"/>
            <w:tcMar>
              <w:top w:w="100" w:type="dxa"/>
              <w:left w:w="100" w:type="dxa"/>
              <w:bottom w:w="100" w:type="dxa"/>
              <w:right w:w="100" w:type="dxa"/>
            </w:tcMar>
          </w:tcPr>
          <w:p w14:paraId="1F6B190A" w14:textId="77777777" w:rsidR="00D43237" w:rsidRPr="007B67E2" w:rsidRDefault="00FF78D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In the Matter of</w:t>
            </w:r>
          </w:p>
          <w:p w14:paraId="6AAC5AD7" w14:textId="77777777" w:rsidR="00D43237" w:rsidRPr="007B67E2" w:rsidRDefault="00D43237">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7125CB82" w14:textId="77777777" w:rsidR="00D43237" w:rsidRPr="007B67E2" w:rsidRDefault="00FF78D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ARIZONA RULE OF EVIDENCE 804</w:t>
            </w:r>
          </w:p>
        </w:tc>
        <w:tc>
          <w:tcPr>
            <w:tcW w:w="4695"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1FD3F86" w14:textId="77777777" w:rsidR="00D43237" w:rsidRPr="007B67E2" w:rsidRDefault="00FF78D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Arizona Supreme Court No. R-24-____</w:t>
            </w:r>
          </w:p>
          <w:p w14:paraId="7B7AD6E9" w14:textId="77777777" w:rsidR="00D43237" w:rsidRPr="007B67E2" w:rsidRDefault="00D43237">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3293A3AE" w14:textId="77777777" w:rsidR="00D43237" w:rsidRPr="007B67E2" w:rsidRDefault="00FF78D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PETITION TO AMEND ARIZONA RULE OF EVIDENCE 804</w:t>
            </w:r>
          </w:p>
          <w:p w14:paraId="64FB0793" w14:textId="77777777" w:rsidR="00D43237" w:rsidRPr="007B67E2" w:rsidRDefault="00D43237">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r>
    </w:tbl>
    <w:p w14:paraId="7ECF45A0" w14:textId="77777777" w:rsidR="00D43237" w:rsidRPr="007B67E2" w:rsidRDefault="00D43237">
      <w:pPr>
        <w:spacing w:line="240" w:lineRule="auto"/>
        <w:rPr>
          <w:rFonts w:ascii="Times New Roman" w:eastAsia="Times New Roman" w:hAnsi="Times New Roman" w:cs="Times New Roman"/>
          <w:sz w:val="28"/>
          <w:szCs w:val="28"/>
        </w:rPr>
      </w:pPr>
    </w:p>
    <w:p w14:paraId="70AF0ACD" w14:textId="77777777" w:rsidR="00D43237" w:rsidRPr="007B67E2" w:rsidRDefault="00FF78DE">
      <w:pPr>
        <w:spacing w:line="240" w:lineRule="auto"/>
        <w:jc w:val="center"/>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PETITION TO AMEND ARIZONA RULE OF EVIDENCE 804</w:t>
      </w:r>
    </w:p>
    <w:p w14:paraId="063E4819" w14:textId="77777777" w:rsidR="00D43237" w:rsidRPr="007B67E2" w:rsidRDefault="00D43237">
      <w:pPr>
        <w:spacing w:line="240" w:lineRule="auto"/>
        <w:jc w:val="center"/>
        <w:rPr>
          <w:rFonts w:ascii="Times New Roman" w:eastAsia="Times New Roman" w:hAnsi="Times New Roman" w:cs="Times New Roman"/>
          <w:b/>
          <w:sz w:val="28"/>
          <w:szCs w:val="28"/>
        </w:rPr>
      </w:pPr>
    </w:p>
    <w:p w14:paraId="1E6090AB" w14:textId="648F5D54"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Pursuant to Rule 28, Rules of the Supreme Court of Arizona, the Advisory Committee on Rules of Evidence (the “Committee”), by and through its Co-Chairs, the Honorable Sara Agne and the Honorable Maria Elena Cruz, petitions the Court to amend Arizona Rule of Evidence 804, as reflected in the </w:t>
      </w:r>
      <w:r w:rsidR="00714CAF">
        <w:rPr>
          <w:rFonts w:ascii="Times New Roman" w:eastAsia="Times New Roman" w:hAnsi="Times New Roman" w:cs="Times New Roman"/>
          <w:sz w:val="28"/>
          <w:szCs w:val="28"/>
        </w:rPr>
        <w:t>A</w:t>
      </w:r>
      <w:r w:rsidRPr="007B67E2">
        <w:rPr>
          <w:rFonts w:ascii="Times New Roman" w:eastAsia="Times New Roman" w:hAnsi="Times New Roman" w:cs="Times New Roman"/>
          <w:sz w:val="28"/>
          <w:szCs w:val="28"/>
        </w:rPr>
        <w:t>ttachment hereto, effective January 1, 2025.</w:t>
      </w:r>
    </w:p>
    <w:p w14:paraId="412BE095" w14:textId="77777777" w:rsidR="00D43237" w:rsidRPr="007B67E2" w:rsidRDefault="00FF78DE" w:rsidP="007B67E2">
      <w:pPr>
        <w:spacing w:line="240" w:lineRule="auto"/>
        <w:ind w:left="720" w:hanging="72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lastRenderedPageBreak/>
        <w:t xml:space="preserve">I. </w:t>
      </w:r>
      <w:r w:rsidRPr="007B67E2">
        <w:rPr>
          <w:rFonts w:ascii="Times New Roman" w:eastAsia="Times New Roman" w:hAnsi="Times New Roman" w:cs="Times New Roman"/>
          <w:b/>
          <w:sz w:val="28"/>
          <w:szCs w:val="28"/>
        </w:rPr>
        <w:tab/>
        <w:t>INTRODUCTION AND BACKGROUND</w:t>
      </w:r>
    </w:p>
    <w:p w14:paraId="4B539DB4" w14:textId="77777777" w:rsidR="00D43237" w:rsidRPr="007B67E2" w:rsidRDefault="00D43237">
      <w:pPr>
        <w:spacing w:line="240" w:lineRule="auto"/>
        <w:rPr>
          <w:rFonts w:ascii="Times New Roman" w:eastAsia="Times New Roman" w:hAnsi="Times New Roman" w:cs="Times New Roman"/>
          <w:sz w:val="28"/>
          <w:szCs w:val="28"/>
        </w:rPr>
      </w:pPr>
    </w:p>
    <w:p w14:paraId="61D5D99B"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Arizona Rules of Evidence were first adopted by this Court in September 1977, and were based on the Federal Rules of Evidence, adopted in 1975. In the more than forty years since the adoption of the Arizona Rules of Evidence, the Federal Rules of Evidence have been amended on several occasions, but not all of these amendments have become part of the Arizona Rules of Evidence.</w:t>
      </w:r>
    </w:p>
    <w:p w14:paraId="6409F9A1"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In June 2012, the Arizona Supreme Court established the Advisory Committee on Rules of Evidence (“the Committee”) with the following purpose:</w:t>
      </w:r>
    </w:p>
    <w:p w14:paraId="6DBA8C06"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The Committee shall periodically conduct a review and analysis of the </w:t>
      </w:r>
      <w:r w:rsidRPr="007B67E2">
        <w:rPr>
          <w:rFonts w:ascii="Times New Roman" w:eastAsia="Times New Roman" w:hAnsi="Times New Roman" w:cs="Times New Roman"/>
          <w:i/>
          <w:sz w:val="28"/>
          <w:szCs w:val="28"/>
        </w:rPr>
        <w:t>Arizona Rules of Evidence</w:t>
      </w:r>
      <w:r w:rsidRPr="007B67E2">
        <w:rPr>
          <w:rFonts w:ascii="Times New Roman" w:eastAsia="Times New Roman" w:hAnsi="Times New Roman" w:cs="Times New Roman"/>
          <w:sz w:val="28"/>
          <w:szCs w:val="28"/>
        </w:rPr>
        <w:t xml:space="preserve">, review all proposals to amend the </w:t>
      </w:r>
      <w:r w:rsidRPr="007B67E2">
        <w:rPr>
          <w:rFonts w:ascii="Times New Roman" w:eastAsia="Times New Roman" w:hAnsi="Times New Roman" w:cs="Times New Roman"/>
          <w:i/>
          <w:sz w:val="28"/>
          <w:szCs w:val="28"/>
        </w:rPr>
        <w:t>Arizona Rules of Evidence</w:t>
      </w:r>
      <w:r w:rsidRPr="007B67E2">
        <w:rPr>
          <w:rFonts w:ascii="Times New Roman" w:eastAsia="Times New Roman" w:hAnsi="Times New Roman" w:cs="Times New Roman"/>
          <w:sz w:val="28"/>
          <w:szCs w:val="28"/>
        </w:rPr>
        <w:t xml:space="preserve">, compare the rules to the </w:t>
      </w:r>
      <w:r w:rsidRPr="007B67E2">
        <w:rPr>
          <w:rFonts w:ascii="Times New Roman" w:eastAsia="Times New Roman" w:hAnsi="Times New Roman" w:cs="Times New Roman"/>
          <w:i/>
          <w:sz w:val="28"/>
          <w:szCs w:val="28"/>
        </w:rPr>
        <w:t>Federal Rules of Evidence</w:t>
      </w:r>
      <w:r w:rsidRPr="007B67E2">
        <w:rPr>
          <w:rFonts w:ascii="Times New Roman" w:eastAsia="Times New Roman" w:hAnsi="Times New Roman" w:cs="Times New Roman"/>
          <w:sz w:val="28"/>
          <w:szCs w:val="28"/>
        </w:rPr>
        <w:t>, recommend revisions and additional rules as the Committee deems appropriate, entertain comments concerning the rules, and provide reports to this Court, as appropriate.</w:t>
      </w:r>
    </w:p>
    <w:p w14:paraId="289AA9A8"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506B6606" w14:textId="77777777" w:rsidR="00D43237" w:rsidRPr="007B67E2" w:rsidRDefault="00FF78DE">
      <w:pPr>
        <w:spacing w:line="480" w:lineRule="auto"/>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Arizona Supreme Court Administrative Order 2012-43, dated June 11, 2012.</w:t>
      </w:r>
    </w:p>
    <w:p w14:paraId="4335E5C5"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Given this directive, the Committee has reviewed Arizona Rule of Evidence 804 in light of proposed amendments to Federal Rule of Evidence 804. The Committee has decided that there are multiple valid reasons for this particular proposed federal rule change to become part of Arizona Rule of Evidence 804.</w:t>
      </w:r>
    </w:p>
    <w:p w14:paraId="5D5237BF" w14:textId="77777777" w:rsidR="007B67E2" w:rsidRPr="007B67E2" w:rsidRDefault="007B67E2" w:rsidP="007B67E2">
      <w:pPr>
        <w:spacing w:line="480" w:lineRule="auto"/>
        <w:ind w:left="720" w:hanging="720"/>
        <w:rPr>
          <w:rFonts w:ascii="Times New Roman" w:eastAsia="Times New Roman" w:hAnsi="Times New Roman" w:cs="Times New Roman"/>
          <w:b/>
          <w:sz w:val="28"/>
          <w:szCs w:val="28"/>
        </w:rPr>
      </w:pPr>
    </w:p>
    <w:p w14:paraId="21F42A5E" w14:textId="77777777" w:rsidR="007B67E2" w:rsidRPr="007B67E2" w:rsidRDefault="007B67E2" w:rsidP="007B67E2">
      <w:pPr>
        <w:spacing w:line="480" w:lineRule="auto"/>
        <w:ind w:left="720" w:hanging="720"/>
        <w:rPr>
          <w:rFonts w:ascii="Times New Roman" w:eastAsia="Times New Roman" w:hAnsi="Times New Roman" w:cs="Times New Roman"/>
          <w:b/>
          <w:sz w:val="28"/>
          <w:szCs w:val="28"/>
        </w:rPr>
      </w:pPr>
    </w:p>
    <w:p w14:paraId="2F670B0F" w14:textId="77777777" w:rsidR="007B67E2" w:rsidRPr="007B67E2" w:rsidRDefault="007B67E2" w:rsidP="007B67E2">
      <w:pPr>
        <w:spacing w:line="480" w:lineRule="auto"/>
        <w:ind w:left="720" w:hanging="720"/>
        <w:rPr>
          <w:rFonts w:ascii="Times New Roman" w:eastAsia="Times New Roman" w:hAnsi="Times New Roman" w:cs="Times New Roman"/>
          <w:b/>
          <w:sz w:val="28"/>
          <w:szCs w:val="28"/>
        </w:rPr>
      </w:pPr>
    </w:p>
    <w:p w14:paraId="4ECC79F9" w14:textId="7799045F" w:rsidR="00D43237" w:rsidRPr="007B67E2" w:rsidRDefault="00FF78DE" w:rsidP="007B67E2">
      <w:pPr>
        <w:spacing w:line="480" w:lineRule="auto"/>
        <w:ind w:left="720" w:hanging="72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lastRenderedPageBreak/>
        <w:t>II.</w:t>
      </w:r>
      <w:r w:rsidRPr="007B67E2">
        <w:rPr>
          <w:rFonts w:ascii="Times New Roman" w:eastAsia="Times New Roman" w:hAnsi="Times New Roman" w:cs="Times New Roman"/>
          <w:b/>
          <w:sz w:val="28"/>
          <w:szCs w:val="28"/>
        </w:rPr>
        <w:tab/>
        <w:t>FEDERAL ACTION TO AMEND RULE 804</w:t>
      </w:r>
    </w:p>
    <w:p w14:paraId="157033C1"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Evidence Rule 804(b)(3) provides a hearsay exception for declarations against interest. For admission, the statement must be against the declarant’s interest and be “supported by corroborating circumstances that clearly indicate its trustworthiness.” Fed. R. Evid. 804(b)(3).</w:t>
      </w:r>
    </w:p>
    <w:p w14:paraId="0C7E34FB" w14:textId="01A34471"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Federal courts have split, however, regarding the meaning of the corroborating circumstances requirement. </w:t>
      </w:r>
      <w:hyperlink r:id="rId7">
        <w:r w:rsidRPr="007B67E2">
          <w:rPr>
            <w:rFonts w:ascii="Times New Roman" w:eastAsia="Times New Roman" w:hAnsi="Times New Roman" w:cs="Times New Roman"/>
            <w:color w:val="1155CC"/>
            <w:sz w:val="28"/>
            <w:szCs w:val="28"/>
          </w:rPr>
          <w:t>Report to the Standing Committee, Advisory Committee on Evidence Rules</w:t>
        </w:r>
      </w:hyperlink>
      <w:r w:rsidRPr="007B67E2">
        <w:rPr>
          <w:rFonts w:ascii="Times New Roman" w:eastAsia="Times New Roman" w:hAnsi="Times New Roman" w:cs="Times New Roman"/>
          <w:sz w:val="28"/>
          <w:szCs w:val="28"/>
        </w:rPr>
        <w:t>, pg. 7 (May 10, 2023).</w:t>
      </w:r>
      <w:r w:rsidR="007A39B1">
        <w:rPr>
          <w:rStyle w:val="FootnoteReference"/>
          <w:rFonts w:ascii="Times New Roman" w:eastAsia="Times New Roman" w:hAnsi="Times New Roman" w:cs="Times New Roman"/>
          <w:sz w:val="28"/>
          <w:szCs w:val="28"/>
        </w:rPr>
        <w:footnoteReference w:id="1"/>
      </w:r>
      <w:r w:rsidRPr="007B67E2">
        <w:rPr>
          <w:rFonts w:ascii="Times New Roman" w:eastAsia="Times New Roman" w:hAnsi="Times New Roman" w:cs="Times New Roman"/>
          <w:sz w:val="28"/>
          <w:szCs w:val="28"/>
        </w:rPr>
        <w:t xml:space="preserve">  “Most federal courts consider both the inherent guarantees of trustworthiness underlying a particular declaration against interest as well as independent evidence corroborating (or refuting) the accuracy of the statement.” </w:t>
      </w:r>
      <w:r w:rsidRPr="007B67E2">
        <w:rPr>
          <w:rFonts w:ascii="Times New Roman" w:eastAsia="Times New Roman" w:hAnsi="Times New Roman" w:cs="Times New Roman"/>
          <w:i/>
          <w:sz w:val="28"/>
          <w:szCs w:val="28"/>
        </w:rPr>
        <w:t>Id.</w:t>
      </w:r>
      <w:r w:rsidRPr="007B67E2">
        <w:rPr>
          <w:rFonts w:ascii="Times New Roman" w:eastAsia="Times New Roman" w:hAnsi="Times New Roman" w:cs="Times New Roman"/>
          <w:sz w:val="28"/>
          <w:szCs w:val="28"/>
        </w:rPr>
        <w:t xml:space="preserve"> Others, though, do not allow inquiry into the independent evidence. </w:t>
      </w:r>
      <w:r w:rsidRPr="007B67E2">
        <w:rPr>
          <w:rFonts w:ascii="Times New Roman" w:eastAsia="Times New Roman" w:hAnsi="Times New Roman" w:cs="Times New Roman"/>
          <w:i/>
          <w:sz w:val="28"/>
          <w:szCs w:val="28"/>
        </w:rPr>
        <w:t>Id.</w:t>
      </w:r>
      <w:r w:rsidRPr="007B67E2">
        <w:rPr>
          <w:rFonts w:ascii="Times New Roman" w:eastAsia="Times New Roman" w:hAnsi="Times New Roman" w:cs="Times New Roman"/>
          <w:sz w:val="28"/>
          <w:szCs w:val="28"/>
        </w:rPr>
        <w:t xml:space="preserve"> This limits judges to considering just inherent guarantees of trustworthiness. </w:t>
      </w:r>
      <w:r w:rsidRPr="007B67E2">
        <w:rPr>
          <w:rFonts w:ascii="Times New Roman" w:eastAsia="Times New Roman" w:hAnsi="Times New Roman" w:cs="Times New Roman"/>
          <w:i/>
          <w:sz w:val="28"/>
          <w:szCs w:val="28"/>
        </w:rPr>
        <w:t>Id.</w:t>
      </w:r>
    </w:p>
    <w:p w14:paraId="60C327B2"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The federal committee concluded the latter view—refusing inquiry into independent evidence—is “inconsistent with the 2019 amendment to Rule 807,” the residual exception. </w:t>
      </w:r>
      <w:r w:rsidRPr="007B67E2">
        <w:rPr>
          <w:rFonts w:ascii="Times New Roman" w:eastAsia="Times New Roman" w:hAnsi="Times New Roman" w:cs="Times New Roman"/>
          <w:i/>
          <w:sz w:val="28"/>
          <w:szCs w:val="28"/>
        </w:rPr>
        <w:t>Id.</w:t>
      </w:r>
      <w:r w:rsidRPr="007B67E2">
        <w:rPr>
          <w:rFonts w:ascii="Times New Roman" w:eastAsia="Times New Roman" w:hAnsi="Times New Roman" w:cs="Times New Roman"/>
          <w:sz w:val="28"/>
          <w:szCs w:val="28"/>
        </w:rPr>
        <w:t xml:space="preserve"> That amendment requires courts to look at corroborative evidence, if it exists, to determine whether a hearsay statement is sufficiently trustworthy. The reasoning for this rule is that corroborative evidence can shore up </w:t>
      </w:r>
      <w:r w:rsidRPr="007B67E2">
        <w:rPr>
          <w:rFonts w:ascii="Times New Roman" w:eastAsia="Times New Roman" w:hAnsi="Times New Roman" w:cs="Times New Roman"/>
          <w:sz w:val="28"/>
          <w:szCs w:val="28"/>
        </w:rPr>
        <w:lastRenderedPageBreak/>
        <w:t xml:space="preserve">potential concerns regarding reliability. </w:t>
      </w:r>
      <w:r w:rsidRPr="007B67E2">
        <w:rPr>
          <w:rFonts w:ascii="Times New Roman" w:eastAsia="Times New Roman" w:hAnsi="Times New Roman" w:cs="Times New Roman"/>
          <w:i/>
          <w:sz w:val="28"/>
          <w:szCs w:val="28"/>
        </w:rPr>
        <w:t>Id.</w:t>
      </w:r>
      <w:r w:rsidRPr="007B67E2">
        <w:rPr>
          <w:rFonts w:ascii="Times New Roman" w:eastAsia="Times New Roman" w:hAnsi="Times New Roman" w:cs="Times New Roman"/>
          <w:sz w:val="28"/>
          <w:szCs w:val="28"/>
        </w:rPr>
        <w:t xml:space="preserve"> This rationale is consistent with other contexts, including the admissibility of co-conspirator hearsay and tips from informants when determining probable cause. </w:t>
      </w:r>
      <w:r w:rsidRPr="007B67E2">
        <w:rPr>
          <w:rFonts w:ascii="Times New Roman" w:eastAsia="Times New Roman" w:hAnsi="Times New Roman" w:cs="Times New Roman"/>
          <w:i/>
          <w:sz w:val="28"/>
          <w:szCs w:val="28"/>
        </w:rPr>
        <w:t>Id.</w:t>
      </w:r>
    </w:p>
    <w:p w14:paraId="39D6BF71"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Public comments supported a rule that would require courts to consider additional supporting or contradicting evidence. </w:t>
      </w:r>
      <w:r w:rsidRPr="007B67E2">
        <w:rPr>
          <w:rFonts w:ascii="Times New Roman" w:eastAsia="Times New Roman" w:hAnsi="Times New Roman" w:cs="Times New Roman"/>
          <w:i/>
          <w:sz w:val="28"/>
          <w:szCs w:val="28"/>
        </w:rPr>
        <w:t>Id.</w:t>
      </w:r>
      <w:r w:rsidRPr="007B67E2">
        <w:rPr>
          <w:rFonts w:ascii="Times New Roman" w:eastAsia="Times New Roman" w:hAnsi="Times New Roman" w:cs="Times New Roman"/>
          <w:sz w:val="28"/>
          <w:szCs w:val="28"/>
        </w:rPr>
        <w:t xml:space="preserve"> at 8.</w:t>
      </w:r>
    </w:p>
    <w:p w14:paraId="7E7B1B7A" w14:textId="05972055"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To align Rule 804 with Rule 807 and resolve the tension, the federal </w:t>
      </w:r>
      <w:r w:rsidR="007A39B1">
        <w:rPr>
          <w:rFonts w:ascii="Times New Roman" w:eastAsia="Times New Roman" w:hAnsi="Times New Roman" w:cs="Times New Roman"/>
          <w:sz w:val="28"/>
          <w:szCs w:val="28"/>
        </w:rPr>
        <w:t>bodies have</w:t>
      </w:r>
      <w:r w:rsidRPr="007B67E2">
        <w:rPr>
          <w:rFonts w:ascii="Times New Roman" w:eastAsia="Times New Roman" w:hAnsi="Times New Roman" w:cs="Times New Roman"/>
          <w:sz w:val="28"/>
          <w:szCs w:val="28"/>
        </w:rPr>
        <w:t xml:space="preserve"> proposed the following amendment</w:t>
      </w:r>
      <w:r w:rsidR="007A39B1">
        <w:rPr>
          <w:rFonts w:ascii="Times New Roman" w:eastAsia="Times New Roman" w:hAnsi="Times New Roman" w:cs="Times New Roman"/>
          <w:sz w:val="28"/>
          <w:szCs w:val="28"/>
        </w:rPr>
        <w:t>, which awaits assent by the U.S. Supreme Court and Congress</w:t>
      </w:r>
      <w:r w:rsidRPr="007B67E2">
        <w:rPr>
          <w:rFonts w:ascii="Times New Roman" w:eastAsia="Times New Roman" w:hAnsi="Times New Roman" w:cs="Times New Roman"/>
          <w:sz w:val="28"/>
          <w:szCs w:val="28"/>
        </w:rPr>
        <w:t>:</w:t>
      </w:r>
    </w:p>
    <w:p w14:paraId="53DA17D2" w14:textId="77777777" w:rsidR="00D43237" w:rsidRPr="007B67E2" w:rsidRDefault="00FF78DE">
      <w:pPr>
        <w:spacing w:line="240" w:lineRule="auto"/>
        <w:ind w:left="2160" w:right="720" w:hanging="135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 xml:space="preserve">Rule 804. </w:t>
      </w:r>
      <w:r w:rsidRPr="007B67E2">
        <w:rPr>
          <w:rFonts w:ascii="Times New Roman" w:eastAsia="Times New Roman" w:hAnsi="Times New Roman" w:cs="Times New Roman"/>
          <w:b/>
          <w:sz w:val="28"/>
          <w:szCs w:val="28"/>
        </w:rPr>
        <w:tab/>
        <w:t>Exceptions to the Rule Against Hearsay—When the Declarant Is Unavailable as a Witness</w:t>
      </w:r>
    </w:p>
    <w:p w14:paraId="70D0C0E8" w14:textId="77777777" w:rsidR="00D43237" w:rsidRPr="007B67E2" w:rsidRDefault="00D43237">
      <w:pPr>
        <w:spacing w:line="240" w:lineRule="auto"/>
        <w:ind w:left="720" w:right="720"/>
        <w:rPr>
          <w:rFonts w:ascii="Times New Roman" w:eastAsia="Times New Roman" w:hAnsi="Times New Roman" w:cs="Times New Roman"/>
          <w:b/>
          <w:sz w:val="28"/>
          <w:szCs w:val="28"/>
        </w:rPr>
      </w:pPr>
    </w:p>
    <w:p w14:paraId="13857A85" w14:textId="77777777" w:rsidR="00D43237" w:rsidRPr="007B67E2" w:rsidRDefault="00FF78DE">
      <w:pPr>
        <w:spacing w:line="240" w:lineRule="auto"/>
        <w:ind w:left="720" w:right="720"/>
        <w:jc w:val="center"/>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 * * *</w:t>
      </w:r>
    </w:p>
    <w:p w14:paraId="02BA0C13"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366DDA84"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t xml:space="preserve">The Exceptions. </w:t>
      </w:r>
    </w:p>
    <w:p w14:paraId="2F64DAD7"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4B2C2F44" w14:textId="77777777" w:rsidR="00D43237" w:rsidRPr="007B67E2" w:rsidRDefault="00FF78DE">
      <w:pPr>
        <w:spacing w:line="240" w:lineRule="auto"/>
        <w:ind w:left="720" w:right="720"/>
        <w:jc w:val="center"/>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 * * *</w:t>
      </w:r>
    </w:p>
    <w:p w14:paraId="791E1047"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11636610" w14:textId="77777777" w:rsidR="00D43237" w:rsidRPr="007B67E2" w:rsidRDefault="00FF78DE">
      <w:pPr>
        <w:spacing w:line="240" w:lineRule="auto"/>
        <w:ind w:left="720" w:right="720"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(3) </w:t>
      </w:r>
      <w:r w:rsidRPr="007B67E2">
        <w:rPr>
          <w:rFonts w:ascii="Times New Roman" w:eastAsia="Times New Roman" w:hAnsi="Times New Roman" w:cs="Times New Roman"/>
          <w:sz w:val="28"/>
          <w:szCs w:val="28"/>
        </w:rPr>
        <w:tab/>
        <w:t>Statement Against Interest. A statement that:</w:t>
      </w:r>
    </w:p>
    <w:p w14:paraId="2D4F2771" w14:textId="77777777" w:rsidR="00D43237" w:rsidRPr="007B67E2" w:rsidRDefault="00D43237">
      <w:pPr>
        <w:spacing w:line="240" w:lineRule="auto"/>
        <w:ind w:left="720" w:right="720" w:firstLine="720"/>
        <w:rPr>
          <w:rFonts w:ascii="Times New Roman" w:eastAsia="Times New Roman" w:hAnsi="Times New Roman" w:cs="Times New Roman"/>
          <w:sz w:val="28"/>
          <w:szCs w:val="28"/>
        </w:rPr>
      </w:pPr>
    </w:p>
    <w:p w14:paraId="50A8D34C" w14:textId="77777777" w:rsidR="00D43237" w:rsidRPr="007B67E2" w:rsidRDefault="00FF78DE">
      <w:pPr>
        <w:spacing w:line="240" w:lineRule="auto"/>
        <w:ind w:left="720" w:right="720"/>
        <w:jc w:val="center"/>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 * * *</w:t>
      </w:r>
    </w:p>
    <w:p w14:paraId="77BEDBC1" w14:textId="77777777" w:rsidR="00D43237" w:rsidRPr="007B67E2" w:rsidRDefault="00D43237">
      <w:pPr>
        <w:spacing w:line="240" w:lineRule="auto"/>
        <w:ind w:left="2160" w:right="720"/>
        <w:rPr>
          <w:rFonts w:ascii="Times New Roman" w:eastAsia="Times New Roman" w:hAnsi="Times New Roman" w:cs="Times New Roman"/>
          <w:sz w:val="28"/>
          <w:szCs w:val="28"/>
        </w:rPr>
      </w:pPr>
    </w:p>
    <w:p w14:paraId="70017073" w14:textId="1423F29C" w:rsidR="00D43237" w:rsidRPr="007B67E2" w:rsidRDefault="00FF78DE">
      <w:pPr>
        <w:spacing w:line="240" w:lineRule="auto"/>
        <w:ind w:left="288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r>
      <w:r w:rsidRPr="007B67E2">
        <w:rPr>
          <w:rFonts w:ascii="Times New Roman" w:eastAsia="Times New Roman" w:hAnsi="Times New Roman" w:cs="Times New Roman"/>
          <w:sz w:val="28"/>
          <w:szCs w:val="28"/>
          <w:u w:val="single"/>
        </w:rPr>
        <w:t>if offered in a criminal case as one that tends to expose the declarant to criminal liability,</w:t>
      </w:r>
      <w:r w:rsidRPr="007B67E2">
        <w:rPr>
          <w:rFonts w:ascii="Times New Roman" w:eastAsia="Times New Roman" w:hAnsi="Times New Roman" w:cs="Times New Roman"/>
          <w:sz w:val="28"/>
          <w:szCs w:val="28"/>
        </w:rPr>
        <w:t xml:space="preserve"> </w:t>
      </w:r>
      <w:r w:rsidRPr="007A39B1">
        <w:rPr>
          <w:rFonts w:ascii="Times New Roman" w:eastAsia="Times New Roman" w:hAnsi="Times New Roman" w:cs="Times New Roman"/>
          <w:sz w:val="28"/>
          <w:szCs w:val="28"/>
        </w:rPr>
        <w:t>is</w:t>
      </w:r>
      <w:r w:rsidRPr="007B67E2">
        <w:rPr>
          <w:rFonts w:ascii="Times New Roman" w:eastAsia="Times New Roman" w:hAnsi="Times New Roman" w:cs="Times New Roman"/>
          <w:sz w:val="28"/>
          <w:szCs w:val="28"/>
        </w:rPr>
        <w:t xml:space="preserve"> supported by corroborating circumstances that clearly indicate its trustworthiness</w:t>
      </w:r>
      <w:r w:rsidR="007A39B1" w:rsidRPr="007A39B1">
        <w:rPr>
          <w:rFonts w:ascii="Times New Roman" w:eastAsia="Times New Roman" w:hAnsi="Times New Roman" w:cs="Times New Roman"/>
          <w:strike/>
          <w:sz w:val="28"/>
          <w:szCs w:val="28"/>
        </w:rPr>
        <w:t>, if offered in a criminal case as one that tends to expose the declarant to criminal liability</w:t>
      </w:r>
      <w:r w:rsidRPr="007A39B1">
        <w:rPr>
          <w:rFonts w:ascii="Times New Roman" w:eastAsia="Times New Roman" w:hAnsi="Times New Roman" w:cs="Times New Roman"/>
          <w:strike/>
          <w:sz w:val="28"/>
          <w:szCs w:val="28"/>
        </w:rPr>
        <w:t>—</w:t>
      </w:r>
      <w:r w:rsidRPr="007B67E2">
        <w:rPr>
          <w:rFonts w:ascii="Times New Roman" w:eastAsia="Times New Roman" w:hAnsi="Times New Roman" w:cs="Times New Roman"/>
          <w:sz w:val="28"/>
          <w:szCs w:val="28"/>
          <w:u w:val="single"/>
        </w:rPr>
        <w:t xml:space="preserve">after considering the totality of circumstances under which it was </w:t>
      </w:r>
      <w:r w:rsidRPr="007B67E2">
        <w:rPr>
          <w:rFonts w:ascii="Times New Roman" w:eastAsia="Times New Roman" w:hAnsi="Times New Roman" w:cs="Times New Roman"/>
          <w:sz w:val="28"/>
          <w:szCs w:val="28"/>
          <w:u w:val="single"/>
        </w:rPr>
        <w:lastRenderedPageBreak/>
        <w:t xml:space="preserve">made and any evidence that supports or </w:t>
      </w:r>
      <w:r w:rsidR="007A39B1">
        <w:rPr>
          <w:rFonts w:ascii="Times New Roman" w:eastAsia="Times New Roman" w:hAnsi="Times New Roman" w:cs="Times New Roman"/>
          <w:sz w:val="28"/>
          <w:szCs w:val="28"/>
          <w:u w:val="single"/>
        </w:rPr>
        <w:t>undermines</w:t>
      </w:r>
      <w:r w:rsidRPr="007B67E2">
        <w:rPr>
          <w:rFonts w:ascii="Times New Roman" w:eastAsia="Times New Roman" w:hAnsi="Times New Roman" w:cs="Times New Roman"/>
          <w:sz w:val="28"/>
          <w:szCs w:val="28"/>
          <w:u w:val="single"/>
        </w:rPr>
        <w:t xml:space="preserve"> it</w:t>
      </w:r>
      <w:r w:rsidRPr="007B67E2">
        <w:rPr>
          <w:rFonts w:ascii="Times New Roman" w:eastAsia="Times New Roman" w:hAnsi="Times New Roman" w:cs="Times New Roman"/>
          <w:sz w:val="28"/>
          <w:szCs w:val="28"/>
        </w:rPr>
        <w:t>.</w:t>
      </w:r>
      <w:r w:rsidR="007A39B1">
        <w:rPr>
          <w:rStyle w:val="FootnoteReference"/>
          <w:rFonts w:ascii="Times New Roman" w:eastAsia="Times New Roman" w:hAnsi="Times New Roman" w:cs="Times New Roman"/>
          <w:sz w:val="28"/>
          <w:szCs w:val="28"/>
        </w:rPr>
        <w:footnoteReference w:id="2"/>
      </w:r>
    </w:p>
    <w:p w14:paraId="0243D701" w14:textId="77777777" w:rsidR="00D43237" w:rsidRPr="007B67E2" w:rsidRDefault="00D43237">
      <w:pPr>
        <w:spacing w:line="240" w:lineRule="auto"/>
        <w:ind w:left="2880" w:right="720" w:hanging="720"/>
        <w:rPr>
          <w:rFonts w:ascii="Times New Roman" w:eastAsia="Times New Roman" w:hAnsi="Times New Roman" w:cs="Times New Roman"/>
          <w:sz w:val="28"/>
          <w:szCs w:val="28"/>
        </w:rPr>
      </w:pPr>
    </w:p>
    <w:p w14:paraId="1CA53270" w14:textId="1AAE7644"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Although Rule 807 was part of the impetus for the change, the committee decided not to repeat the language of Rule 807. This is because doing so would have used the word </w:t>
      </w:r>
      <w:r w:rsidRPr="007B67E2">
        <w:rPr>
          <w:rFonts w:ascii="Times New Roman" w:eastAsia="Times New Roman" w:hAnsi="Times New Roman" w:cs="Times New Roman"/>
          <w:i/>
          <w:sz w:val="28"/>
          <w:szCs w:val="28"/>
        </w:rPr>
        <w:t>corroborating</w:t>
      </w:r>
      <w:r w:rsidRPr="007B67E2">
        <w:rPr>
          <w:rFonts w:ascii="Times New Roman" w:eastAsia="Times New Roman" w:hAnsi="Times New Roman" w:cs="Times New Roman"/>
          <w:sz w:val="28"/>
          <w:szCs w:val="28"/>
        </w:rPr>
        <w:t xml:space="preserve"> in two manners, thereby introducing possible confusion. </w:t>
      </w:r>
      <w:hyperlink r:id="rId8">
        <w:r w:rsidRPr="007B67E2">
          <w:rPr>
            <w:rFonts w:ascii="Times New Roman" w:eastAsia="Times New Roman" w:hAnsi="Times New Roman" w:cs="Times New Roman"/>
            <w:color w:val="1155CC"/>
            <w:sz w:val="28"/>
            <w:szCs w:val="28"/>
          </w:rPr>
          <w:t>Report to the Standing Committee, Advisory Committee on Evidence Rules</w:t>
        </w:r>
      </w:hyperlink>
      <w:r w:rsidRPr="007B67E2">
        <w:rPr>
          <w:rFonts w:ascii="Times New Roman" w:eastAsia="Times New Roman" w:hAnsi="Times New Roman" w:cs="Times New Roman"/>
          <w:sz w:val="28"/>
          <w:szCs w:val="28"/>
        </w:rPr>
        <w:t>, pg. 8 (May 10, 2023).</w:t>
      </w:r>
      <w:r w:rsidR="00CA5492">
        <w:rPr>
          <w:rStyle w:val="FootnoteReference"/>
          <w:rFonts w:ascii="Times New Roman" w:eastAsia="Times New Roman" w:hAnsi="Times New Roman" w:cs="Times New Roman"/>
          <w:sz w:val="28"/>
          <w:szCs w:val="28"/>
        </w:rPr>
        <w:footnoteReference w:id="3"/>
      </w:r>
      <w:r w:rsidRPr="007B67E2">
        <w:rPr>
          <w:rFonts w:ascii="Times New Roman" w:eastAsia="Times New Roman" w:hAnsi="Times New Roman" w:cs="Times New Roman"/>
          <w:sz w:val="28"/>
          <w:szCs w:val="28"/>
        </w:rPr>
        <w:t xml:space="preserve"> To avoid that confusion, but still align with the purpose of the Rule 807 amendment, the </w:t>
      </w:r>
      <w:r w:rsidR="00CA5492">
        <w:rPr>
          <w:rFonts w:ascii="Times New Roman" w:eastAsia="Times New Roman" w:hAnsi="Times New Roman" w:cs="Times New Roman"/>
          <w:sz w:val="28"/>
          <w:szCs w:val="28"/>
        </w:rPr>
        <w:t>federal bodies instead</w:t>
      </w:r>
      <w:r w:rsidRPr="007B67E2">
        <w:rPr>
          <w:rFonts w:ascii="Times New Roman" w:eastAsia="Times New Roman" w:hAnsi="Times New Roman" w:cs="Times New Roman"/>
          <w:sz w:val="28"/>
          <w:szCs w:val="28"/>
        </w:rPr>
        <w:t xml:space="preserve"> opted to refer to “any evidence that supports or </w:t>
      </w:r>
      <w:r w:rsidR="00CA5492">
        <w:rPr>
          <w:rFonts w:ascii="Times New Roman" w:eastAsia="Times New Roman" w:hAnsi="Times New Roman" w:cs="Times New Roman"/>
          <w:sz w:val="28"/>
          <w:szCs w:val="28"/>
        </w:rPr>
        <w:t>undermines</w:t>
      </w:r>
      <w:r w:rsidRPr="007B67E2">
        <w:rPr>
          <w:rFonts w:ascii="Times New Roman" w:eastAsia="Times New Roman" w:hAnsi="Times New Roman" w:cs="Times New Roman"/>
          <w:sz w:val="28"/>
          <w:szCs w:val="28"/>
        </w:rPr>
        <w:t xml:space="preserve">” the statement against interest. </w:t>
      </w:r>
      <w:r w:rsidRPr="007B67E2">
        <w:rPr>
          <w:rFonts w:ascii="Times New Roman" w:eastAsia="Times New Roman" w:hAnsi="Times New Roman" w:cs="Times New Roman"/>
          <w:i/>
          <w:sz w:val="28"/>
          <w:szCs w:val="28"/>
        </w:rPr>
        <w:t>Id.</w:t>
      </w:r>
    </w:p>
    <w:p w14:paraId="19700CAC" w14:textId="0B0C76DB" w:rsidR="00D43237" w:rsidRPr="007B67E2" w:rsidRDefault="00FF78DE" w:rsidP="00CA5492">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It is expected this modification will go into effect on </w:t>
      </w:r>
      <w:r w:rsidR="00540B35">
        <w:rPr>
          <w:rFonts w:ascii="Times New Roman" w:eastAsia="Times New Roman" w:hAnsi="Times New Roman" w:cs="Times New Roman"/>
          <w:sz w:val="28"/>
          <w:szCs w:val="28"/>
        </w:rPr>
        <w:t>December 1, 2024</w:t>
      </w:r>
      <w:r w:rsidRPr="007B67E2">
        <w:rPr>
          <w:rFonts w:ascii="Times New Roman" w:eastAsia="Times New Roman" w:hAnsi="Times New Roman" w:cs="Times New Roman"/>
          <w:sz w:val="28"/>
          <w:szCs w:val="28"/>
        </w:rPr>
        <w:t>.</w:t>
      </w:r>
    </w:p>
    <w:p w14:paraId="7AA2D043" w14:textId="2BDEFCDF" w:rsidR="00D43237" w:rsidRPr="007B67E2" w:rsidRDefault="00FF78DE">
      <w:pPr>
        <w:spacing w:line="240" w:lineRule="auto"/>
        <w:ind w:left="720" w:hanging="72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III.</w:t>
      </w:r>
      <w:r w:rsidRPr="007B67E2">
        <w:rPr>
          <w:rFonts w:ascii="Times New Roman" w:eastAsia="Times New Roman" w:hAnsi="Times New Roman" w:cs="Times New Roman"/>
          <w:b/>
          <w:sz w:val="28"/>
          <w:szCs w:val="28"/>
        </w:rPr>
        <w:tab/>
        <w:t>COMMITTEE RECOMMENDS ADOPTION OF FEDERAL RULE AMENDMENT</w:t>
      </w:r>
      <w:r w:rsidR="00695527">
        <w:rPr>
          <w:rFonts w:ascii="Times New Roman" w:eastAsia="Times New Roman" w:hAnsi="Times New Roman" w:cs="Times New Roman"/>
          <w:b/>
          <w:sz w:val="28"/>
          <w:szCs w:val="28"/>
        </w:rPr>
        <w:t xml:space="preserve"> TO ARIZONA’S RULE 804</w:t>
      </w:r>
    </w:p>
    <w:p w14:paraId="531C99DE" w14:textId="77777777" w:rsidR="00D43237" w:rsidRPr="007B67E2" w:rsidRDefault="00D43237">
      <w:pPr>
        <w:spacing w:line="240" w:lineRule="auto"/>
        <w:ind w:left="720" w:hanging="720"/>
        <w:rPr>
          <w:rFonts w:ascii="Times New Roman" w:eastAsia="Times New Roman" w:hAnsi="Times New Roman" w:cs="Times New Roman"/>
          <w:b/>
          <w:sz w:val="28"/>
          <w:szCs w:val="28"/>
        </w:rPr>
      </w:pPr>
    </w:p>
    <w:p w14:paraId="0B47B97C" w14:textId="35FCAA89"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Arizona Advisory Committee on the Rules of Evidence met several times, including</w:t>
      </w:r>
      <w:r w:rsidR="008C3D04">
        <w:rPr>
          <w:rFonts w:ascii="Times New Roman" w:eastAsia="Times New Roman" w:hAnsi="Times New Roman" w:cs="Times New Roman"/>
          <w:sz w:val="28"/>
          <w:szCs w:val="28"/>
        </w:rPr>
        <w:t xml:space="preserve"> on</w:t>
      </w:r>
      <w:r w:rsidRPr="007B67E2">
        <w:rPr>
          <w:rFonts w:ascii="Times New Roman" w:eastAsia="Times New Roman" w:hAnsi="Times New Roman" w:cs="Times New Roman"/>
          <w:sz w:val="28"/>
          <w:szCs w:val="28"/>
        </w:rPr>
        <w:t xml:space="preserve"> December 1, 2023, to discuss amending Arizona Rule 804 to conform to the proposed federal rule change. Current Arizona Rule 804 is identical to its federal counterpart. </w:t>
      </w:r>
    </w:p>
    <w:p w14:paraId="59A389BC"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lastRenderedPageBreak/>
        <w:t xml:space="preserve">It appears this amendment is consistent with Arizona’s current law regarding statements against interest. In </w:t>
      </w:r>
      <w:r w:rsidRPr="007B67E2">
        <w:rPr>
          <w:rFonts w:ascii="Times New Roman" w:eastAsia="Times New Roman" w:hAnsi="Times New Roman" w:cs="Times New Roman"/>
          <w:i/>
          <w:sz w:val="28"/>
          <w:szCs w:val="28"/>
        </w:rPr>
        <w:t>State v. LaGrand</w:t>
      </w:r>
      <w:r w:rsidRPr="007B67E2">
        <w:rPr>
          <w:rFonts w:ascii="Times New Roman" w:eastAsia="Times New Roman" w:hAnsi="Times New Roman" w:cs="Times New Roman"/>
          <w:sz w:val="28"/>
          <w:szCs w:val="28"/>
        </w:rPr>
        <w:t>, this Court set forth several non-exclusive factors to consider when evaluating the trustworthiness of a statement against interest:</w:t>
      </w:r>
    </w:p>
    <w:p w14:paraId="71E7DA45"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existence of corroborating and contradictory evidence.</w:t>
      </w:r>
    </w:p>
    <w:p w14:paraId="66AD7543"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relationship between the declarant and listener.</w:t>
      </w:r>
    </w:p>
    <w:p w14:paraId="27787045"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relationship between the declarant and defendant.</w:t>
      </w:r>
    </w:p>
    <w:p w14:paraId="5277D43E"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number of times the statement is made and its consistency.</w:t>
      </w:r>
    </w:p>
    <w:p w14:paraId="5A162BCF"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amount of time that passed between the event and statements.</w:t>
      </w:r>
    </w:p>
    <w:p w14:paraId="1F9B8383"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Whether the declarant will benefit from the statement.</w:t>
      </w:r>
    </w:p>
    <w:p w14:paraId="2C10EDDE" w14:textId="77777777" w:rsidR="00D43237" w:rsidRPr="007B67E2" w:rsidRDefault="00FF78DE">
      <w:pPr>
        <w:numPr>
          <w:ilvl w:val="0"/>
          <w:numId w:val="1"/>
        </w:numPr>
        <w:spacing w:line="240" w:lineRule="auto"/>
        <w:ind w:left="108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The psychological and physical environment surrounding the statement.</w:t>
      </w:r>
    </w:p>
    <w:p w14:paraId="208216BF" w14:textId="77777777" w:rsidR="00D43237" w:rsidRPr="007B67E2" w:rsidRDefault="00D43237">
      <w:pPr>
        <w:spacing w:line="240" w:lineRule="auto"/>
        <w:rPr>
          <w:rFonts w:ascii="Times New Roman" w:eastAsia="Times New Roman" w:hAnsi="Times New Roman" w:cs="Times New Roman"/>
          <w:sz w:val="28"/>
          <w:szCs w:val="28"/>
        </w:rPr>
      </w:pPr>
    </w:p>
    <w:p w14:paraId="39AF6099" w14:textId="77777777" w:rsidR="00D43237" w:rsidRPr="007B67E2" w:rsidRDefault="00714CAF">
      <w:pPr>
        <w:spacing w:line="480" w:lineRule="auto"/>
        <w:rPr>
          <w:rFonts w:ascii="Times New Roman" w:eastAsia="Times New Roman" w:hAnsi="Times New Roman" w:cs="Times New Roman"/>
          <w:sz w:val="28"/>
          <w:szCs w:val="28"/>
        </w:rPr>
      </w:pPr>
      <w:hyperlink r:id="rId9">
        <w:r w:rsidR="00FF78DE" w:rsidRPr="007B67E2">
          <w:rPr>
            <w:rFonts w:ascii="Times New Roman" w:eastAsia="Times New Roman" w:hAnsi="Times New Roman" w:cs="Times New Roman"/>
            <w:i/>
            <w:color w:val="1155CC"/>
            <w:sz w:val="28"/>
            <w:szCs w:val="28"/>
          </w:rPr>
          <w:t>State v. LaGrand</w:t>
        </w:r>
      </w:hyperlink>
      <w:hyperlink r:id="rId10">
        <w:r w:rsidR="00FF78DE" w:rsidRPr="007B67E2">
          <w:rPr>
            <w:rFonts w:ascii="Times New Roman" w:eastAsia="Times New Roman" w:hAnsi="Times New Roman" w:cs="Times New Roman"/>
            <w:color w:val="1155CC"/>
            <w:sz w:val="28"/>
            <w:szCs w:val="28"/>
          </w:rPr>
          <w:t>, 153 Ariz. 21, 27-28 (1987)</w:t>
        </w:r>
      </w:hyperlink>
      <w:r w:rsidR="00FF78DE" w:rsidRPr="007B67E2">
        <w:rPr>
          <w:rFonts w:ascii="Times New Roman" w:eastAsia="Times New Roman" w:hAnsi="Times New Roman" w:cs="Times New Roman"/>
          <w:sz w:val="28"/>
          <w:szCs w:val="28"/>
        </w:rPr>
        <w:t xml:space="preserve">. Six of these seven factors focus on inherent guarantees of trustworthiness. But the first factor—the existence of corroborating and contradictory evidence—indicates this Court already incorporated the consideration of additional evidence. Further illustrating this conclusion, in </w:t>
      </w:r>
      <w:r w:rsidR="00FF78DE" w:rsidRPr="007B67E2">
        <w:rPr>
          <w:rFonts w:ascii="Times New Roman" w:eastAsia="Times New Roman" w:hAnsi="Times New Roman" w:cs="Times New Roman"/>
          <w:i/>
          <w:sz w:val="28"/>
          <w:szCs w:val="28"/>
        </w:rPr>
        <w:t>State v. Harrod</w:t>
      </w:r>
      <w:r w:rsidR="00FF78DE" w:rsidRPr="007B67E2">
        <w:rPr>
          <w:rFonts w:ascii="Times New Roman" w:eastAsia="Times New Roman" w:hAnsi="Times New Roman" w:cs="Times New Roman"/>
          <w:sz w:val="28"/>
          <w:szCs w:val="28"/>
        </w:rPr>
        <w:t xml:space="preserve">, this Court summarized the rule broadly: “The trial court must examine </w:t>
      </w:r>
      <w:r w:rsidR="00FF78DE" w:rsidRPr="007B67E2">
        <w:rPr>
          <w:rFonts w:ascii="Times New Roman" w:eastAsia="Times New Roman" w:hAnsi="Times New Roman" w:cs="Times New Roman"/>
          <w:i/>
          <w:sz w:val="28"/>
          <w:szCs w:val="28"/>
        </w:rPr>
        <w:t>any</w:t>
      </w:r>
      <w:r w:rsidR="00FF78DE" w:rsidRPr="007B67E2">
        <w:rPr>
          <w:rFonts w:ascii="Times New Roman" w:eastAsia="Times New Roman" w:hAnsi="Times New Roman" w:cs="Times New Roman"/>
          <w:sz w:val="28"/>
          <w:szCs w:val="28"/>
        </w:rPr>
        <w:t xml:space="preserve"> evidence that corroborates or contradicts the statement to find whether a reasonable person could conclude that the statement is true.” </w:t>
      </w:r>
      <w:hyperlink r:id="rId11">
        <w:r w:rsidR="00FF78DE" w:rsidRPr="007B67E2">
          <w:rPr>
            <w:rFonts w:ascii="Times New Roman" w:eastAsia="Times New Roman" w:hAnsi="Times New Roman" w:cs="Times New Roman"/>
            <w:i/>
            <w:color w:val="1155CC"/>
            <w:sz w:val="28"/>
            <w:szCs w:val="28"/>
          </w:rPr>
          <w:t>State v. Harrod</w:t>
        </w:r>
      </w:hyperlink>
      <w:hyperlink r:id="rId12">
        <w:r w:rsidR="00FF78DE" w:rsidRPr="007B67E2">
          <w:rPr>
            <w:rFonts w:ascii="Times New Roman" w:eastAsia="Times New Roman" w:hAnsi="Times New Roman" w:cs="Times New Roman"/>
            <w:color w:val="1155CC"/>
            <w:sz w:val="28"/>
            <w:szCs w:val="28"/>
          </w:rPr>
          <w:t>, 200 Ariz. 309, ¶ 16 (2001)</w:t>
        </w:r>
      </w:hyperlink>
      <w:r w:rsidR="00FF78DE" w:rsidRPr="007B67E2">
        <w:rPr>
          <w:rFonts w:ascii="Times New Roman" w:eastAsia="Times New Roman" w:hAnsi="Times New Roman" w:cs="Times New Roman"/>
          <w:sz w:val="28"/>
          <w:szCs w:val="28"/>
        </w:rPr>
        <w:t xml:space="preserve"> (emphasis added), </w:t>
      </w:r>
      <w:r w:rsidR="00FF78DE" w:rsidRPr="007B67E2">
        <w:rPr>
          <w:rFonts w:ascii="Times New Roman" w:eastAsia="Times New Roman" w:hAnsi="Times New Roman" w:cs="Times New Roman"/>
          <w:i/>
          <w:sz w:val="28"/>
          <w:szCs w:val="28"/>
        </w:rPr>
        <w:t>vacated on other grounds</w:t>
      </w:r>
      <w:r w:rsidR="00FF78DE" w:rsidRPr="007B67E2">
        <w:rPr>
          <w:rFonts w:ascii="Times New Roman" w:eastAsia="Times New Roman" w:hAnsi="Times New Roman" w:cs="Times New Roman"/>
          <w:sz w:val="28"/>
          <w:szCs w:val="28"/>
        </w:rPr>
        <w:t>, 536 U.S. 953 (2002).</w:t>
      </w:r>
    </w:p>
    <w:p w14:paraId="1819A4CD" w14:textId="4B9B5ACE"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Moreover, this Court adopted the same change to Rule 807 that prompted the federal committee to propose this conforming change. </w:t>
      </w:r>
      <w:r w:rsidRPr="007B67E2">
        <w:rPr>
          <w:rFonts w:ascii="Times New Roman" w:eastAsia="Times New Roman" w:hAnsi="Times New Roman" w:cs="Times New Roman"/>
          <w:i/>
          <w:sz w:val="28"/>
          <w:szCs w:val="28"/>
        </w:rPr>
        <w:t>See</w:t>
      </w:r>
      <w:r w:rsidRPr="007B67E2">
        <w:rPr>
          <w:rFonts w:ascii="Times New Roman" w:eastAsia="Times New Roman" w:hAnsi="Times New Roman" w:cs="Times New Roman"/>
          <w:sz w:val="28"/>
          <w:szCs w:val="28"/>
        </w:rPr>
        <w:t xml:space="preserve"> </w:t>
      </w:r>
      <w:r w:rsidR="00CA5492">
        <w:rPr>
          <w:rFonts w:ascii="Times New Roman" w:eastAsia="Times New Roman" w:hAnsi="Times New Roman" w:cs="Times New Roman"/>
          <w:sz w:val="28"/>
          <w:szCs w:val="28"/>
        </w:rPr>
        <w:t xml:space="preserve">Order on </w:t>
      </w:r>
      <w:r w:rsidRPr="007B67E2">
        <w:rPr>
          <w:rFonts w:ascii="Times New Roman" w:eastAsia="Times New Roman" w:hAnsi="Times New Roman" w:cs="Times New Roman"/>
          <w:sz w:val="28"/>
          <w:szCs w:val="28"/>
        </w:rPr>
        <w:t>R-18-0003. The amendment to Rule 804 is thus needed to bring it in alignment with Rule 807.</w:t>
      </w:r>
    </w:p>
    <w:p w14:paraId="2AD4106F" w14:textId="435C4384"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lastRenderedPageBreak/>
        <w:t xml:space="preserve">By a </w:t>
      </w:r>
      <w:r w:rsidRPr="007A39B1">
        <w:rPr>
          <w:rFonts w:ascii="Times New Roman" w:eastAsia="Times New Roman" w:hAnsi="Times New Roman" w:cs="Times New Roman"/>
          <w:sz w:val="28"/>
          <w:szCs w:val="28"/>
        </w:rPr>
        <w:t>unanimous v</w:t>
      </w:r>
      <w:r w:rsidRPr="007B67E2">
        <w:rPr>
          <w:rFonts w:ascii="Times New Roman" w:eastAsia="Times New Roman" w:hAnsi="Times New Roman" w:cs="Times New Roman"/>
          <w:sz w:val="28"/>
          <w:szCs w:val="28"/>
        </w:rPr>
        <w:t>ote, the Committee thus proposes Rule 804 be modified consistent with</w:t>
      </w:r>
      <w:r w:rsidR="007A39B1">
        <w:rPr>
          <w:rFonts w:ascii="Times New Roman" w:eastAsia="Times New Roman" w:hAnsi="Times New Roman" w:cs="Times New Roman"/>
          <w:sz w:val="28"/>
          <w:szCs w:val="28"/>
        </w:rPr>
        <w:t xml:space="preserve"> the expected change to</w:t>
      </w:r>
      <w:r w:rsidRPr="007B67E2">
        <w:rPr>
          <w:rFonts w:ascii="Times New Roman" w:eastAsia="Times New Roman" w:hAnsi="Times New Roman" w:cs="Times New Roman"/>
          <w:sz w:val="28"/>
          <w:szCs w:val="28"/>
        </w:rPr>
        <w:t xml:space="preserve"> Federal Rule</w:t>
      </w:r>
      <w:r w:rsidR="007A39B1">
        <w:rPr>
          <w:rFonts w:ascii="Times New Roman" w:eastAsia="Times New Roman" w:hAnsi="Times New Roman" w:cs="Times New Roman"/>
          <w:sz w:val="28"/>
          <w:szCs w:val="28"/>
        </w:rPr>
        <w:t xml:space="preserve"> of Evidence</w:t>
      </w:r>
      <w:r w:rsidRPr="007B67E2">
        <w:rPr>
          <w:rFonts w:ascii="Times New Roman" w:eastAsia="Times New Roman" w:hAnsi="Times New Roman" w:cs="Times New Roman"/>
          <w:sz w:val="28"/>
          <w:szCs w:val="28"/>
        </w:rPr>
        <w:t xml:space="preserve"> 804:</w:t>
      </w:r>
    </w:p>
    <w:p w14:paraId="24874280" w14:textId="77777777" w:rsidR="00D43237" w:rsidRPr="007B67E2" w:rsidRDefault="00FF78DE">
      <w:pPr>
        <w:spacing w:line="240" w:lineRule="auto"/>
        <w:ind w:left="2160" w:right="720" w:hanging="135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 xml:space="preserve">Rule 804. </w:t>
      </w:r>
      <w:r w:rsidRPr="007B67E2">
        <w:rPr>
          <w:rFonts w:ascii="Times New Roman" w:eastAsia="Times New Roman" w:hAnsi="Times New Roman" w:cs="Times New Roman"/>
          <w:b/>
          <w:sz w:val="28"/>
          <w:szCs w:val="28"/>
        </w:rPr>
        <w:tab/>
        <w:t>Exceptions to the Rule Against Hearsay—When the Declarant Is Unavailable as a Witness</w:t>
      </w:r>
    </w:p>
    <w:p w14:paraId="740EE99C" w14:textId="77777777" w:rsidR="00D43237" w:rsidRPr="007B67E2" w:rsidRDefault="00D43237">
      <w:pPr>
        <w:spacing w:line="240" w:lineRule="auto"/>
        <w:ind w:left="720" w:right="720"/>
        <w:rPr>
          <w:rFonts w:ascii="Times New Roman" w:eastAsia="Times New Roman" w:hAnsi="Times New Roman" w:cs="Times New Roman"/>
          <w:b/>
          <w:sz w:val="28"/>
          <w:szCs w:val="28"/>
        </w:rPr>
      </w:pPr>
    </w:p>
    <w:p w14:paraId="7B24FFF4" w14:textId="77777777" w:rsidR="00D43237" w:rsidRPr="007B67E2" w:rsidRDefault="00FF78DE">
      <w:pPr>
        <w:spacing w:line="240" w:lineRule="auto"/>
        <w:ind w:left="720" w:right="720"/>
        <w:jc w:val="center"/>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 * * *</w:t>
      </w:r>
    </w:p>
    <w:p w14:paraId="557C1E43"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15A1DC77"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t>The Exceptions. * * *</w:t>
      </w:r>
    </w:p>
    <w:p w14:paraId="7D9378D3"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1D8F2E51" w14:textId="77777777" w:rsidR="00D43237" w:rsidRPr="007B67E2" w:rsidRDefault="00FF78DE">
      <w:pPr>
        <w:spacing w:line="240" w:lineRule="auto"/>
        <w:ind w:left="720" w:right="720"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(3) </w:t>
      </w:r>
      <w:r w:rsidRPr="007B67E2">
        <w:rPr>
          <w:rFonts w:ascii="Times New Roman" w:eastAsia="Times New Roman" w:hAnsi="Times New Roman" w:cs="Times New Roman"/>
          <w:sz w:val="28"/>
          <w:szCs w:val="28"/>
        </w:rPr>
        <w:tab/>
        <w:t>Statement Against Interest. A statement that:</w:t>
      </w:r>
    </w:p>
    <w:p w14:paraId="18F0900D" w14:textId="77777777" w:rsidR="00D43237" w:rsidRPr="007B67E2" w:rsidRDefault="00D43237">
      <w:pPr>
        <w:spacing w:line="240" w:lineRule="auto"/>
        <w:ind w:left="720" w:right="720" w:firstLine="720"/>
        <w:rPr>
          <w:rFonts w:ascii="Times New Roman" w:eastAsia="Times New Roman" w:hAnsi="Times New Roman" w:cs="Times New Roman"/>
          <w:sz w:val="28"/>
          <w:szCs w:val="28"/>
        </w:rPr>
      </w:pPr>
    </w:p>
    <w:p w14:paraId="5FD30628" w14:textId="77777777" w:rsidR="00D43237" w:rsidRPr="007B67E2" w:rsidRDefault="00FF78DE">
      <w:pPr>
        <w:spacing w:line="240" w:lineRule="auto"/>
        <w:ind w:left="288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(A) </w:t>
      </w:r>
      <w:r w:rsidRPr="007B67E2">
        <w:rPr>
          <w:rFonts w:ascii="Times New Roman" w:eastAsia="Times New Roman" w:hAnsi="Times New Roman" w:cs="Times New Roman"/>
          <w:sz w:val="28"/>
          <w:szCs w:val="28"/>
        </w:rPr>
        <w:tab/>
        <w:t>a reasonable person in the declarant’s position would have made only if the person believed it to be true because, when made, it was so contrary to the declarant’s proprietary or pecuniary interest or had so great a tendency to invalidate the declarant’s claim against someone else or to expose the declarant to civil or criminal liability; and</w:t>
      </w:r>
    </w:p>
    <w:p w14:paraId="3DA018A7" w14:textId="77777777" w:rsidR="00D43237" w:rsidRPr="007B67E2" w:rsidRDefault="00D43237">
      <w:pPr>
        <w:spacing w:line="240" w:lineRule="auto"/>
        <w:ind w:left="2160" w:right="720"/>
        <w:rPr>
          <w:rFonts w:ascii="Times New Roman" w:eastAsia="Times New Roman" w:hAnsi="Times New Roman" w:cs="Times New Roman"/>
          <w:sz w:val="28"/>
          <w:szCs w:val="28"/>
        </w:rPr>
      </w:pPr>
    </w:p>
    <w:p w14:paraId="41DE9CA1" w14:textId="2B2D5759" w:rsidR="00D43237" w:rsidRPr="007B67E2" w:rsidRDefault="00FF78DE">
      <w:pPr>
        <w:spacing w:line="240" w:lineRule="auto"/>
        <w:ind w:left="288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r>
      <w:r w:rsidR="00CA5492" w:rsidRPr="007B67E2">
        <w:rPr>
          <w:rFonts w:ascii="Times New Roman" w:eastAsia="Times New Roman" w:hAnsi="Times New Roman" w:cs="Times New Roman"/>
          <w:sz w:val="28"/>
          <w:szCs w:val="28"/>
          <w:u w:val="single"/>
        </w:rPr>
        <w:t>if offered in a criminal case as one that tends to expose the declarant to criminal liability,</w:t>
      </w:r>
      <w:r w:rsidR="00CA5492" w:rsidRPr="007B67E2">
        <w:rPr>
          <w:rFonts w:ascii="Times New Roman" w:eastAsia="Times New Roman" w:hAnsi="Times New Roman" w:cs="Times New Roman"/>
          <w:sz w:val="28"/>
          <w:szCs w:val="28"/>
        </w:rPr>
        <w:t xml:space="preserve"> </w:t>
      </w:r>
      <w:r w:rsidR="00CA5492" w:rsidRPr="007A39B1">
        <w:rPr>
          <w:rFonts w:ascii="Times New Roman" w:eastAsia="Times New Roman" w:hAnsi="Times New Roman" w:cs="Times New Roman"/>
          <w:sz w:val="28"/>
          <w:szCs w:val="28"/>
        </w:rPr>
        <w:t>is</w:t>
      </w:r>
      <w:r w:rsidR="00CA5492" w:rsidRPr="007B67E2">
        <w:rPr>
          <w:rFonts w:ascii="Times New Roman" w:eastAsia="Times New Roman" w:hAnsi="Times New Roman" w:cs="Times New Roman"/>
          <w:sz w:val="28"/>
          <w:szCs w:val="28"/>
        </w:rPr>
        <w:t xml:space="preserve"> supported by corroborating circumstances that clearly indicate its trustworthiness</w:t>
      </w:r>
      <w:r w:rsidR="00CA5492" w:rsidRPr="007A39B1">
        <w:rPr>
          <w:rFonts w:ascii="Times New Roman" w:eastAsia="Times New Roman" w:hAnsi="Times New Roman" w:cs="Times New Roman"/>
          <w:strike/>
          <w:sz w:val="28"/>
          <w:szCs w:val="28"/>
        </w:rPr>
        <w:t>, if offered in a criminal case as one that tends to expose the declarant to criminal liability—</w:t>
      </w:r>
      <w:r w:rsidR="00CA5492" w:rsidRPr="007B67E2">
        <w:rPr>
          <w:rFonts w:ascii="Times New Roman" w:eastAsia="Times New Roman" w:hAnsi="Times New Roman" w:cs="Times New Roman"/>
          <w:sz w:val="28"/>
          <w:szCs w:val="28"/>
          <w:u w:val="single"/>
        </w:rPr>
        <w:t xml:space="preserve">after considering the totality of circumstances under which it was made and any evidence that supports or </w:t>
      </w:r>
      <w:r w:rsidR="00CA5492">
        <w:rPr>
          <w:rFonts w:ascii="Times New Roman" w:eastAsia="Times New Roman" w:hAnsi="Times New Roman" w:cs="Times New Roman"/>
          <w:sz w:val="28"/>
          <w:szCs w:val="28"/>
          <w:u w:val="single"/>
        </w:rPr>
        <w:t>undermines</w:t>
      </w:r>
      <w:r w:rsidR="00CA5492" w:rsidRPr="007B67E2">
        <w:rPr>
          <w:rFonts w:ascii="Times New Roman" w:eastAsia="Times New Roman" w:hAnsi="Times New Roman" w:cs="Times New Roman"/>
          <w:sz w:val="28"/>
          <w:szCs w:val="28"/>
          <w:u w:val="single"/>
        </w:rPr>
        <w:t xml:space="preserve"> it</w:t>
      </w:r>
      <w:r w:rsidRPr="007B67E2">
        <w:rPr>
          <w:rFonts w:ascii="Times New Roman" w:eastAsia="Times New Roman" w:hAnsi="Times New Roman" w:cs="Times New Roman"/>
          <w:sz w:val="28"/>
          <w:szCs w:val="28"/>
        </w:rPr>
        <w:t>.</w:t>
      </w:r>
    </w:p>
    <w:p w14:paraId="142B9DCA" w14:textId="77777777" w:rsidR="00D43237" w:rsidRPr="007B67E2" w:rsidRDefault="00D43237">
      <w:pPr>
        <w:spacing w:line="480" w:lineRule="auto"/>
        <w:rPr>
          <w:rFonts w:ascii="Times New Roman" w:eastAsia="Times New Roman" w:hAnsi="Times New Roman" w:cs="Times New Roman"/>
          <w:sz w:val="28"/>
          <w:szCs w:val="28"/>
        </w:rPr>
      </w:pPr>
    </w:p>
    <w:p w14:paraId="685104EE" w14:textId="77777777" w:rsidR="00D43237" w:rsidRPr="007B67E2" w:rsidRDefault="00FF78DE">
      <w:pPr>
        <w:spacing w:line="480" w:lineRule="auto"/>
        <w:jc w:val="center"/>
        <w:rPr>
          <w:rFonts w:ascii="Times New Roman" w:eastAsia="Times New Roman" w:hAnsi="Times New Roman" w:cs="Times New Roman"/>
          <w:b/>
          <w:sz w:val="28"/>
          <w:szCs w:val="28"/>
        </w:rPr>
      </w:pPr>
      <w:r w:rsidRPr="007B67E2">
        <w:rPr>
          <w:rFonts w:ascii="Times New Roman" w:hAnsi="Times New Roman" w:cs="Times New Roman"/>
          <w:sz w:val="28"/>
          <w:szCs w:val="28"/>
        </w:rPr>
        <w:br w:type="page"/>
      </w:r>
    </w:p>
    <w:p w14:paraId="0737014C" w14:textId="77777777" w:rsidR="00D43237" w:rsidRPr="007B67E2" w:rsidRDefault="00FF78DE">
      <w:pPr>
        <w:spacing w:line="480" w:lineRule="auto"/>
        <w:jc w:val="center"/>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lastRenderedPageBreak/>
        <w:t>CONCLUSION</w:t>
      </w:r>
    </w:p>
    <w:p w14:paraId="64396420" w14:textId="44C00652"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Petitioners respectfully request that this Court consider this Petition and proposed rule change at its earliest convenience. Petitioners additionally request that the Petition be circulated for public comment until </w:t>
      </w:r>
      <w:r w:rsidR="00CA5492">
        <w:rPr>
          <w:rFonts w:ascii="Times New Roman" w:eastAsia="Times New Roman" w:hAnsi="Times New Roman" w:cs="Times New Roman"/>
          <w:sz w:val="28"/>
          <w:szCs w:val="28"/>
        </w:rPr>
        <w:t>May 1, 2024</w:t>
      </w:r>
      <w:r w:rsidRPr="007B67E2">
        <w:rPr>
          <w:rFonts w:ascii="Times New Roman" w:eastAsia="Times New Roman" w:hAnsi="Times New Roman" w:cs="Times New Roman"/>
          <w:sz w:val="28"/>
          <w:szCs w:val="28"/>
        </w:rPr>
        <w:t>, and that the Court adopt the proposed rule as presented, or as modified in light of comments received from the public and any replies, with an effective date of January 1, 2025.</w:t>
      </w:r>
    </w:p>
    <w:p w14:paraId="08C2FD37" w14:textId="77777777" w:rsidR="00D43237" w:rsidRPr="007B67E2" w:rsidRDefault="00FF78DE">
      <w:pPr>
        <w:spacing w:line="480" w:lineRule="auto"/>
        <w:ind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  </w:t>
      </w:r>
    </w:p>
    <w:p w14:paraId="3B78D570" w14:textId="032F64E4" w:rsidR="00D43237" w:rsidRPr="007B67E2" w:rsidRDefault="00FF78DE">
      <w:pPr>
        <w:spacing w:line="240" w:lineRule="auto"/>
        <w:ind w:left="216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DATED this _</w:t>
      </w:r>
      <w:r w:rsidR="00CA5492">
        <w:rPr>
          <w:rFonts w:ascii="Times New Roman" w:eastAsia="Times New Roman" w:hAnsi="Times New Roman" w:cs="Times New Roman"/>
          <w:sz w:val="28"/>
          <w:szCs w:val="28"/>
        </w:rPr>
        <w:t>9th</w:t>
      </w:r>
      <w:r w:rsidRPr="007B67E2">
        <w:rPr>
          <w:rFonts w:ascii="Times New Roman" w:eastAsia="Times New Roman" w:hAnsi="Times New Roman" w:cs="Times New Roman"/>
          <w:sz w:val="28"/>
          <w:szCs w:val="28"/>
        </w:rPr>
        <w:t xml:space="preserve">_ day of January, 2024. </w:t>
      </w:r>
    </w:p>
    <w:p w14:paraId="25A0F4D8" w14:textId="77777777" w:rsidR="00D43237" w:rsidRPr="007B67E2" w:rsidRDefault="00D43237">
      <w:pPr>
        <w:spacing w:line="240" w:lineRule="auto"/>
        <w:ind w:left="3600"/>
        <w:rPr>
          <w:rFonts w:ascii="Times New Roman" w:eastAsia="Times New Roman" w:hAnsi="Times New Roman" w:cs="Times New Roman"/>
          <w:i/>
          <w:sz w:val="28"/>
          <w:szCs w:val="28"/>
          <w:u w:val="single"/>
        </w:rPr>
      </w:pPr>
    </w:p>
    <w:p w14:paraId="2ADDBD10" w14:textId="77777777" w:rsidR="00D43237" w:rsidRPr="007B67E2" w:rsidRDefault="00FF78DE">
      <w:pPr>
        <w:spacing w:line="240" w:lineRule="auto"/>
        <w:ind w:left="2880"/>
        <w:rPr>
          <w:rFonts w:ascii="Times New Roman" w:eastAsia="Times New Roman" w:hAnsi="Times New Roman" w:cs="Times New Roman"/>
          <w:i/>
          <w:sz w:val="28"/>
          <w:szCs w:val="28"/>
          <w:u w:val="single"/>
        </w:rPr>
      </w:pPr>
      <w:r w:rsidRPr="007B67E2">
        <w:rPr>
          <w:rFonts w:ascii="Times New Roman" w:eastAsia="Times New Roman" w:hAnsi="Times New Roman" w:cs="Times New Roman"/>
          <w:i/>
          <w:sz w:val="28"/>
          <w:szCs w:val="28"/>
          <w:u w:val="single"/>
        </w:rPr>
        <w:t xml:space="preserve"> /s/ Sara J. Agne</w:t>
      </w:r>
      <w:r w:rsidRPr="007B67E2">
        <w:rPr>
          <w:rFonts w:ascii="Times New Roman" w:eastAsia="Times New Roman" w:hAnsi="Times New Roman" w:cs="Times New Roman"/>
          <w:i/>
          <w:sz w:val="28"/>
          <w:szCs w:val="28"/>
          <w:u w:val="single"/>
        </w:rPr>
        <w:tab/>
      </w:r>
      <w:r w:rsidRPr="007B67E2">
        <w:rPr>
          <w:rFonts w:ascii="Times New Roman" w:eastAsia="Times New Roman" w:hAnsi="Times New Roman" w:cs="Times New Roman"/>
          <w:i/>
          <w:sz w:val="28"/>
          <w:szCs w:val="28"/>
          <w:u w:val="single"/>
        </w:rPr>
        <w:tab/>
      </w:r>
      <w:r w:rsidRPr="007B67E2">
        <w:rPr>
          <w:rFonts w:ascii="Times New Roman" w:eastAsia="Times New Roman" w:hAnsi="Times New Roman" w:cs="Times New Roman"/>
          <w:i/>
          <w:sz w:val="28"/>
          <w:szCs w:val="28"/>
          <w:u w:val="single"/>
        </w:rPr>
        <w:tab/>
      </w:r>
      <w:r w:rsidRPr="007B67E2">
        <w:rPr>
          <w:rFonts w:ascii="Times New Roman" w:eastAsia="Times New Roman" w:hAnsi="Times New Roman" w:cs="Times New Roman"/>
          <w:i/>
          <w:sz w:val="28"/>
          <w:szCs w:val="28"/>
          <w:u w:val="single"/>
        </w:rPr>
        <w:tab/>
      </w:r>
    </w:p>
    <w:p w14:paraId="17AAEA4D" w14:textId="77777777" w:rsidR="00D43237" w:rsidRPr="007B67E2" w:rsidRDefault="00FF78DE">
      <w:pPr>
        <w:spacing w:line="240" w:lineRule="auto"/>
        <w:ind w:left="288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Sara J. Agne </w:t>
      </w:r>
    </w:p>
    <w:p w14:paraId="12EB5D7F" w14:textId="77777777" w:rsidR="00D43237" w:rsidRPr="007B67E2" w:rsidRDefault="00FF78DE">
      <w:pPr>
        <w:spacing w:line="240" w:lineRule="auto"/>
        <w:ind w:left="288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Co-Chair, Advisory Committee on Rules of Evidence </w:t>
      </w:r>
    </w:p>
    <w:p w14:paraId="6A6E9C96" w14:textId="77777777" w:rsidR="00D43237" w:rsidRPr="007B67E2" w:rsidRDefault="00FF78DE">
      <w:pPr>
        <w:spacing w:line="240" w:lineRule="auto"/>
        <w:ind w:left="2880"/>
        <w:rPr>
          <w:rFonts w:ascii="Times New Roman" w:eastAsia="Times New Roman" w:hAnsi="Times New Roman" w:cs="Times New Roman"/>
          <w:i/>
          <w:sz w:val="28"/>
          <w:szCs w:val="28"/>
          <w:u w:val="single"/>
        </w:rPr>
      </w:pPr>
      <w:r w:rsidRPr="007B67E2">
        <w:rPr>
          <w:rFonts w:ascii="Times New Roman" w:eastAsia="Times New Roman" w:hAnsi="Times New Roman" w:cs="Times New Roman"/>
          <w:i/>
          <w:sz w:val="28"/>
          <w:szCs w:val="28"/>
          <w:u w:val="single"/>
        </w:rPr>
        <w:br/>
        <w:t xml:space="preserve"> /s/ Maria Elena Cruz w/ permission</w:t>
      </w:r>
      <w:r w:rsidRPr="007B67E2">
        <w:rPr>
          <w:rFonts w:ascii="Times New Roman" w:eastAsia="Times New Roman" w:hAnsi="Times New Roman" w:cs="Times New Roman"/>
          <w:i/>
          <w:sz w:val="28"/>
          <w:szCs w:val="28"/>
          <w:u w:val="single"/>
        </w:rPr>
        <w:tab/>
      </w:r>
    </w:p>
    <w:p w14:paraId="307A2353" w14:textId="77777777" w:rsidR="00D43237" w:rsidRPr="007B67E2" w:rsidRDefault="00FF78DE">
      <w:pPr>
        <w:spacing w:line="240" w:lineRule="auto"/>
        <w:ind w:left="288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Maria Elena Cruz </w:t>
      </w:r>
    </w:p>
    <w:p w14:paraId="58A9F228" w14:textId="77777777" w:rsidR="00D43237" w:rsidRPr="007B67E2" w:rsidRDefault="00FF78DE">
      <w:pPr>
        <w:spacing w:line="240" w:lineRule="auto"/>
        <w:ind w:left="288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Co-Chair, Advisory Committee on Rules of Evidence </w:t>
      </w:r>
    </w:p>
    <w:p w14:paraId="0ABBBB8E" w14:textId="77777777" w:rsidR="00D43237" w:rsidRPr="007B67E2" w:rsidRDefault="00FF78DE">
      <w:pPr>
        <w:spacing w:line="480" w:lineRule="auto"/>
        <w:rPr>
          <w:rFonts w:ascii="Times New Roman" w:eastAsia="Times New Roman" w:hAnsi="Times New Roman" w:cs="Times New Roman"/>
          <w:sz w:val="28"/>
          <w:szCs w:val="28"/>
        </w:rPr>
      </w:pPr>
      <w:r w:rsidRPr="007B67E2">
        <w:rPr>
          <w:rFonts w:ascii="Times New Roman" w:hAnsi="Times New Roman" w:cs="Times New Roman"/>
          <w:sz w:val="28"/>
          <w:szCs w:val="28"/>
        </w:rPr>
        <w:br w:type="page"/>
      </w:r>
    </w:p>
    <w:p w14:paraId="5F16F3F3" w14:textId="77777777" w:rsidR="00D43237" w:rsidRPr="007B67E2" w:rsidRDefault="00FF78DE">
      <w:pPr>
        <w:spacing w:line="480" w:lineRule="auto"/>
        <w:jc w:val="center"/>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lastRenderedPageBreak/>
        <w:t>ATTACHMENT</w:t>
      </w:r>
      <w:r w:rsidRPr="007B67E2">
        <w:rPr>
          <w:rFonts w:ascii="Times New Roman" w:eastAsia="Times New Roman" w:hAnsi="Times New Roman" w:cs="Times New Roman"/>
          <w:b/>
          <w:sz w:val="28"/>
          <w:szCs w:val="28"/>
          <w:vertAlign w:val="superscript"/>
        </w:rPr>
        <w:footnoteReference w:id="4"/>
      </w:r>
    </w:p>
    <w:p w14:paraId="0E99A86B" w14:textId="77777777" w:rsidR="00D43237" w:rsidRPr="007B67E2" w:rsidRDefault="00FF78DE">
      <w:pPr>
        <w:spacing w:line="480" w:lineRule="auto"/>
        <w:jc w:val="center"/>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ARIZONA RULE OF EVIDENCE 804</w:t>
      </w:r>
    </w:p>
    <w:p w14:paraId="37DEBD01" w14:textId="77777777" w:rsidR="00D43237" w:rsidRPr="007B67E2" w:rsidRDefault="00FF78DE">
      <w:pPr>
        <w:spacing w:line="240" w:lineRule="auto"/>
        <w:ind w:left="1440" w:right="720" w:hanging="1440"/>
        <w:rPr>
          <w:rFonts w:ascii="Times New Roman" w:eastAsia="Times New Roman" w:hAnsi="Times New Roman" w:cs="Times New Roman"/>
          <w:b/>
          <w:sz w:val="28"/>
          <w:szCs w:val="28"/>
        </w:rPr>
      </w:pPr>
      <w:r w:rsidRPr="007B67E2">
        <w:rPr>
          <w:rFonts w:ascii="Times New Roman" w:eastAsia="Times New Roman" w:hAnsi="Times New Roman" w:cs="Times New Roman"/>
          <w:b/>
          <w:sz w:val="28"/>
          <w:szCs w:val="28"/>
        </w:rPr>
        <w:t xml:space="preserve">Rule 804. </w:t>
      </w:r>
      <w:r w:rsidRPr="007B67E2">
        <w:rPr>
          <w:rFonts w:ascii="Times New Roman" w:eastAsia="Times New Roman" w:hAnsi="Times New Roman" w:cs="Times New Roman"/>
          <w:b/>
          <w:sz w:val="28"/>
          <w:szCs w:val="28"/>
        </w:rPr>
        <w:tab/>
        <w:t>Exceptions to the Rule Against Hearsay—When the Declarant Is Unavailable as a Witness</w:t>
      </w:r>
    </w:p>
    <w:p w14:paraId="7705A8AD" w14:textId="77777777" w:rsidR="00D43237" w:rsidRPr="007B67E2" w:rsidRDefault="00D43237">
      <w:pPr>
        <w:spacing w:line="240" w:lineRule="auto"/>
        <w:ind w:left="720" w:right="720"/>
        <w:rPr>
          <w:rFonts w:ascii="Times New Roman" w:eastAsia="Times New Roman" w:hAnsi="Times New Roman" w:cs="Times New Roman"/>
          <w:b/>
          <w:sz w:val="28"/>
          <w:szCs w:val="28"/>
        </w:rPr>
      </w:pPr>
    </w:p>
    <w:p w14:paraId="2F24E278"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(a)</w:t>
      </w:r>
      <w:r w:rsidRPr="007B67E2">
        <w:rPr>
          <w:rFonts w:ascii="Times New Roman" w:eastAsia="Times New Roman" w:hAnsi="Times New Roman" w:cs="Times New Roman"/>
          <w:sz w:val="28"/>
          <w:szCs w:val="28"/>
        </w:rPr>
        <w:tab/>
        <w:t>[No change]</w:t>
      </w:r>
    </w:p>
    <w:p w14:paraId="3510E58B"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6442D811"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r>
      <w:r w:rsidRPr="007B67E2">
        <w:rPr>
          <w:rFonts w:ascii="Times New Roman" w:eastAsia="Times New Roman" w:hAnsi="Times New Roman" w:cs="Times New Roman"/>
          <w:b/>
          <w:sz w:val="28"/>
          <w:szCs w:val="28"/>
        </w:rPr>
        <w:t xml:space="preserve">The Exceptions. </w:t>
      </w:r>
      <w:r w:rsidRPr="007B67E2">
        <w:rPr>
          <w:rFonts w:ascii="Times New Roman" w:eastAsia="Times New Roman" w:hAnsi="Times New Roman" w:cs="Times New Roman"/>
          <w:sz w:val="28"/>
          <w:szCs w:val="28"/>
        </w:rPr>
        <w:t>[No change to text in (b)]</w:t>
      </w:r>
    </w:p>
    <w:p w14:paraId="7367E475"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73B44600" w14:textId="77777777" w:rsidR="00D43237" w:rsidRPr="007B67E2" w:rsidRDefault="00FF78DE">
      <w:pPr>
        <w:spacing w:line="240" w:lineRule="auto"/>
        <w:ind w:left="720" w:right="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ab/>
        <w:t>(1)-(2)</w:t>
      </w:r>
      <w:r w:rsidRPr="007B67E2">
        <w:rPr>
          <w:rFonts w:ascii="Times New Roman" w:eastAsia="Times New Roman" w:hAnsi="Times New Roman" w:cs="Times New Roman"/>
          <w:sz w:val="28"/>
          <w:szCs w:val="28"/>
        </w:rPr>
        <w:tab/>
        <w:t>[No change]</w:t>
      </w:r>
    </w:p>
    <w:p w14:paraId="65EE649C" w14:textId="77777777" w:rsidR="00D43237" w:rsidRPr="007B67E2" w:rsidRDefault="00D43237">
      <w:pPr>
        <w:spacing w:line="240" w:lineRule="auto"/>
        <w:ind w:left="720" w:right="720"/>
        <w:rPr>
          <w:rFonts w:ascii="Times New Roman" w:eastAsia="Times New Roman" w:hAnsi="Times New Roman" w:cs="Times New Roman"/>
          <w:sz w:val="28"/>
          <w:szCs w:val="28"/>
        </w:rPr>
      </w:pPr>
    </w:p>
    <w:p w14:paraId="0596A332" w14:textId="77777777" w:rsidR="00D43237" w:rsidRPr="007B67E2" w:rsidRDefault="00FF78DE">
      <w:pPr>
        <w:spacing w:line="240" w:lineRule="auto"/>
        <w:ind w:left="720" w:right="720" w:firstLine="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(3) </w:t>
      </w:r>
      <w:r w:rsidRPr="007B67E2">
        <w:rPr>
          <w:rFonts w:ascii="Times New Roman" w:eastAsia="Times New Roman" w:hAnsi="Times New Roman" w:cs="Times New Roman"/>
          <w:sz w:val="28"/>
          <w:szCs w:val="28"/>
        </w:rPr>
        <w:tab/>
      </w:r>
      <w:r w:rsidRPr="007B67E2">
        <w:rPr>
          <w:rFonts w:ascii="Times New Roman" w:eastAsia="Times New Roman" w:hAnsi="Times New Roman" w:cs="Times New Roman"/>
          <w:b/>
          <w:sz w:val="28"/>
          <w:szCs w:val="28"/>
        </w:rPr>
        <w:t>Statement Against Interest.</w:t>
      </w:r>
      <w:r w:rsidRPr="007B67E2">
        <w:rPr>
          <w:rFonts w:ascii="Times New Roman" w:eastAsia="Times New Roman" w:hAnsi="Times New Roman" w:cs="Times New Roman"/>
          <w:sz w:val="28"/>
          <w:szCs w:val="28"/>
        </w:rPr>
        <w:t xml:space="preserve"> A statement that:</w:t>
      </w:r>
    </w:p>
    <w:p w14:paraId="7EFF6590" w14:textId="77777777" w:rsidR="00D43237" w:rsidRPr="007B67E2" w:rsidRDefault="00D43237">
      <w:pPr>
        <w:spacing w:line="240" w:lineRule="auto"/>
        <w:ind w:left="720" w:right="720" w:firstLine="720"/>
        <w:rPr>
          <w:rFonts w:ascii="Times New Roman" w:eastAsia="Times New Roman" w:hAnsi="Times New Roman" w:cs="Times New Roman"/>
          <w:sz w:val="28"/>
          <w:szCs w:val="28"/>
        </w:rPr>
      </w:pPr>
    </w:p>
    <w:p w14:paraId="26E8528E" w14:textId="77777777" w:rsidR="00D43237" w:rsidRPr="007B67E2" w:rsidRDefault="00FF78DE">
      <w:pPr>
        <w:spacing w:line="240" w:lineRule="auto"/>
        <w:ind w:left="288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(A) </w:t>
      </w:r>
      <w:r w:rsidRPr="007B67E2">
        <w:rPr>
          <w:rFonts w:ascii="Times New Roman" w:eastAsia="Times New Roman" w:hAnsi="Times New Roman" w:cs="Times New Roman"/>
          <w:sz w:val="28"/>
          <w:szCs w:val="28"/>
        </w:rPr>
        <w:tab/>
        <w:t>[No change]</w:t>
      </w:r>
    </w:p>
    <w:p w14:paraId="39B3D433" w14:textId="77777777" w:rsidR="00D43237" w:rsidRPr="007B67E2" w:rsidRDefault="00D43237">
      <w:pPr>
        <w:spacing w:line="240" w:lineRule="auto"/>
        <w:ind w:left="2160" w:right="720"/>
        <w:rPr>
          <w:rFonts w:ascii="Times New Roman" w:eastAsia="Times New Roman" w:hAnsi="Times New Roman" w:cs="Times New Roman"/>
          <w:sz w:val="28"/>
          <w:szCs w:val="28"/>
        </w:rPr>
      </w:pPr>
    </w:p>
    <w:p w14:paraId="42E06E5C" w14:textId="1DED3B48" w:rsidR="00D43237" w:rsidRPr="007B67E2" w:rsidRDefault="00FF78DE">
      <w:pPr>
        <w:spacing w:line="240" w:lineRule="auto"/>
        <w:ind w:left="288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(B) </w:t>
      </w:r>
      <w:r w:rsidRPr="007B67E2">
        <w:rPr>
          <w:rFonts w:ascii="Times New Roman" w:eastAsia="Times New Roman" w:hAnsi="Times New Roman" w:cs="Times New Roman"/>
          <w:sz w:val="28"/>
          <w:szCs w:val="28"/>
        </w:rPr>
        <w:tab/>
      </w:r>
      <w:r w:rsidR="00CA5492" w:rsidRPr="007B67E2">
        <w:rPr>
          <w:rFonts w:ascii="Times New Roman" w:eastAsia="Times New Roman" w:hAnsi="Times New Roman" w:cs="Times New Roman"/>
          <w:sz w:val="28"/>
          <w:szCs w:val="28"/>
          <w:u w:val="single"/>
        </w:rPr>
        <w:t>if offered in a criminal case as one that tends to expose the declarant to criminal liability,</w:t>
      </w:r>
      <w:r w:rsidR="00CA5492" w:rsidRPr="007B67E2">
        <w:rPr>
          <w:rFonts w:ascii="Times New Roman" w:eastAsia="Times New Roman" w:hAnsi="Times New Roman" w:cs="Times New Roman"/>
          <w:sz w:val="28"/>
          <w:szCs w:val="28"/>
        </w:rPr>
        <w:t xml:space="preserve"> </w:t>
      </w:r>
      <w:r w:rsidR="00CA5492" w:rsidRPr="007A39B1">
        <w:rPr>
          <w:rFonts w:ascii="Times New Roman" w:eastAsia="Times New Roman" w:hAnsi="Times New Roman" w:cs="Times New Roman"/>
          <w:sz w:val="28"/>
          <w:szCs w:val="28"/>
        </w:rPr>
        <w:t>is</w:t>
      </w:r>
      <w:r w:rsidR="00CA5492" w:rsidRPr="007B67E2">
        <w:rPr>
          <w:rFonts w:ascii="Times New Roman" w:eastAsia="Times New Roman" w:hAnsi="Times New Roman" w:cs="Times New Roman"/>
          <w:sz w:val="28"/>
          <w:szCs w:val="28"/>
        </w:rPr>
        <w:t xml:space="preserve"> supported by corroborating circumstances that clearly indicate its trustworthiness</w:t>
      </w:r>
      <w:r w:rsidR="00CA5492" w:rsidRPr="007A39B1">
        <w:rPr>
          <w:rFonts w:ascii="Times New Roman" w:eastAsia="Times New Roman" w:hAnsi="Times New Roman" w:cs="Times New Roman"/>
          <w:strike/>
          <w:sz w:val="28"/>
          <w:szCs w:val="28"/>
        </w:rPr>
        <w:t>, if offered in a criminal case as one that tends to expose the declarant to criminal liability—</w:t>
      </w:r>
      <w:r w:rsidR="00CA5492" w:rsidRPr="007B67E2">
        <w:rPr>
          <w:rFonts w:ascii="Times New Roman" w:eastAsia="Times New Roman" w:hAnsi="Times New Roman" w:cs="Times New Roman"/>
          <w:sz w:val="28"/>
          <w:szCs w:val="28"/>
          <w:u w:val="single"/>
        </w:rPr>
        <w:t xml:space="preserve">after considering the totality of circumstances under which it was made and any evidence that supports or </w:t>
      </w:r>
      <w:r w:rsidR="00CA5492">
        <w:rPr>
          <w:rFonts w:ascii="Times New Roman" w:eastAsia="Times New Roman" w:hAnsi="Times New Roman" w:cs="Times New Roman"/>
          <w:sz w:val="28"/>
          <w:szCs w:val="28"/>
          <w:u w:val="single"/>
        </w:rPr>
        <w:t>undermines</w:t>
      </w:r>
      <w:r w:rsidR="00CA5492" w:rsidRPr="007B67E2">
        <w:rPr>
          <w:rFonts w:ascii="Times New Roman" w:eastAsia="Times New Roman" w:hAnsi="Times New Roman" w:cs="Times New Roman"/>
          <w:sz w:val="28"/>
          <w:szCs w:val="28"/>
          <w:u w:val="single"/>
        </w:rPr>
        <w:t xml:space="preserve"> it</w:t>
      </w:r>
      <w:r w:rsidRPr="007B67E2">
        <w:rPr>
          <w:rFonts w:ascii="Times New Roman" w:eastAsia="Times New Roman" w:hAnsi="Times New Roman" w:cs="Times New Roman"/>
          <w:sz w:val="28"/>
          <w:szCs w:val="28"/>
        </w:rPr>
        <w:t>.</w:t>
      </w:r>
    </w:p>
    <w:p w14:paraId="36F6A45A" w14:textId="77777777" w:rsidR="00D43237" w:rsidRPr="007B67E2" w:rsidRDefault="00D43237">
      <w:pPr>
        <w:spacing w:line="240" w:lineRule="auto"/>
        <w:ind w:left="2880" w:right="720" w:hanging="720"/>
        <w:rPr>
          <w:rFonts w:ascii="Times New Roman" w:eastAsia="Times New Roman" w:hAnsi="Times New Roman" w:cs="Times New Roman"/>
          <w:sz w:val="28"/>
          <w:szCs w:val="28"/>
        </w:rPr>
      </w:pPr>
    </w:p>
    <w:p w14:paraId="2F0BDDDF" w14:textId="77777777" w:rsidR="00D43237" w:rsidRPr="007B67E2" w:rsidRDefault="00FF78DE">
      <w:pPr>
        <w:spacing w:line="240" w:lineRule="auto"/>
        <w:ind w:left="2160" w:right="720" w:hanging="720"/>
        <w:rPr>
          <w:rFonts w:ascii="Times New Roman" w:eastAsia="Times New Roman" w:hAnsi="Times New Roman" w:cs="Times New Roman"/>
          <w:sz w:val="28"/>
          <w:szCs w:val="28"/>
        </w:rPr>
      </w:pPr>
      <w:r w:rsidRPr="007B67E2">
        <w:rPr>
          <w:rFonts w:ascii="Times New Roman" w:eastAsia="Times New Roman" w:hAnsi="Times New Roman" w:cs="Times New Roman"/>
          <w:sz w:val="28"/>
          <w:szCs w:val="28"/>
        </w:rPr>
        <w:t xml:space="preserve">(4)-(6) </w:t>
      </w:r>
      <w:r w:rsidRPr="007B67E2">
        <w:rPr>
          <w:rFonts w:ascii="Times New Roman" w:eastAsia="Times New Roman" w:hAnsi="Times New Roman" w:cs="Times New Roman"/>
          <w:sz w:val="28"/>
          <w:szCs w:val="28"/>
        </w:rPr>
        <w:tab/>
        <w:t>[No change]</w:t>
      </w:r>
    </w:p>
    <w:p w14:paraId="754B914B" w14:textId="77777777" w:rsidR="00D43237" w:rsidRPr="007B67E2" w:rsidRDefault="00D43237">
      <w:pPr>
        <w:spacing w:line="480" w:lineRule="auto"/>
        <w:rPr>
          <w:rFonts w:ascii="Times New Roman" w:eastAsia="Times New Roman" w:hAnsi="Times New Roman" w:cs="Times New Roman"/>
          <w:sz w:val="28"/>
          <w:szCs w:val="28"/>
        </w:rPr>
      </w:pPr>
    </w:p>
    <w:p w14:paraId="67E64BF2" w14:textId="77777777" w:rsidR="000B41E7" w:rsidRPr="000B41E7" w:rsidRDefault="000B41E7" w:rsidP="000B41E7">
      <w:pPr>
        <w:pStyle w:val="NormalWeb"/>
        <w:shd w:val="clear" w:color="auto" w:fill="FFFFFF"/>
        <w:spacing w:before="0" w:beforeAutospacing="0" w:after="0" w:afterAutospacing="0"/>
        <w:ind w:left="720"/>
        <w:jc w:val="center"/>
        <w:rPr>
          <w:rFonts w:ascii="Calibri" w:hAnsi="Calibri" w:cs="Calibri"/>
          <w:color w:val="242424"/>
          <w:sz w:val="28"/>
          <w:szCs w:val="28"/>
        </w:rPr>
      </w:pPr>
      <w:r w:rsidRPr="000B41E7">
        <w:rPr>
          <w:b/>
          <w:bCs/>
          <w:color w:val="242424"/>
          <w:sz w:val="28"/>
          <w:szCs w:val="28"/>
          <w:bdr w:val="none" w:sz="0" w:space="0" w:color="auto" w:frame="1"/>
        </w:rPr>
        <w:t>Comment to 2025 Amendment</w:t>
      </w:r>
    </w:p>
    <w:p w14:paraId="08FC7017" w14:textId="77777777" w:rsidR="000B41E7" w:rsidRPr="000B41E7" w:rsidRDefault="000B41E7" w:rsidP="000B41E7">
      <w:pPr>
        <w:pStyle w:val="NormalWeb"/>
        <w:shd w:val="clear" w:color="auto" w:fill="FFFFFF"/>
        <w:spacing w:before="0" w:beforeAutospacing="0" w:after="0" w:afterAutospacing="0"/>
        <w:ind w:left="720"/>
        <w:jc w:val="center"/>
        <w:rPr>
          <w:rFonts w:ascii="Calibri" w:hAnsi="Calibri" w:cs="Calibri"/>
          <w:color w:val="242424"/>
          <w:sz w:val="28"/>
          <w:szCs w:val="28"/>
        </w:rPr>
      </w:pPr>
      <w:r w:rsidRPr="000B41E7">
        <w:rPr>
          <w:b/>
          <w:bCs/>
          <w:color w:val="242424"/>
          <w:sz w:val="28"/>
          <w:szCs w:val="28"/>
          <w:bdr w:val="none" w:sz="0" w:space="0" w:color="auto" w:frame="1"/>
        </w:rPr>
        <w:t> </w:t>
      </w:r>
    </w:p>
    <w:p w14:paraId="5764C86B" w14:textId="77777777" w:rsidR="000B41E7" w:rsidRPr="000B41E7" w:rsidRDefault="000B41E7" w:rsidP="000B41E7">
      <w:pPr>
        <w:pStyle w:val="NormalWeb"/>
        <w:shd w:val="clear" w:color="auto" w:fill="FFFFFF"/>
        <w:spacing w:before="0" w:beforeAutospacing="0" w:after="0" w:afterAutospacing="0"/>
        <w:ind w:left="720"/>
        <w:rPr>
          <w:rFonts w:ascii="Calibri" w:hAnsi="Calibri" w:cs="Calibri"/>
          <w:color w:val="242424"/>
          <w:sz w:val="28"/>
          <w:szCs w:val="28"/>
        </w:rPr>
      </w:pPr>
      <w:r w:rsidRPr="000B41E7">
        <w:rPr>
          <w:color w:val="242424"/>
          <w:sz w:val="28"/>
          <w:szCs w:val="28"/>
          <w:bdr w:val="none" w:sz="0" w:space="0" w:color="auto" w:frame="1"/>
        </w:rPr>
        <w:t>     Subsection (b)(3)(B) was amended to conform to the 2024 amendment to Federal Rule of Evidence 804(b)(3)(B).</w:t>
      </w:r>
    </w:p>
    <w:p w14:paraId="6F11EFEA" w14:textId="77777777" w:rsidR="00D43237" w:rsidRPr="007B67E2" w:rsidRDefault="00D43237">
      <w:pPr>
        <w:spacing w:line="240" w:lineRule="auto"/>
        <w:rPr>
          <w:rFonts w:ascii="Times New Roman" w:eastAsia="Times New Roman" w:hAnsi="Times New Roman" w:cs="Times New Roman"/>
          <w:sz w:val="28"/>
          <w:szCs w:val="28"/>
        </w:rPr>
      </w:pPr>
    </w:p>
    <w:p w14:paraId="123F6686" w14:textId="77777777" w:rsidR="00D43237" w:rsidRDefault="00D43237">
      <w:pPr>
        <w:spacing w:line="480" w:lineRule="auto"/>
        <w:rPr>
          <w:rFonts w:ascii="Times New Roman" w:eastAsia="Times New Roman" w:hAnsi="Times New Roman" w:cs="Times New Roman"/>
          <w:sz w:val="28"/>
          <w:szCs w:val="28"/>
        </w:rPr>
      </w:pPr>
    </w:p>
    <w:sectPr w:rsidR="00D43237">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42E4" w14:textId="77777777" w:rsidR="00312C15" w:rsidRDefault="00312C15">
      <w:pPr>
        <w:spacing w:line="240" w:lineRule="auto"/>
      </w:pPr>
      <w:r>
        <w:separator/>
      </w:r>
    </w:p>
  </w:endnote>
  <w:endnote w:type="continuationSeparator" w:id="0">
    <w:p w14:paraId="30383621" w14:textId="77777777" w:rsidR="00312C15" w:rsidRDefault="00312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C36C" w14:textId="77777777" w:rsidR="00D43237" w:rsidRDefault="00FF78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7B67E2">
      <w:rPr>
        <w:rFonts w:ascii="Times New Roman" w:eastAsia="Times New Roman" w:hAnsi="Times New Roman" w:cs="Times New Roman"/>
        <w:noProof/>
        <w:sz w:val="28"/>
        <w:szCs w:val="28"/>
      </w:rPr>
      <w:t>1</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D1C7" w14:textId="77777777" w:rsidR="00312C15" w:rsidRDefault="00312C15">
      <w:pPr>
        <w:spacing w:line="240" w:lineRule="auto"/>
      </w:pPr>
      <w:r>
        <w:separator/>
      </w:r>
    </w:p>
  </w:footnote>
  <w:footnote w:type="continuationSeparator" w:id="0">
    <w:p w14:paraId="57C405DC" w14:textId="77777777" w:rsidR="00312C15" w:rsidRDefault="00312C15">
      <w:pPr>
        <w:spacing w:line="240" w:lineRule="auto"/>
      </w:pPr>
      <w:r>
        <w:continuationSeparator/>
      </w:r>
    </w:p>
  </w:footnote>
  <w:footnote w:id="1">
    <w:p w14:paraId="6F8552B4" w14:textId="68AAE87B" w:rsidR="007A39B1" w:rsidRPr="00CA5492" w:rsidRDefault="007A39B1">
      <w:pPr>
        <w:pStyle w:val="FootnoteText"/>
        <w:rPr>
          <w:rFonts w:ascii="Times New Roman" w:hAnsi="Times New Roman" w:cs="Times New Roman"/>
          <w:sz w:val="28"/>
          <w:szCs w:val="28"/>
          <w:lang w:val="en-US"/>
        </w:rPr>
      </w:pPr>
      <w:r w:rsidRPr="00CA5492">
        <w:rPr>
          <w:rStyle w:val="FootnoteReference"/>
          <w:rFonts w:ascii="Times New Roman" w:hAnsi="Times New Roman" w:cs="Times New Roman"/>
          <w:sz w:val="28"/>
          <w:szCs w:val="28"/>
        </w:rPr>
        <w:footnoteRef/>
      </w:r>
      <w:r w:rsidRPr="00CA5492">
        <w:rPr>
          <w:rFonts w:ascii="Times New Roman" w:hAnsi="Times New Roman" w:cs="Times New Roman"/>
          <w:sz w:val="28"/>
          <w:szCs w:val="28"/>
        </w:rPr>
        <w:t xml:space="preserve"> </w:t>
      </w:r>
      <w:r w:rsidRPr="00CA5492">
        <w:rPr>
          <w:rFonts w:ascii="Times New Roman" w:hAnsi="Times New Roman" w:cs="Times New Roman"/>
          <w:i/>
          <w:iCs/>
          <w:sz w:val="28"/>
          <w:szCs w:val="28"/>
          <w:lang w:val="en-US"/>
        </w:rPr>
        <w:t>Available at</w:t>
      </w:r>
      <w:r w:rsidRPr="00CA5492">
        <w:rPr>
          <w:rFonts w:ascii="Times New Roman" w:hAnsi="Times New Roman" w:cs="Times New Roman"/>
          <w:sz w:val="28"/>
          <w:szCs w:val="28"/>
          <w:lang w:val="en-US"/>
        </w:rPr>
        <w:t xml:space="preserve"> </w:t>
      </w:r>
      <w:hyperlink r:id="rId1" w:history="1">
        <w:r w:rsidRPr="00CA5492">
          <w:rPr>
            <w:rStyle w:val="Hyperlink"/>
            <w:rFonts w:ascii="Times New Roman" w:hAnsi="Times New Roman" w:cs="Times New Roman"/>
            <w:sz w:val="28"/>
            <w:szCs w:val="28"/>
            <w:lang w:val="en-US"/>
          </w:rPr>
          <w:t>https://www.uscourts.gov/sites/default/files/advisory_committee_on_evidence_rules_-_may_2023_0.pdf</w:t>
        </w:r>
      </w:hyperlink>
      <w:r w:rsidRPr="00CA5492">
        <w:rPr>
          <w:rFonts w:ascii="Times New Roman" w:hAnsi="Times New Roman" w:cs="Times New Roman"/>
          <w:sz w:val="28"/>
          <w:szCs w:val="28"/>
          <w:lang w:val="en-US"/>
        </w:rPr>
        <w:t xml:space="preserve">. </w:t>
      </w:r>
    </w:p>
  </w:footnote>
  <w:footnote w:id="2">
    <w:p w14:paraId="25CB5C9C" w14:textId="02CB7395" w:rsidR="007A39B1" w:rsidRPr="00CA5492" w:rsidRDefault="007A39B1">
      <w:pPr>
        <w:pStyle w:val="FootnoteText"/>
        <w:rPr>
          <w:rFonts w:ascii="Times New Roman" w:hAnsi="Times New Roman" w:cs="Times New Roman"/>
          <w:sz w:val="28"/>
          <w:szCs w:val="28"/>
          <w:lang w:val="en-US"/>
        </w:rPr>
      </w:pPr>
      <w:r w:rsidRPr="00CA5492">
        <w:rPr>
          <w:rStyle w:val="FootnoteReference"/>
          <w:rFonts w:ascii="Times New Roman" w:hAnsi="Times New Roman" w:cs="Times New Roman"/>
          <w:sz w:val="28"/>
          <w:szCs w:val="28"/>
        </w:rPr>
        <w:footnoteRef/>
      </w:r>
      <w:r w:rsidRPr="00CA5492">
        <w:rPr>
          <w:rFonts w:ascii="Times New Roman" w:hAnsi="Times New Roman" w:cs="Times New Roman"/>
          <w:sz w:val="28"/>
          <w:szCs w:val="28"/>
        </w:rPr>
        <w:t xml:space="preserve"> </w:t>
      </w:r>
      <w:r w:rsidRPr="00CA5492">
        <w:rPr>
          <w:rFonts w:ascii="Times New Roman" w:hAnsi="Times New Roman" w:cs="Times New Roman"/>
          <w:i/>
          <w:iCs/>
          <w:sz w:val="28"/>
          <w:szCs w:val="28"/>
          <w:lang w:val="en-US"/>
        </w:rPr>
        <w:t xml:space="preserve">Available at </w:t>
      </w:r>
      <w:hyperlink r:id="rId2" w:history="1">
        <w:r w:rsidRPr="00CA5492">
          <w:rPr>
            <w:rStyle w:val="Hyperlink"/>
            <w:rFonts w:ascii="Times New Roman" w:hAnsi="Times New Roman" w:cs="Times New Roman"/>
            <w:sz w:val="28"/>
            <w:szCs w:val="28"/>
            <w:lang w:val="en-US"/>
          </w:rPr>
          <w:t>https://www.uscourts.gov/sites/default/files/2023_scotus_package_final_0.pdf</w:t>
        </w:r>
      </w:hyperlink>
      <w:r w:rsidRPr="00CA5492">
        <w:rPr>
          <w:rFonts w:ascii="Times New Roman" w:hAnsi="Times New Roman" w:cs="Times New Roman"/>
          <w:sz w:val="28"/>
          <w:szCs w:val="28"/>
          <w:lang w:val="en-US"/>
        </w:rPr>
        <w:t xml:space="preserve"> at pages 01090--01091</w:t>
      </w:r>
      <w:r w:rsidRPr="00CA5492">
        <w:rPr>
          <w:rFonts w:ascii="Times New Roman" w:hAnsi="Times New Roman" w:cs="Times New Roman"/>
          <w:i/>
          <w:iCs/>
          <w:sz w:val="28"/>
          <w:szCs w:val="28"/>
          <w:lang w:val="en-US"/>
        </w:rPr>
        <w:t xml:space="preserve">. </w:t>
      </w:r>
    </w:p>
  </w:footnote>
  <w:footnote w:id="3">
    <w:p w14:paraId="31FBBC7C" w14:textId="438A04E1" w:rsidR="00CA5492" w:rsidRPr="00CA5492" w:rsidRDefault="00CA5492">
      <w:pPr>
        <w:pStyle w:val="FootnoteText"/>
        <w:rPr>
          <w:rFonts w:ascii="Times New Roman" w:hAnsi="Times New Roman" w:cs="Times New Roman"/>
          <w:sz w:val="28"/>
          <w:szCs w:val="28"/>
          <w:lang w:val="en-US"/>
        </w:rPr>
      </w:pPr>
      <w:r w:rsidRPr="00CA5492">
        <w:rPr>
          <w:rStyle w:val="FootnoteReference"/>
          <w:rFonts w:ascii="Times New Roman" w:hAnsi="Times New Roman" w:cs="Times New Roman"/>
          <w:sz w:val="28"/>
          <w:szCs w:val="28"/>
        </w:rPr>
        <w:footnoteRef/>
      </w:r>
      <w:r w:rsidRPr="00CA5492">
        <w:rPr>
          <w:rFonts w:ascii="Times New Roman" w:hAnsi="Times New Roman" w:cs="Times New Roman"/>
          <w:sz w:val="28"/>
          <w:szCs w:val="28"/>
        </w:rPr>
        <w:t xml:space="preserve"> </w:t>
      </w:r>
      <w:r w:rsidRPr="00CA5492">
        <w:rPr>
          <w:rFonts w:ascii="Times New Roman" w:hAnsi="Times New Roman" w:cs="Times New Roman"/>
          <w:i/>
          <w:iCs/>
          <w:sz w:val="28"/>
          <w:szCs w:val="28"/>
          <w:lang w:val="en-US"/>
        </w:rPr>
        <w:t xml:space="preserve">Available at </w:t>
      </w:r>
      <w:hyperlink r:id="rId3" w:history="1">
        <w:r w:rsidRPr="00CA5492">
          <w:rPr>
            <w:rStyle w:val="Hyperlink"/>
            <w:rFonts w:ascii="Times New Roman" w:hAnsi="Times New Roman" w:cs="Times New Roman"/>
            <w:sz w:val="28"/>
            <w:szCs w:val="28"/>
            <w:lang w:val="en-US"/>
          </w:rPr>
          <w:t>https://www.uscourts.gov/sites/default/files/advisory_committee_on_evidence_rules_-_may_2023_0.pdf</w:t>
        </w:r>
      </w:hyperlink>
      <w:r w:rsidRPr="00CA5492">
        <w:rPr>
          <w:rFonts w:ascii="Times New Roman" w:hAnsi="Times New Roman" w:cs="Times New Roman"/>
          <w:sz w:val="28"/>
          <w:szCs w:val="28"/>
          <w:lang w:val="en-US"/>
        </w:rPr>
        <w:t xml:space="preserve">. </w:t>
      </w:r>
    </w:p>
  </w:footnote>
  <w:footnote w:id="4">
    <w:p w14:paraId="20388C29" w14:textId="55E594DF" w:rsidR="00D43237" w:rsidRPr="00CA5492" w:rsidRDefault="00FF78DE">
      <w:pPr>
        <w:spacing w:line="240" w:lineRule="auto"/>
        <w:rPr>
          <w:rFonts w:ascii="Times New Roman" w:eastAsia="Times New Roman" w:hAnsi="Times New Roman" w:cs="Times New Roman"/>
          <w:sz w:val="28"/>
          <w:szCs w:val="28"/>
        </w:rPr>
      </w:pPr>
      <w:r w:rsidRPr="00CA5492">
        <w:rPr>
          <w:rFonts w:ascii="Times New Roman" w:hAnsi="Times New Roman" w:cs="Times New Roman"/>
          <w:sz w:val="28"/>
          <w:szCs w:val="28"/>
          <w:vertAlign w:val="superscript"/>
        </w:rPr>
        <w:footnoteRef/>
      </w:r>
      <w:r w:rsidRPr="00CA5492">
        <w:rPr>
          <w:rFonts w:ascii="Times New Roman" w:eastAsia="Times New Roman" w:hAnsi="Times New Roman" w:cs="Times New Roman"/>
          <w:sz w:val="28"/>
          <w:szCs w:val="28"/>
        </w:rPr>
        <w:t xml:space="preserve"> </w:t>
      </w:r>
      <w:r w:rsidR="000B41E7">
        <w:rPr>
          <w:rFonts w:ascii="Times New Roman" w:eastAsia="Times New Roman" w:hAnsi="Times New Roman" w:cs="Times New Roman"/>
          <w:sz w:val="28"/>
          <w:szCs w:val="28"/>
        </w:rPr>
        <w:t>A</w:t>
      </w:r>
      <w:r w:rsidRPr="00CA5492">
        <w:rPr>
          <w:rFonts w:ascii="Times New Roman" w:eastAsia="Times New Roman" w:hAnsi="Times New Roman" w:cs="Times New Roman"/>
          <w:sz w:val="28"/>
          <w:szCs w:val="28"/>
        </w:rPr>
        <w:t xml:space="preserve">dditions </w:t>
      </w:r>
      <w:r w:rsidR="000B41E7">
        <w:rPr>
          <w:rFonts w:ascii="Times New Roman" w:eastAsia="Times New Roman" w:hAnsi="Times New Roman" w:cs="Times New Roman"/>
          <w:sz w:val="28"/>
          <w:szCs w:val="28"/>
        </w:rPr>
        <w:t>to</w:t>
      </w:r>
      <w:r w:rsidRPr="00CA5492">
        <w:rPr>
          <w:rFonts w:ascii="Times New Roman" w:eastAsia="Times New Roman" w:hAnsi="Times New Roman" w:cs="Times New Roman"/>
          <w:sz w:val="28"/>
          <w:szCs w:val="28"/>
        </w:rPr>
        <w:t xml:space="preserve"> rule text are indicated by </w:t>
      </w:r>
      <w:r w:rsidRPr="00CA5492">
        <w:rPr>
          <w:rFonts w:ascii="Times New Roman" w:eastAsia="Times New Roman" w:hAnsi="Times New Roman" w:cs="Times New Roman"/>
          <w:sz w:val="28"/>
          <w:szCs w:val="28"/>
          <w:u w:val="single"/>
        </w:rPr>
        <w:t>underscoring</w:t>
      </w:r>
      <w:r w:rsidRPr="00CA5492">
        <w:rPr>
          <w:rFonts w:ascii="Times New Roman" w:eastAsia="Times New Roman" w:hAnsi="Times New Roman" w:cs="Times New Roman"/>
          <w:sz w:val="28"/>
          <w:szCs w:val="28"/>
        </w:rPr>
        <w:t xml:space="preserve"> and deletions from text are indicated by </w:t>
      </w:r>
      <w:r w:rsidRPr="00CA5492">
        <w:rPr>
          <w:rFonts w:ascii="Times New Roman" w:eastAsia="Times New Roman" w:hAnsi="Times New Roman" w:cs="Times New Roman"/>
          <w:strike/>
          <w:sz w:val="28"/>
          <w:szCs w:val="28"/>
        </w:rPr>
        <w:t>strikeouts</w:t>
      </w:r>
      <w:r w:rsidRPr="00CA5492">
        <w:rPr>
          <w:rFonts w:ascii="Times New Roman" w:eastAsia="Times New Roman" w:hAnsi="Times New Roman" w:cs="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13DE"/>
    <w:multiLevelType w:val="multilevel"/>
    <w:tmpl w:val="AA4A4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7779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37"/>
    <w:rsid w:val="000B41E7"/>
    <w:rsid w:val="0026453E"/>
    <w:rsid w:val="00312C15"/>
    <w:rsid w:val="00540B35"/>
    <w:rsid w:val="00695527"/>
    <w:rsid w:val="006C16E6"/>
    <w:rsid w:val="00714CAF"/>
    <w:rsid w:val="007A39B1"/>
    <w:rsid w:val="007B67E2"/>
    <w:rsid w:val="008C3D04"/>
    <w:rsid w:val="00A00DC5"/>
    <w:rsid w:val="00CA5492"/>
    <w:rsid w:val="00D1562D"/>
    <w:rsid w:val="00D43237"/>
    <w:rsid w:val="00FF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2231"/>
  <w15:docId w15:val="{4DC2751E-91ED-464F-BFE1-05B857C1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7A39B1"/>
    <w:pPr>
      <w:spacing w:line="240" w:lineRule="auto"/>
    </w:pPr>
    <w:rPr>
      <w:sz w:val="20"/>
      <w:szCs w:val="20"/>
    </w:rPr>
  </w:style>
  <w:style w:type="character" w:customStyle="1" w:styleId="FootnoteTextChar">
    <w:name w:val="Footnote Text Char"/>
    <w:basedOn w:val="DefaultParagraphFont"/>
    <w:link w:val="FootnoteText"/>
    <w:uiPriority w:val="99"/>
    <w:semiHidden/>
    <w:rsid w:val="007A39B1"/>
    <w:rPr>
      <w:sz w:val="20"/>
      <w:szCs w:val="20"/>
    </w:rPr>
  </w:style>
  <w:style w:type="character" w:styleId="FootnoteReference">
    <w:name w:val="footnote reference"/>
    <w:basedOn w:val="DefaultParagraphFont"/>
    <w:uiPriority w:val="99"/>
    <w:semiHidden/>
    <w:unhideWhenUsed/>
    <w:rsid w:val="007A39B1"/>
    <w:rPr>
      <w:vertAlign w:val="superscript"/>
    </w:rPr>
  </w:style>
  <w:style w:type="character" w:styleId="Hyperlink">
    <w:name w:val="Hyperlink"/>
    <w:basedOn w:val="DefaultParagraphFont"/>
    <w:uiPriority w:val="99"/>
    <w:unhideWhenUsed/>
    <w:rsid w:val="007A39B1"/>
    <w:rPr>
      <w:color w:val="0000FF"/>
      <w:u w:val="single"/>
    </w:rPr>
  </w:style>
  <w:style w:type="character" w:styleId="UnresolvedMention">
    <w:name w:val="Unresolved Mention"/>
    <w:basedOn w:val="DefaultParagraphFont"/>
    <w:uiPriority w:val="99"/>
    <w:semiHidden/>
    <w:unhideWhenUsed/>
    <w:rsid w:val="007A39B1"/>
    <w:rPr>
      <w:color w:val="605E5C"/>
      <w:shd w:val="clear" w:color="auto" w:fill="E1DFDD"/>
    </w:rPr>
  </w:style>
  <w:style w:type="character" w:styleId="FollowedHyperlink">
    <w:name w:val="FollowedHyperlink"/>
    <w:basedOn w:val="DefaultParagraphFont"/>
    <w:uiPriority w:val="99"/>
    <w:semiHidden/>
    <w:unhideWhenUsed/>
    <w:rsid w:val="007A39B1"/>
    <w:rPr>
      <w:color w:val="800080" w:themeColor="followedHyperlink"/>
      <w:u w:val="single"/>
    </w:rPr>
  </w:style>
  <w:style w:type="paragraph" w:styleId="NormalWeb">
    <w:name w:val="Normal (Web)"/>
    <w:basedOn w:val="Normal"/>
    <w:uiPriority w:val="99"/>
    <w:semiHidden/>
    <w:unhideWhenUsed/>
    <w:rsid w:val="000B41E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07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ites/default/files/advisory_committee_on_evidence_rules_-_may_2023_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courts.gov/sites/default/files/advisory_committee_on_evidence_rules_-_may_2023_0.pdf" TargetMode="External"/><Relationship Id="rId12" Type="http://schemas.openxmlformats.org/officeDocument/2006/relationships/hyperlink" Target="https://1.next.westlaw.com/Document/Iba59975af55111d983e7e9deff98dc6f/View/FullText.html?transitionType=UniqueDocItem&amp;contextData=(sc.UserEnteredCitation)&amp;userEnteredCitation=200+Ariz.+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next.westlaw.com/Document/Iba59975af55111d983e7e9deff98dc6f/View/FullText.html?transitionType=UniqueDocItem&amp;contextData=(sc.UserEnteredCitation)&amp;userEnteredCitation=200+Ariz.+3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next.westlaw.com/Document/Ie03a5ea8f52f11d9b386b232635db992/View/FullText.html?transitionType=UniqueDocItem&amp;contextData=(sc.Default)&amp;userEnteredCitation=153+Ariz.+21" TargetMode="External"/><Relationship Id="rId4" Type="http://schemas.openxmlformats.org/officeDocument/2006/relationships/webSettings" Target="webSettings.xml"/><Relationship Id="rId9" Type="http://schemas.openxmlformats.org/officeDocument/2006/relationships/hyperlink" Target="https://1.next.westlaw.com/Document/Ie03a5ea8f52f11d9b386b232635db992/View/FullText.html?transitionType=UniqueDocItem&amp;contextData=(sc.Default)&amp;userEnteredCitation=153+Ariz.+2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courts.gov/sites/default/files/advisory_committee_on_evidence_rules_-_may_2023_0.pdf" TargetMode="External"/><Relationship Id="rId2" Type="http://schemas.openxmlformats.org/officeDocument/2006/relationships/hyperlink" Target="https://www.uscourts.gov/sites/default/files/2023_scotus_package_final_0.pdf" TargetMode="External"/><Relationship Id="rId1" Type="http://schemas.openxmlformats.org/officeDocument/2006/relationships/hyperlink" Target="https://www.uscourts.gov/sites/default/files/advisory_committee_on_evidence_rules_-_may_2023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Agne (SUP)</dc:creator>
  <cp:lastModifiedBy>Sara Agne (SUP)</cp:lastModifiedBy>
  <cp:revision>10</cp:revision>
  <dcterms:created xsi:type="dcterms:W3CDTF">2023-11-28T17:52:00Z</dcterms:created>
  <dcterms:modified xsi:type="dcterms:W3CDTF">2024-01-10T05:19:00Z</dcterms:modified>
</cp:coreProperties>
</file>