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CDEF" w14:textId="77777777" w:rsidR="005F6861" w:rsidRPr="005F6861" w:rsidRDefault="005F6861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sz w:val="28"/>
          <w:szCs w:val="28"/>
        </w:rPr>
        <w:t>Sara J. Agne</w:t>
      </w:r>
    </w:p>
    <w:p w14:paraId="6C050CA8" w14:textId="77777777" w:rsidR="005F6861" w:rsidRPr="005F6861" w:rsidRDefault="005F6861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sz w:val="28"/>
          <w:szCs w:val="28"/>
        </w:rPr>
        <w:t>Co-Chair, Advisory Committee on Rules of Evidence</w:t>
      </w:r>
    </w:p>
    <w:p w14:paraId="18C38A23" w14:textId="77777777" w:rsidR="005F6861" w:rsidRPr="005F6861" w:rsidRDefault="005F6861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sz w:val="28"/>
          <w:szCs w:val="28"/>
        </w:rPr>
        <w:t>Judge, Arizona Superior Court</w:t>
      </w:r>
    </w:p>
    <w:p w14:paraId="209712FE" w14:textId="7A79857F" w:rsidR="005F6861" w:rsidRPr="005F6861" w:rsidRDefault="002C0739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101 West Jefferson</w:t>
      </w:r>
    </w:p>
    <w:p w14:paraId="5EC06F8A" w14:textId="4B2ECE3F" w:rsidR="005F6861" w:rsidRPr="005F6861" w:rsidRDefault="005F6861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Phoenix, </w:t>
      </w:r>
      <w:r w:rsidR="002C0739">
        <w:rPr>
          <w:rFonts w:ascii="Times New Roman" w:eastAsia="Times New Roman" w:hAnsi="Times New Roman" w:cs="Times New Roman"/>
          <w:sz w:val="28"/>
          <w:szCs w:val="28"/>
        </w:rPr>
        <w:t>Arizona 85003</w:t>
      </w:r>
    </w:p>
    <w:p w14:paraId="1783F619" w14:textId="77777777" w:rsidR="005F6861" w:rsidRPr="005F6861" w:rsidRDefault="005F6861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sz w:val="28"/>
          <w:szCs w:val="28"/>
        </w:rPr>
        <w:t>Telephone: 602-506-8288</w:t>
      </w:r>
    </w:p>
    <w:p w14:paraId="3C84E550" w14:textId="77777777" w:rsidR="005F6861" w:rsidRPr="005F6861" w:rsidRDefault="005F6861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sz w:val="28"/>
          <w:szCs w:val="28"/>
        </w:rPr>
        <w:t>Facsimile: 602-372-5817</w:t>
      </w:r>
    </w:p>
    <w:p w14:paraId="515E0BCC" w14:textId="77777777" w:rsidR="005F6861" w:rsidRPr="005F6861" w:rsidRDefault="005F6861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13735B" w14:textId="77777777" w:rsidR="006826CE" w:rsidRPr="006826CE" w:rsidRDefault="006826CE" w:rsidP="0068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6CE">
        <w:rPr>
          <w:rFonts w:ascii="Times New Roman" w:eastAsia="Times New Roman" w:hAnsi="Times New Roman" w:cs="Times New Roman"/>
          <w:sz w:val="28"/>
          <w:szCs w:val="28"/>
        </w:rPr>
        <w:t>Maria Elena Cruz</w:t>
      </w:r>
    </w:p>
    <w:p w14:paraId="073D50A4" w14:textId="77777777" w:rsidR="006826CE" w:rsidRPr="006826CE" w:rsidRDefault="006826CE" w:rsidP="0068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6CE">
        <w:rPr>
          <w:rFonts w:ascii="Times New Roman" w:eastAsia="Times New Roman" w:hAnsi="Times New Roman" w:cs="Times New Roman"/>
          <w:sz w:val="28"/>
          <w:szCs w:val="28"/>
        </w:rPr>
        <w:t>Co-Chair, Advisory Committee on Rules of Evidence</w:t>
      </w:r>
    </w:p>
    <w:p w14:paraId="564B4A3D" w14:textId="77777777" w:rsidR="006826CE" w:rsidRPr="006826CE" w:rsidRDefault="006826CE" w:rsidP="0068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CE">
        <w:rPr>
          <w:rFonts w:ascii="Times New Roman" w:eastAsia="Times New Roman" w:hAnsi="Times New Roman" w:cs="Times New Roman"/>
          <w:sz w:val="28"/>
          <w:szCs w:val="28"/>
        </w:rPr>
        <w:t>Judge, Arizona Court of Appeals</w:t>
      </w:r>
    </w:p>
    <w:p w14:paraId="216BFBE0" w14:textId="77777777" w:rsidR="006826CE" w:rsidRPr="006826CE" w:rsidRDefault="006826CE" w:rsidP="0068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CE">
        <w:rPr>
          <w:rFonts w:ascii="Times New Roman" w:eastAsia="Times New Roman" w:hAnsi="Times New Roman" w:cs="Times New Roman"/>
          <w:sz w:val="28"/>
          <w:szCs w:val="28"/>
        </w:rPr>
        <w:t>Division One</w:t>
      </w:r>
    </w:p>
    <w:p w14:paraId="46AA8190" w14:textId="77777777" w:rsidR="006826CE" w:rsidRPr="006826CE" w:rsidRDefault="006826CE" w:rsidP="0068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CE">
        <w:rPr>
          <w:rFonts w:ascii="Times New Roman" w:eastAsia="Times New Roman" w:hAnsi="Times New Roman" w:cs="Times New Roman"/>
          <w:sz w:val="28"/>
          <w:szCs w:val="28"/>
        </w:rPr>
        <w:t>State Courts Building</w:t>
      </w:r>
    </w:p>
    <w:p w14:paraId="16394C34" w14:textId="77777777" w:rsidR="006826CE" w:rsidRPr="006826CE" w:rsidRDefault="006826CE" w:rsidP="0068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CE">
        <w:rPr>
          <w:rFonts w:ascii="Times New Roman" w:eastAsia="Times New Roman" w:hAnsi="Times New Roman" w:cs="Times New Roman"/>
          <w:sz w:val="28"/>
          <w:szCs w:val="28"/>
        </w:rPr>
        <w:t>1501 West Washington</w:t>
      </w:r>
    </w:p>
    <w:p w14:paraId="2F2D2708" w14:textId="77777777" w:rsidR="006826CE" w:rsidRPr="006826CE" w:rsidRDefault="006826CE" w:rsidP="0068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CE">
        <w:rPr>
          <w:rFonts w:ascii="Times New Roman" w:eastAsia="Times New Roman" w:hAnsi="Times New Roman" w:cs="Times New Roman"/>
          <w:sz w:val="28"/>
          <w:szCs w:val="28"/>
        </w:rPr>
        <w:t>Phoenix, Arizona  85007</w:t>
      </w:r>
    </w:p>
    <w:p w14:paraId="723F23F6" w14:textId="77777777" w:rsidR="006826CE" w:rsidRPr="006826CE" w:rsidRDefault="006826CE" w:rsidP="0068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CE">
        <w:rPr>
          <w:rFonts w:ascii="Times New Roman" w:eastAsia="Times New Roman" w:hAnsi="Times New Roman" w:cs="Times New Roman"/>
          <w:sz w:val="28"/>
          <w:szCs w:val="28"/>
        </w:rPr>
        <w:t>Telephone: 602-452-6740</w:t>
      </w:r>
    </w:p>
    <w:p w14:paraId="7B538E33" w14:textId="77777777" w:rsidR="006826CE" w:rsidRPr="006826CE" w:rsidRDefault="006826CE" w:rsidP="0068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CE">
        <w:rPr>
          <w:rFonts w:ascii="Times New Roman" w:eastAsia="Times New Roman" w:hAnsi="Times New Roman" w:cs="Times New Roman"/>
          <w:sz w:val="28"/>
          <w:szCs w:val="28"/>
        </w:rPr>
        <w:t xml:space="preserve">Facsimile: 602-452-3228 </w:t>
      </w:r>
    </w:p>
    <w:p w14:paraId="27D24B15" w14:textId="77777777" w:rsidR="005F6861" w:rsidRPr="005F6861" w:rsidRDefault="005F6861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7321B" w14:textId="77777777" w:rsidR="005F6861" w:rsidRPr="005F6861" w:rsidRDefault="005F6861" w:rsidP="005F68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b/>
          <w:bCs/>
          <w:sz w:val="28"/>
          <w:szCs w:val="28"/>
        </w:rPr>
        <w:t>IN THE SUPREME COURT</w:t>
      </w:r>
    </w:p>
    <w:p w14:paraId="486A089B" w14:textId="77777777" w:rsidR="005F6861" w:rsidRPr="005F6861" w:rsidRDefault="005F6861" w:rsidP="005F68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b/>
          <w:bCs/>
          <w:sz w:val="28"/>
          <w:szCs w:val="28"/>
        </w:rPr>
        <w:t>STATE OF ARIZONA</w:t>
      </w:r>
    </w:p>
    <w:p w14:paraId="26D8F123" w14:textId="77777777" w:rsidR="005F6861" w:rsidRPr="005F6861" w:rsidRDefault="005F6861" w:rsidP="005F6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827C" w14:textId="33F6EDFB" w:rsidR="005F6861" w:rsidRPr="005F6861" w:rsidRDefault="009F7E62" w:rsidP="009F7E6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the Matter of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F6861"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</w:t>
      </w:r>
    </w:p>
    <w:p w14:paraId="1445C6C9" w14:textId="478B5E90" w:rsidR="005F6861" w:rsidRPr="005F6861" w:rsidRDefault="009F7E62" w:rsidP="009F7E6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F6861"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</w:t>
      </w:r>
      <w:r w:rsidR="009B7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6861"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Arizona Supreme Court No. R-2</w:t>
      </w:r>
      <w:r w:rsidR="00FD495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F6861"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>-____</w:t>
      </w:r>
    </w:p>
    <w:p w14:paraId="53E7CAAF" w14:textId="0FBE6B85" w:rsidR="005F6861" w:rsidRPr="005F6861" w:rsidRDefault="009F7E62" w:rsidP="009F7E6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F6861"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                   </w:t>
      </w:r>
    </w:p>
    <w:p w14:paraId="7E578837" w14:textId="12D76FA8" w:rsidR="005F6861" w:rsidRPr="005F6861" w:rsidRDefault="005F6861" w:rsidP="009F7E6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>ARIZONA RULE OF</w:t>
      </w:r>
      <w:r w:rsidR="009F7E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F11B4B7" w14:textId="71BA3C22" w:rsidR="005F6861" w:rsidRPr="005F6861" w:rsidRDefault="005F6861" w:rsidP="009F7E6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EVIDENCE </w:t>
      </w:r>
      <w:r w:rsidR="009B7CF3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  <w:r w:rsidR="00D80E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B1635">
        <w:rPr>
          <w:rFonts w:ascii="Times New Roman" w:eastAsia="Times New Roman" w:hAnsi="Times New Roman" w:cs="Times New Roman"/>
          <w:color w:val="000000"/>
          <w:sz w:val="28"/>
          <w:szCs w:val="28"/>
        </w:rPr>
        <w:t>(b)</w:t>
      </w:r>
      <w:r w:rsidR="009F7E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                        </w:t>
      </w:r>
    </w:p>
    <w:p w14:paraId="654ED1BB" w14:textId="6B954B00" w:rsidR="005F6861" w:rsidRPr="005F6861" w:rsidRDefault="009F7E62" w:rsidP="009F7E6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F6861"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>)    PETITION TO AMEND ARIZONA</w:t>
      </w:r>
    </w:p>
    <w:p w14:paraId="1BD0D983" w14:textId="67F4540F" w:rsidR="005F6861" w:rsidRPr="005F6861" w:rsidRDefault="009F7E62" w:rsidP="009F7E6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F6861"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RULE OF EVIDENCE </w:t>
      </w:r>
      <w:r w:rsidR="009B7CF3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  <w:r w:rsidR="00D80E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B1635">
        <w:rPr>
          <w:rFonts w:ascii="Times New Roman" w:eastAsia="Times New Roman" w:hAnsi="Times New Roman" w:cs="Times New Roman"/>
          <w:color w:val="000000"/>
          <w:sz w:val="28"/>
          <w:szCs w:val="28"/>
        </w:rPr>
        <w:t>(b)</w:t>
      </w:r>
    </w:p>
    <w:p w14:paraId="3635439E" w14:textId="7F5ECD8F" w:rsidR="005F6861" w:rsidRPr="005F6861" w:rsidRDefault="009F7E62" w:rsidP="009F7E62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F6861"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                        </w:t>
      </w:r>
    </w:p>
    <w:p w14:paraId="346FD3C0" w14:textId="1907610F" w:rsidR="005F6861" w:rsidRPr="005F6861" w:rsidRDefault="005F6861" w:rsidP="009F7E62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  <w:r w:rsidR="009F7E62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5F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                        </w:t>
      </w:r>
    </w:p>
    <w:p w14:paraId="411B2DF0" w14:textId="77777777" w:rsidR="005F6861" w:rsidRPr="005F6861" w:rsidRDefault="005F6861" w:rsidP="005F6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BE2B13" w14:textId="77777777" w:rsidR="005F6861" w:rsidRPr="005F6861" w:rsidRDefault="005F6861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C4BECD" w14:textId="77777777" w:rsidR="00A83E78" w:rsidRDefault="005F6861" w:rsidP="005F6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PETITION TO AMEND RULE </w:t>
      </w:r>
      <w:r w:rsidR="009B7CF3">
        <w:rPr>
          <w:rFonts w:ascii="Times New Roman" w:eastAsia="Times New Roman" w:hAnsi="Times New Roman" w:cs="Times New Roman"/>
          <w:b/>
          <w:bCs/>
          <w:sz w:val="28"/>
          <w:szCs w:val="28"/>
        </w:rPr>
        <w:t>61</w:t>
      </w:r>
      <w:r w:rsidR="00722662">
        <w:rPr>
          <w:rFonts w:ascii="Times New Roman" w:eastAsia="Times New Roman" w:hAnsi="Times New Roman" w:cs="Times New Roman"/>
          <w:b/>
          <w:bCs/>
          <w:sz w:val="28"/>
          <w:szCs w:val="28"/>
        </w:rPr>
        <w:t>3(b)</w:t>
      </w:r>
      <w:r w:rsidRPr="005F68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OF THE </w:t>
      </w:r>
    </w:p>
    <w:p w14:paraId="7C875E67" w14:textId="2349A828" w:rsidR="005F6861" w:rsidRPr="005F6861" w:rsidRDefault="005F6861" w:rsidP="005F6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ARIZONA RULES OF EVIDENCE </w:t>
      </w:r>
    </w:p>
    <w:p w14:paraId="703D81D6" w14:textId="77777777" w:rsidR="005F6861" w:rsidRPr="005F6861" w:rsidRDefault="005F6861" w:rsidP="005F6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AAE8A8" w14:textId="602DB6F9" w:rsidR="005F6861" w:rsidRPr="005F6861" w:rsidRDefault="005F6861" w:rsidP="005F6861">
      <w:pPr>
        <w:tabs>
          <w:tab w:val="left" w:pos="711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sz w:val="28"/>
          <w:szCs w:val="28"/>
        </w:rPr>
        <w:tab/>
        <w:t xml:space="preserve">Pursuant to Rule 28, Rules of the Supreme Court, the Advisory Committee on Rules of Evidence, by and through its Co-Chairs, the Honorable Sara Agne and the 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Honorable </w:t>
      </w:r>
      <w:r w:rsidR="006826CE">
        <w:rPr>
          <w:rFonts w:ascii="Times New Roman" w:eastAsia="Times New Roman" w:hAnsi="Times New Roman" w:cs="Times New Roman"/>
          <w:sz w:val="28"/>
          <w:szCs w:val="28"/>
        </w:rPr>
        <w:t>Maria Elena Cruz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, petitions the Court to amend Arizona Rule of Evidence </w:t>
      </w:r>
      <w:r w:rsidR="009B7CF3">
        <w:rPr>
          <w:rFonts w:ascii="Times New Roman" w:eastAsia="Times New Roman" w:hAnsi="Times New Roman" w:cs="Times New Roman"/>
          <w:sz w:val="28"/>
          <w:szCs w:val="28"/>
        </w:rPr>
        <w:t>61</w:t>
      </w:r>
      <w:r w:rsidR="00D80E4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, as reflected in the </w:t>
      </w:r>
      <w:r w:rsidR="00822D93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ttachment hereto, effective </w:t>
      </w:r>
      <w:r w:rsidR="00AA7BEE">
        <w:rPr>
          <w:rFonts w:ascii="Times New Roman" w:eastAsia="Times New Roman" w:hAnsi="Times New Roman" w:cs="Times New Roman"/>
          <w:sz w:val="28"/>
          <w:szCs w:val="28"/>
        </w:rPr>
        <w:t>January 1, 202</w:t>
      </w:r>
      <w:r w:rsidR="00D80E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71AC1686" w14:textId="77777777" w:rsidR="005F6861" w:rsidRPr="005F6861" w:rsidRDefault="005F6861" w:rsidP="00F2255B">
      <w:pPr>
        <w:tabs>
          <w:tab w:val="left" w:pos="72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b/>
          <w:bCs/>
          <w:sz w:val="28"/>
          <w:szCs w:val="28"/>
        </w:rPr>
        <w:t>INTRODUCTION AND BACKGROUND</w:t>
      </w:r>
    </w:p>
    <w:p w14:paraId="71E8F3F0" w14:textId="77777777" w:rsidR="005F6861" w:rsidRPr="005F6861" w:rsidRDefault="005F6861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E32644" w14:textId="3BC46BDA" w:rsidR="005F6861" w:rsidRPr="005F6861" w:rsidRDefault="00E50756" w:rsidP="005F6861">
      <w:pPr>
        <w:spacing w:after="0" w:line="480" w:lineRule="auto"/>
        <w:ind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 2012, by administrative order, t</w:t>
      </w:r>
      <w:r w:rsidR="005F6861" w:rsidRPr="005F6861">
        <w:rPr>
          <w:rFonts w:ascii="Times New Roman" w:eastAsia="Times New Roman" w:hAnsi="Times New Roman" w:cs="Times New Roman"/>
          <w:sz w:val="28"/>
          <w:szCs w:val="28"/>
        </w:rPr>
        <w:t>he Arizona Supreme Court established the Advisory Committee on Rules of Evidence with the following purpose:</w:t>
      </w:r>
    </w:p>
    <w:p w14:paraId="753FBDB7" w14:textId="77777777" w:rsidR="005F6861" w:rsidRPr="005F6861" w:rsidRDefault="005F6861" w:rsidP="005F6861">
      <w:pPr>
        <w:autoSpaceDE w:val="0"/>
        <w:autoSpaceDN w:val="0"/>
        <w:adjustRightInd w:val="0"/>
        <w:spacing w:after="0" w:line="240" w:lineRule="auto"/>
        <w:ind w:left="1440" w:righ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The Committee shall periodically conduct a review and analysis of the </w:t>
      </w:r>
      <w:r w:rsidRPr="005F6861">
        <w:rPr>
          <w:rFonts w:ascii="Times New Roman" w:eastAsia="Times New Roman" w:hAnsi="Times New Roman" w:cs="Times New Roman"/>
          <w:i/>
          <w:sz w:val="28"/>
          <w:szCs w:val="28"/>
        </w:rPr>
        <w:t>Arizona Rules of Evidence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, review all proposals to amend the </w:t>
      </w:r>
      <w:r w:rsidRPr="005F6861">
        <w:rPr>
          <w:rFonts w:ascii="Times New Roman" w:eastAsia="Times New Roman" w:hAnsi="Times New Roman" w:cs="Times New Roman"/>
          <w:i/>
          <w:sz w:val="28"/>
          <w:szCs w:val="28"/>
        </w:rPr>
        <w:t>Arizona Rules of Evidence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, compare the rules to the </w:t>
      </w:r>
      <w:r w:rsidRPr="005F6861">
        <w:rPr>
          <w:rFonts w:ascii="Times New Roman" w:eastAsia="Times New Roman" w:hAnsi="Times New Roman" w:cs="Times New Roman"/>
          <w:i/>
          <w:sz w:val="28"/>
          <w:szCs w:val="28"/>
        </w:rPr>
        <w:t>Federal Rules of Evidence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>, recommend revisions and additional rules as the Committee deems appropriate, entertain comments concerning the rules, and provide reports to this Court, as appropriate.</w:t>
      </w:r>
    </w:p>
    <w:p w14:paraId="295E0C78" w14:textId="77777777" w:rsidR="005F6861" w:rsidRPr="005F6861" w:rsidRDefault="005F6861" w:rsidP="005F6861">
      <w:pPr>
        <w:spacing w:after="0" w:line="240" w:lineRule="auto"/>
        <w:ind w:left="1440" w:righ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11C28" w14:textId="77777777" w:rsidR="005F6861" w:rsidRPr="005F6861" w:rsidRDefault="005F6861" w:rsidP="005F686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sz w:val="28"/>
          <w:szCs w:val="28"/>
        </w:rPr>
        <w:t>Arizona Supreme Court Administrative Order 2012-43, dated June 11, 2012.</w:t>
      </w:r>
    </w:p>
    <w:p w14:paraId="76148CEB" w14:textId="276D8FAD" w:rsidR="00B44332" w:rsidRDefault="005F6861" w:rsidP="00B4433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At its regular meeting on </w:t>
      </w:r>
      <w:r w:rsidR="00A208EC">
        <w:rPr>
          <w:rFonts w:ascii="Times New Roman" w:eastAsia="Times New Roman" w:hAnsi="Times New Roman" w:cs="Times New Roman"/>
          <w:sz w:val="28"/>
          <w:szCs w:val="28"/>
        </w:rPr>
        <w:t xml:space="preserve">September </w:t>
      </w:r>
      <w:r w:rsidR="00B44332">
        <w:rPr>
          <w:rFonts w:ascii="Times New Roman" w:eastAsia="Times New Roman" w:hAnsi="Times New Roman" w:cs="Times New Roman"/>
          <w:sz w:val="28"/>
          <w:szCs w:val="28"/>
        </w:rPr>
        <w:t>15</w:t>
      </w:r>
      <w:r w:rsidR="00A208EC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B4433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, the Advisory Committee </w:t>
      </w:r>
      <w:r w:rsidRPr="006E6AC3">
        <w:rPr>
          <w:rFonts w:ascii="Times New Roman" w:eastAsia="Times New Roman" w:hAnsi="Times New Roman" w:cs="Times New Roman"/>
          <w:sz w:val="28"/>
          <w:szCs w:val="28"/>
        </w:rPr>
        <w:t>unanimously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 recommended that Arizona Rule of Evidence </w:t>
      </w:r>
      <w:r w:rsidR="00E8119A">
        <w:rPr>
          <w:rFonts w:ascii="Times New Roman" w:eastAsia="Times New Roman" w:hAnsi="Times New Roman" w:cs="Times New Roman"/>
          <w:sz w:val="28"/>
          <w:szCs w:val="28"/>
        </w:rPr>
        <w:t>61</w:t>
      </w:r>
      <w:r w:rsidR="00B443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6B1635">
        <w:rPr>
          <w:rFonts w:ascii="Times New Roman" w:eastAsia="Times New Roman" w:hAnsi="Times New Roman" w:cs="Times New Roman"/>
          <w:sz w:val="28"/>
          <w:szCs w:val="28"/>
        </w:rPr>
        <w:t>(b)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 be amended </w:t>
      </w:r>
      <w:r w:rsidR="00133D23">
        <w:rPr>
          <w:rFonts w:ascii="Times New Roman" w:eastAsia="Times New Roman" w:hAnsi="Times New Roman" w:cs="Times New Roman"/>
          <w:sz w:val="28"/>
          <w:szCs w:val="28"/>
        </w:rPr>
        <w:t>consistent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 with </w:t>
      </w:r>
      <w:r w:rsidR="00133D23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proposed amendments to Federal Rule of Evidence </w:t>
      </w:r>
      <w:r w:rsidR="00E8119A">
        <w:rPr>
          <w:rFonts w:ascii="Times New Roman" w:eastAsia="Times New Roman" w:hAnsi="Times New Roman" w:cs="Times New Roman"/>
          <w:sz w:val="28"/>
          <w:szCs w:val="28"/>
        </w:rPr>
        <w:t>61</w:t>
      </w:r>
      <w:r w:rsidR="00B443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1F1695">
        <w:rPr>
          <w:rFonts w:ascii="Times New Roman" w:eastAsia="Times New Roman" w:hAnsi="Times New Roman" w:cs="Times New Roman"/>
          <w:sz w:val="28"/>
          <w:szCs w:val="28"/>
        </w:rPr>
        <w:t>(b)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, which are expected to become effective </w:t>
      </w:r>
      <w:r w:rsidR="005751A3">
        <w:rPr>
          <w:rFonts w:ascii="Times New Roman" w:eastAsia="Times New Roman" w:hAnsi="Times New Roman" w:cs="Times New Roman"/>
          <w:sz w:val="28"/>
          <w:szCs w:val="28"/>
        </w:rPr>
        <w:t>December 1, 202</w:t>
      </w:r>
      <w:r w:rsidR="00B443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51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83E78">
        <w:rPr>
          <w:rFonts w:ascii="Times New Roman" w:eastAsia="Times New Roman" w:hAnsi="Times New Roman" w:cs="Times New Roman"/>
          <w:sz w:val="28"/>
          <w:szCs w:val="28"/>
        </w:rPr>
        <w:t>At its December 1, 2023, meeting, our committee unanimously approved this Petition for filing to accomplish the same.</w:t>
      </w:r>
    </w:p>
    <w:p w14:paraId="2386D714" w14:textId="22B95FD7" w:rsidR="005F6861" w:rsidRPr="005F6861" w:rsidRDefault="005F6861" w:rsidP="00A83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b/>
          <w:sz w:val="28"/>
          <w:szCs w:val="28"/>
        </w:rPr>
        <w:t>SUMMARY OF THE PROPOSED AMENDMENTS</w:t>
      </w:r>
    </w:p>
    <w:p w14:paraId="06F5F130" w14:textId="77777777" w:rsidR="005F6861" w:rsidRPr="005F6861" w:rsidRDefault="005F6861" w:rsidP="005F6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326687" w14:textId="57D5EBEF" w:rsidR="003C5493" w:rsidRDefault="005F6861" w:rsidP="005F6861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sz w:val="28"/>
          <w:szCs w:val="28"/>
        </w:rPr>
        <w:tab/>
      </w:r>
      <w:r w:rsidR="00503180">
        <w:rPr>
          <w:rFonts w:ascii="Times New Roman" w:eastAsia="Times New Roman" w:hAnsi="Times New Roman" w:cs="Times New Roman"/>
          <w:sz w:val="28"/>
          <w:szCs w:val="28"/>
        </w:rPr>
        <w:t>Arizona Rule of Evidence 61</w:t>
      </w:r>
      <w:r w:rsidR="00B44332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503180">
        <w:rPr>
          <w:rFonts w:ascii="Times New Roman" w:eastAsia="Times New Roman" w:hAnsi="Times New Roman" w:cs="Times New Roman"/>
          <w:sz w:val="28"/>
          <w:szCs w:val="28"/>
        </w:rPr>
        <w:t>and Federal Rule of Evidence 61</w:t>
      </w:r>
      <w:r w:rsidR="00B443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0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EDF">
        <w:rPr>
          <w:rFonts w:ascii="Times New Roman" w:eastAsia="Times New Roman" w:hAnsi="Times New Roman" w:cs="Times New Roman"/>
          <w:sz w:val="28"/>
          <w:szCs w:val="28"/>
        </w:rPr>
        <w:t>state that extrinsic evidence of a witness’</w:t>
      </w:r>
      <w:r w:rsidR="00C60AAD">
        <w:rPr>
          <w:rFonts w:ascii="Times New Roman" w:eastAsia="Times New Roman" w:hAnsi="Times New Roman" w:cs="Times New Roman"/>
          <w:sz w:val="28"/>
          <w:szCs w:val="28"/>
        </w:rPr>
        <w:t>s</w:t>
      </w:r>
      <w:r w:rsidR="00631EDF">
        <w:rPr>
          <w:rFonts w:ascii="Times New Roman" w:eastAsia="Times New Roman" w:hAnsi="Times New Roman" w:cs="Times New Roman"/>
          <w:sz w:val="28"/>
          <w:szCs w:val="28"/>
        </w:rPr>
        <w:t xml:space="preserve"> prior </w:t>
      </w:r>
      <w:r w:rsidR="00733D0C">
        <w:rPr>
          <w:rFonts w:ascii="Times New Roman" w:eastAsia="Times New Roman" w:hAnsi="Times New Roman" w:cs="Times New Roman"/>
          <w:sz w:val="28"/>
          <w:szCs w:val="28"/>
        </w:rPr>
        <w:t xml:space="preserve">inconsistent </w:t>
      </w:r>
      <w:r w:rsidR="00021987">
        <w:rPr>
          <w:rFonts w:ascii="Times New Roman" w:eastAsia="Times New Roman" w:hAnsi="Times New Roman" w:cs="Times New Roman"/>
          <w:sz w:val="28"/>
          <w:szCs w:val="28"/>
        </w:rPr>
        <w:t>statement</w:t>
      </w:r>
      <w:r w:rsidR="00733D0C">
        <w:rPr>
          <w:rFonts w:ascii="Times New Roman" w:eastAsia="Times New Roman" w:hAnsi="Times New Roman" w:cs="Times New Roman"/>
          <w:sz w:val="28"/>
          <w:szCs w:val="28"/>
        </w:rPr>
        <w:t xml:space="preserve"> is admissible </w:t>
      </w:r>
      <w:r w:rsidR="00021987">
        <w:rPr>
          <w:rFonts w:ascii="Times New Roman" w:eastAsia="Times New Roman" w:hAnsi="Times New Roman" w:cs="Times New Roman"/>
          <w:sz w:val="28"/>
          <w:szCs w:val="28"/>
        </w:rPr>
        <w:t>o</w:t>
      </w:r>
      <w:r w:rsidR="00733D0C">
        <w:rPr>
          <w:rFonts w:ascii="Times New Roman" w:eastAsia="Times New Roman" w:hAnsi="Times New Roman" w:cs="Times New Roman"/>
          <w:sz w:val="28"/>
          <w:szCs w:val="28"/>
        </w:rPr>
        <w:t>nly if the witness</w:t>
      </w:r>
      <w:r w:rsidR="00021987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733D0C">
        <w:rPr>
          <w:rFonts w:ascii="Times New Roman" w:eastAsia="Times New Roman" w:hAnsi="Times New Roman" w:cs="Times New Roman"/>
          <w:sz w:val="28"/>
          <w:szCs w:val="28"/>
        </w:rPr>
        <w:t xml:space="preserve">is given an opportunity to explain or deny the statement </w:t>
      </w:r>
      <w:r w:rsidR="00021987">
        <w:rPr>
          <w:rFonts w:ascii="Times New Roman" w:eastAsia="Times New Roman" w:hAnsi="Times New Roman" w:cs="Times New Roman"/>
          <w:sz w:val="28"/>
          <w:szCs w:val="28"/>
        </w:rPr>
        <w:t xml:space="preserve">and an adverse </w:t>
      </w:r>
      <w:r w:rsidR="000219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party is given an opportunity to cross examine the witness about it, or </w:t>
      </w:r>
      <w:r w:rsidR="002124E7">
        <w:rPr>
          <w:rFonts w:ascii="Times New Roman" w:eastAsia="Times New Roman" w:hAnsi="Times New Roman" w:cs="Times New Roman"/>
          <w:sz w:val="28"/>
          <w:szCs w:val="28"/>
        </w:rPr>
        <w:t xml:space="preserve">if justice so requires.” The rule is silent on </w:t>
      </w:r>
      <w:r w:rsidR="002124E7" w:rsidRPr="00F5449B">
        <w:rPr>
          <w:rFonts w:ascii="Times New Roman" w:eastAsia="Times New Roman" w:hAnsi="Times New Roman" w:cs="Times New Roman"/>
          <w:i/>
          <w:iCs/>
          <w:sz w:val="28"/>
          <w:szCs w:val="28"/>
        </w:rPr>
        <w:t>when</w:t>
      </w:r>
      <w:r w:rsidR="002124E7">
        <w:rPr>
          <w:rFonts w:ascii="Times New Roman" w:eastAsia="Times New Roman" w:hAnsi="Times New Roman" w:cs="Times New Roman"/>
          <w:sz w:val="28"/>
          <w:szCs w:val="28"/>
        </w:rPr>
        <w:t xml:space="preserve"> the opportunities for the witness to explain or deny the statement and for the adverse party to cross examine must occur. </w:t>
      </w:r>
      <w:r w:rsidR="00503180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>proposed amendments</w:t>
      </w:r>
      <w:r w:rsidR="00191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are intended to conform Arizona Rule of Evidence </w:t>
      </w:r>
      <w:r w:rsidR="00080329">
        <w:rPr>
          <w:rFonts w:ascii="Times New Roman" w:eastAsia="Times New Roman" w:hAnsi="Times New Roman" w:cs="Times New Roman"/>
          <w:sz w:val="28"/>
          <w:szCs w:val="28"/>
        </w:rPr>
        <w:t>61</w:t>
      </w:r>
      <w:r w:rsidR="002124E7">
        <w:rPr>
          <w:rFonts w:ascii="Times New Roman" w:eastAsia="Times New Roman" w:hAnsi="Times New Roman" w:cs="Times New Roman"/>
          <w:sz w:val="28"/>
          <w:szCs w:val="28"/>
        </w:rPr>
        <w:t>3(b)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r w:rsidR="00090F9B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5F6861">
        <w:rPr>
          <w:rFonts w:ascii="Times New Roman" w:eastAsia="Times New Roman" w:hAnsi="Times New Roman" w:cs="Times New Roman"/>
          <w:sz w:val="28"/>
          <w:szCs w:val="28"/>
        </w:rPr>
        <w:t xml:space="preserve">proposed Federal Rule of Evidence </w:t>
      </w:r>
      <w:r w:rsidR="00080329">
        <w:rPr>
          <w:rFonts w:ascii="Times New Roman" w:eastAsia="Times New Roman" w:hAnsi="Times New Roman" w:cs="Times New Roman"/>
          <w:sz w:val="28"/>
          <w:szCs w:val="28"/>
        </w:rPr>
        <w:t>61</w:t>
      </w:r>
      <w:r w:rsidR="002124E7">
        <w:rPr>
          <w:rFonts w:ascii="Times New Roman" w:eastAsia="Times New Roman" w:hAnsi="Times New Roman" w:cs="Times New Roman"/>
          <w:sz w:val="28"/>
          <w:szCs w:val="28"/>
        </w:rPr>
        <w:t>3(b).</w:t>
      </w:r>
      <w:r w:rsidR="003C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A605726" w14:textId="1590C8DB" w:rsidR="00CD34BD" w:rsidRDefault="003C5493" w:rsidP="00F76897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261E8">
        <w:rPr>
          <w:rFonts w:ascii="Times New Roman" w:eastAsia="Times New Roman" w:hAnsi="Times New Roman" w:cs="Times New Roman"/>
          <w:color w:val="000000"/>
          <w:sz w:val="28"/>
          <w:szCs w:val="28"/>
        </w:rPr>
        <w:t>In proposing an amendment to Federal Rule of Evidence 61</w:t>
      </w:r>
      <w:r w:rsidR="002124E7">
        <w:rPr>
          <w:rFonts w:ascii="Times New Roman" w:eastAsia="Times New Roman" w:hAnsi="Times New Roman" w:cs="Times New Roman"/>
          <w:color w:val="000000"/>
          <w:sz w:val="28"/>
          <w:szCs w:val="28"/>
        </w:rPr>
        <w:t>3(b)</w:t>
      </w:r>
      <w:r w:rsidR="00A261E8">
        <w:rPr>
          <w:rFonts w:ascii="Times New Roman" w:eastAsia="Times New Roman" w:hAnsi="Times New Roman" w:cs="Times New Roman"/>
          <w:color w:val="000000"/>
          <w:sz w:val="28"/>
          <w:szCs w:val="28"/>
        </w:rPr>
        <w:t>, t</w:t>
      </w:r>
      <w:r w:rsidR="008C4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 </w:t>
      </w:r>
      <w:r w:rsidR="000F721A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="008C4AB1">
        <w:rPr>
          <w:rFonts w:ascii="Times New Roman" w:eastAsia="Times New Roman" w:hAnsi="Times New Roman" w:cs="Times New Roman"/>
          <w:color w:val="000000"/>
          <w:sz w:val="28"/>
          <w:szCs w:val="28"/>
        </w:rPr>
        <w:t>ederal Advisory Committee</w:t>
      </w:r>
      <w:r w:rsidR="00E91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 Evidence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Rules</w:t>
      </w:r>
      <w:r w:rsidR="001C1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noted that the common law required that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F5449B" w:rsidRPr="00822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before</w:t>
      </w:r>
      <w:r w:rsidR="001C1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witness could be impeached with extrinsic </w:t>
      </w:r>
      <w:r w:rsidR="00E72FD2">
        <w:rPr>
          <w:rFonts w:ascii="Times New Roman" w:eastAsia="Times New Roman" w:hAnsi="Times New Roman" w:cs="Times New Roman"/>
          <w:color w:val="000000"/>
          <w:sz w:val="28"/>
          <w:szCs w:val="28"/>
        </w:rPr>
        <w:t>evidence</w:t>
      </w:r>
      <w:r w:rsidR="001C1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a prior state</w:t>
      </w:r>
      <w:r w:rsidR="00E72FD2">
        <w:rPr>
          <w:rFonts w:ascii="Times New Roman" w:eastAsia="Times New Roman" w:hAnsi="Times New Roman" w:cs="Times New Roman"/>
          <w:color w:val="000000"/>
          <w:sz w:val="28"/>
          <w:szCs w:val="28"/>
        </w:rPr>
        <w:t>ment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>—the</w:t>
      </w:r>
      <w:r w:rsidR="002D4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adverse party was required to give the witness an opportunity to explain or deny the statement. The 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present </w:t>
      </w:r>
      <w:r w:rsidR="002D4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federal rule, like Arizona’s 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present </w:t>
      </w:r>
      <w:r w:rsidR="002D416B">
        <w:rPr>
          <w:rFonts w:ascii="Times New Roman" w:eastAsia="Times New Roman" w:hAnsi="Times New Roman" w:cs="Times New Roman"/>
          <w:color w:val="000000"/>
          <w:sz w:val="28"/>
          <w:szCs w:val="28"/>
        </w:rPr>
        <w:t>rule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D4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>omits</w:t>
      </w:r>
      <w:r w:rsidR="00E72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“prior presentation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E72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requirement and allows the extrinsic evidence </w:t>
      </w:r>
      <w:r w:rsidR="00C60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first, </w:t>
      </w:r>
      <w:r w:rsidR="002A0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provided there is </w:t>
      </w:r>
      <w:r w:rsidR="00E72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 opportunity to explain or </w:t>
      </w:r>
      <w:r w:rsidR="00E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deny the statement at some point 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>during the hearing or trial</w:t>
      </w:r>
      <w:r w:rsidR="00EA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The </w:t>
      </w:r>
      <w:r w:rsidR="00EA59FB" w:rsidRPr="002A0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federal </w:t>
      </w:r>
      <w:r w:rsidR="002A0CC1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EA59FB" w:rsidRPr="002A0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dvisory </w:t>
      </w:r>
      <w:r w:rsidR="002A0CC1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EA59FB" w:rsidRPr="002A0CC1">
        <w:rPr>
          <w:rFonts w:ascii="Times New Roman" w:eastAsia="Times New Roman" w:hAnsi="Times New Roman" w:cs="Times New Roman"/>
          <w:color w:val="000000"/>
          <w:sz w:val="28"/>
          <w:szCs w:val="28"/>
        </w:rPr>
        <w:t>ommittee concluded that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A59FB" w:rsidRPr="002A0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r w:rsidR="002A0CC1" w:rsidRPr="002A0CC1">
        <w:rPr>
          <w:rFonts w:ascii="Times New Roman" w:eastAsia="Times New Roman" w:hAnsi="Times New Roman" w:cs="Times New Roman"/>
          <w:color w:val="000000"/>
          <w:sz w:val="28"/>
          <w:szCs w:val="28"/>
        </w:rPr>
        <w:t>practice</w:t>
      </w:r>
      <w:r w:rsidR="00EA59FB" w:rsidRPr="002A0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most courts </w:t>
      </w:r>
      <w:r w:rsidR="002A0CC1" w:rsidRPr="002A0CC1">
        <w:rPr>
          <w:rFonts w:ascii="Times New Roman" w:eastAsia="Times New Roman" w:hAnsi="Times New Roman" w:cs="Times New Roman"/>
          <w:color w:val="000000"/>
          <w:sz w:val="28"/>
          <w:szCs w:val="28"/>
        </w:rPr>
        <w:t>have retained the prior presentation requirement.</w:t>
      </w:r>
      <w:r w:rsidR="00E72FD2" w:rsidRPr="002A0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462C">
        <w:rPr>
          <w:rFonts w:ascii="Times New Roman" w:eastAsia="Times New Roman" w:hAnsi="Times New Roman" w:cs="Times New Roman"/>
          <w:color w:val="000000"/>
          <w:sz w:val="28"/>
          <w:szCs w:val="28"/>
        </w:rPr>
        <w:t>The federal Advisory Committee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also</w:t>
      </w:r>
      <w:r w:rsidR="00C94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concluded that 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 w:rsidR="00881FC0">
        <w:rPr>
          <w:rFonts w:ascii="Times New Roman" w:eastAsia="Times New Roman" w:hAnsi="Times New Roman" w:cs="Times New Roman"/>
          <w:color w:val="000000"/>
          <w:sz w:val="28"/>
          <w:szCs w:val="28"/>
        </w:rPr>
        <w:t>prior</w:t>
      </w:r>
      <w:r w:rsidR="00C94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1FC0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C9462C">
        <w:rPr>
          <w:rFonts w:ascii="Times New Roman" w:eastAsia="Times New Roman" w:hAnsi="Times New Roman" w:cs="Times New Roman"/>
          <w:color w:val="000000"/>
          <w:sz w:val="28"/>
          <w:szCs w:val="28"/>
        </w:rPr>
        <w:t>resentation requirement save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C94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time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94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because a witness will often </w:t>
      </w:r>
      <w:r w:rsidR="00D455FB">
        <w:rPr>
          <w:rFonts w:ascii="Times New Roman" w:eastAsia="Times New Roman" w:hAnsi="Times New Roman" w:cs="Times New Roman"/>
          <w:color w:val="000000"/>
          <w:sz w:val="28"/>
          <w:szCs w:val="28"/>
        </w:rPr>
        <w:t>concede</w:t>
      </w:r>
      <w:r w:rsidR="00572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>they</w:t>
      </w:r>
      <w:r w:rsidR="00572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made the statement, and that the prior presentation requirement avoids the 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practical </w:t>
      </w:r>
      <w:r w:rsidR="005726F1">
        <w:rPr>
          <w:rFonts w:ascii="Times New Roman" w:eastAsia="Times New Roman" w:hAnsi="Times New Roman" w:cs="Times New Roman"/>
          <w:color w:val="000000"/>
          <w:sz w:val="28"/>
          <w:szCs w:val="28"/>
        </w:rPr>
        <w:t>difficult</w:t>
      </w:r>
      <w:r w:rsidR="00881FC0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probable delay</w:t>
      </w:r>
      <w:r w:rsidR="00881F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2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calling a witness </w:t>
      </w:r>
      <w:r w:rsidR="00881FC0">
        <w:rPr>
          <w:rFonts w:ascii="Times New Roman" w:eastAsia="Times New Roman" w:hAnsi="Times New Roman" w:cs="Times New Roman"/>
          <w:color w:val="000000"/>
          <w:sz w:val="28"/>
          <w:szCs w:val="28"/>
        </w:rPr>
        <w:t>back to the stand if extrinsic evidence has been admitted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without that opportunity being first afforded</w:t>
      </w:r>
      <w:r w:rsidR="00D455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22D9A1A" w14:textId="54AB7B7E" w:rsidR="00ED053A" w:rsidRPr="00495C8C" w:rsidRDefault="008972ED" w:rsidP="00ED053A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>Accordingly,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 </w:t>
      </w:r>
      <w:r w:rsidR="00C30195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ederal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body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55FB">
        <w:rPr>
          <w:rFonts w:ascii="Times New Roman" w:eastAsia="Times New Roman" w:hAnsi="Times New Roman" w:cs="Times New Roman"/>
          <w:color w:val="000000"/>
          <w:sz w:val="28"/>
          <w:szCs w:val="28"/>
        </w:rPr>
        <w:t>determined that the prior presentation requirement is the better rule</w:t>
      </w:r>
      <w:r w:rsidR="00FB2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with </w:t>
      </w:r>
      <w:r w:rsidR="00ED053A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r w:rsidR="00FB2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trial </w:t>
      </w:r>
      <w:r w:rsidR="00FB2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court having discretion to allow a later opportunity if 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>such</w:t>
      </w:r>
      <w:r w:rsidR="00FB2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opportunity becomes </w:t>
      </w:r>
      <w:r w:rsidR="00ED053A">
        <w:rPr>
          <w:rFonts w:ascii="Times New Roman" w:eastAsia="Times New Roman" w:hAnsi="Times New Roman" w:cs="Times New Roman"/>
          <w:color w:val="000000"/>
          <w:sz w:val="28"/>
          <w:szCs w:val="28"/>
        </w:rPr>
        <w:t>appropriate</w:t>
      </w:r>
      <w:r w:rsidR="00FB2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0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based on the presentation of evidence. 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>Proposed amended Federal Rule of Evidence 613(b)</w:t>
      </w:r>
      <w:r w:rsidR="00F54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thus</w:t>
      </w:r>
      <w:r w:rsidR="001F1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incorporates the prior presentation requirement.</w:t>
      </w:r>
      <w:r w:rsidR="00F5449B">
        <w:rPr>
          <w:rStyle w:val="FootnoteReference"/>
          <w:rFonts w:ascii="Times New Roman" w:eastAsia="Times New Roman" w:hAnsi="Times New Roman" w:cs="Times New Roman"/>
          <w:color w:val="000000"/>
          <w:sz w:val="28"/>
          <w:szCs w:val="28"/>
        </w:rPr>
        <w:footnoteReference w:id="1"/>
      </w:r>
    </w:p>
    <w:p w14:paraId="265C2E11" w14:textId="72B387AF" w:rsidR="002E365A" w:rsidRPr="002E365A" w:rsidRDefault="002E365A" w:rsidP="00F544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A">
        <w:rPr>
          <w:rFonts w:ascii="Times New Roman" w:hAnsi="Times New Roman" w:cs="Times New Roman"/>
          <w:b/>
          <w:sz w:val="28"/>
          <w:szCs w:val="28"/>
        </w:rPr>
        <w:t xml:space="preserve">SPECIFICS OF THE PROPOSED AMENDMENTS TO </w:t>
      </w:r>
      <w:r w:rsidR="00F5449B">
        <w:rPr>
          <w:rFonts w:ascii="Times New Roman" w:hAnsi="Times New Roman" w:cs="Times New Roman"/>
          <w:b/>
          <w:sz w:val="28"/>
          <w:szCs w:val="28"/>
        </w:rPr>
        <w:t>ARIZ. R. EVID. 613</w:t>
      </w:r>
    </w:p>
    <w:p w14:paraId="6E7B5337" w14:textId="77777777" w:rsidR="002E365A" w:rsidRPr="002E365A" w:rsidRDefault="002E365A" w:rsidP="002E365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b/>
          <w:sz w:val="28"/>
          <w:szCs w:val="28"/>
        </w:rPr>
      </w:pPr>
    </w:p>
    <w:p w14:paraId="75676EED" w14:textId="3D18F5AA" w:rsidR="00864575" w:rsidRDefault="00CD34BD" w:rsidP="00F76897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C57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Consistent with the proposed amendments to the federal rules, </w:t>
      </w:r>
      <w:r w:rsidR="00C57391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F35BC0" w:rsidRPr="00F35BC0">
        <w:rPr>
          <w:rFonts w:ascii="Times New Roman" w:hAnsi="Times New Roman" w:cs="Times New Roman"/>
          <w:color w:val="000000"/>
          <w:sz w:val="28"/>
          <w:szCs w:val="28"/>
        </w:rPr>
        <w:t xml:space="preserve">he </w:t>
      </w:r>
      <w:r w:rsidR="00FF5767">
        <w:rPr>
          <w:rFonts w:ascii="Times New Roman" w:hAnsi="Times New Roman" w:cs="Times New Roman"/>
          <w:color w:val="000000"/>
          <w:sz w:val="28"/>
          <w:szCs w:val="28"/>
        </w:rPr>
        <w:t xml:space="preserve">proposed </w:t>
      </w:r>
      <w:r w:rsidR="00BA0B95">
        <w:rPr>
          <w:rFonts w:ascii="Times New Roman" w:hAnsi="Times New Roman" w:cs="Times New Roman"/>
          <w:color w:val="000000"/>
          <w:sz w:val="28"/>
          <w:szCs w:val="28"/>
        </w:rPr>
        <w:t>Arizona</w:t>
      </w:r>
      <w:r w:rsidR="00BA0B95" w:rsidRPr="00F35B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5BC0" w:rsidRPr="00F35BC0">
        <w:rPr>
          <w:rFonts w:ascii="Times New Roman" w:hAnsi="Times New Roman" w:cs="Times New Roman"/>
          <w:color w:val="000000"/>
          <w:sz w:val="28"/>
          <w:szCs w:val="28"/>
        </w:rPr>
        <w:t xml:space="preserve">amendments </w:t>
      </w:r>
      <w:r w:rsidR="00F830AE">
        <w:rPr>
          <w:rFonts w:ascii="Times New Roman" w:hAnsi="Times New Roman" w:cs="Times New Roman"/>
          <w:color w:val="000000"/>
          <w:sz w:val="28"/>
          <w:szCs w:val="28"/>
        </w:rPr>
        <w:t xml:space="preserve">would </w:t>
      </w:r>
      <w:r w:rsidR="001F1695">
        <w:rPr>
          <w:rFonts w:ascii="Times New Roman" w:hAnsi="Times New Roman" w:cs="Times New Roman"/>
          <w:color w:val="000000"/>
          <w:sz w:val="28"/>
          <w:szCs w:val="28"/>
        </w:rPr>
        <w:t>provide</w:t>
      </w:r>
      <w:r w:rsidR="00F830AE">
        <w:rPr>
          <w:rFonts w:ascii="Times New Roman" w:hAnsi="Times New Roman" w:cs="Times New Roman"/>
          <w:color w:val="000000"/>
          <w:sz w:val="28"/>
          <w:szCs w:val="28"/>
        </w:rPr>
        <w:t xml:space="preserve"> that extrinsic evidence of a prior inconsistent statement is not admissible until the </w:t>
      </w:r>
      <w:r w:rsidR="005561F2">
        <w:rPr>
          <w:rFonts w:ascii="Times New Roman" w:hAnsi="Times New Roman" w:cs="Times New Roman"/>
          <w:color w:val="000000"/>
          <w:sz w:val="28"/>
          <w:szCs w:val="28"/>
        </w:rPr>
        <w:t>witness</w:t>
      </w:r>
      <w:r w:rsidR="00F830AE">
        <w:rPr>
          <w:rFonts w:ascii="Times New Roman" w:hAnsi="Times New Roman" w:cs="Times New Roman"/>
          <w:color w:val="000000"/>
          <w:sz w:val="28"/>
          <w:szCs w:val="28"/>
        </w:rPr>
        <w:t xml:space="preserve"> i</w:t>
      </w:r>
      <w:r w:rsidR="00FC4550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F830AE">
        <w:rPr>
          <w:rFonts w:ascii="Times New Roman" w:hAnsi="Times New Roman" w:cs="Times New Roman"/>
          <w:color w:val="000000"/>
          <w:sz w:val="28"/>
          <w:szCs w:val="28"/>
        </w:rPr>
        <w:t xml:space="preserve"> given an opportunity to explain or deny the </w:t>
      </w:r>
      <w:r w:rsidR="005561F2">
        <w:rPr>
          <w:rFonts w:ascii="Times New Roman" w:hAnsi="Times New Roman" w:cs="Times New Roman"/>
          <w:color w:val="000000"/>
          <w:sz w:val="28"/>
          <w:szCs w:val="28"/>
        </w:rPr>
        <w:t>statement</w:t>
      </w:r>
      <w:r w:rsidR="00F830AE">
        <w:rPr>
          <w:rFonts w:ascii="Times New Roman" w:hAnsi="Times New Roman" w:cs="Times New Roman"/>
          <w:color w:val="000000"/>
          <w:sz w:val="28"/>
          <w:szCs w:val="28"/>
        </w:rPr>
        <w:t xml:space="preserve">. The amendment would also give trial courts discretion to dispense with the requirement if </w:t>
      </w:r>
      <w:r w:rsidR="005561F2">
        <w:rPr>
          <w:rFonts w:ascii="Times New Roman" w:hAnsi="Times New Roman" w:cs="Times New Roman"/>
          <w:color w:val="000000"/>
          <w:sz w:val="28"/>
          <w:szCs w:val="28"/>
        </w:rPr>
        <w:t xml:space="preserve">the trial court deems it appropriate. </w:t>
      </w:r>
      <w:r w:rsidR="001F1695">
        <w:rPr>
          <w:rFonts w:ascii="Times New Roman" w:hAnsi="Times New Roman" w:cs="Times New Roman"/>
          <w:color w:val="000000"/>
          <w:sz w:val="28"/>
          <w:szCs w:val="28"/>
        </w:rPr>
        <w:t xml:space="preserve"> As amended, the revised Arizona Rule of Evidence 613(b) would track the proposed amended Federal Rule of Evidence 613(b).</w:t>
      </w:r>
      <w:r w:rsidR="00C158E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0C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923B67" w14:textId="7DAD04F9" w:rsidR="00DD09E6" w:rsidRPr="00FC4550" w:rsidRDefault="00864575" w:rsidP="00F76897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7EC4">
        <w:rPr>
          <w:rFonts w:ascii="Times New Roman" w:hAnsi="Times New Roman" w:cs="Times New Roman"/>
          <w:color w:val="000000"/>
          <w:sz w:val="28"/>
          <w:szCs w:val="28"/>
        </w:rPr>
        <w:t>In addition to serving the objective of keeping Arizona’s Rule 613(b) consistent with its federal counterpart, 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he </w:t>
      </w:r>
      <w:r w:rsidR="00FA7EC4">
        <w:rPr>
          <w:rFonts w:ascii="Times New Roman" w:hAnsi="Times New Roman" w:cs="Times New Roman"/>
          <w:color w:val="000000"/>
          <w:sz w:val="28"/>
          <w:szCs w:val="28"/>
        </w:rPr>
        <w:t xml:space="preserve">proposed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amendment </w:t>
      </w:r>
      <w:r w:rsidR="00FA7EC4">
        <w:rPr>
          <w:rFonts w:ascii="Times New Roman" w:hAnsi="Times New Roman" w:cs="Times New Roman"/>
          <w:color w:val="000000"/>
          <w:sz w:val="28"/>
          <w:szCs w:val="28"/>
        </w:rPr>
        <w:t xml:space="preserve">will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provide a clear rule regarding the timing of 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>the witness’</w:t>
      </w:r>
      <w:r w:rsidR="00C60AAD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 opportunity to explain or deny</w:t>
      </w:r>
      <w:r w:rsidR="0046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and set clear </w:t>
      </w:r>
      <w:r w:rsidR="00952F72">
        <w:rPr>
          <w:rFonts w:ascii="Times New Roman" w:hAnsi="Times New Roman" w:cs="Times New Roman"/>
          <w:color w:val="000000"/>
          <w:sz w:val="28"/>
          <w:szCs w:val="28"/>
        </w:rPr>
        <w:t>guidelines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 for a party seeking </w:t>
      </w:r>
      <w:r w:rsidR="00FA7EC4">
        <w:rPr>
          <w:rFonts w:ascii="Times New Roman" w:hAnsi="Times New Roman" w:cs="Times New Roman"/>
          <w:color w:val="000000"/>
          <w:sz w:val="28"/>
          <w:szCs w:val="28"/>
        </w:rPr>
        <w:t>to admit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F72">
        <w:rPr>
          <w:rFonts w:ascii="Times New Roman" w:hAnsi="Times New Roman" w:cs="Times New Roman"/>
          <w:color w:val="000000"/>
          <w:sz w:val="28"/>
          <w:szCs w:val="28"/>
        </w:rPr>
        <w:t>extrinsic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 evidence</w:t>
      </w:r>
      <w:r w:rsidR="00FA7EC4">
        <w:rPr>
          <w:rFonts w:ascii="Times New Roman" w:hAnsi="Times New Roman" w:cs="Times New Roman"/>
          <w:color w:val="000000"/>
          <w:sz w:val="28"/>
          <w:szCs w:val="28"/>
        </w:rPr>
        <w:t xml:space="preserve"> of a prior inconsistent statement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. As the federal </w:t>
      </w:r>
      <w:r w:rsidR="00952F72">
        <w:rPr>
          <w:rFonts w:ascii="Times New Roman" w:hAnsi="Times New Roman" w:cs="Times New Roman"/>
          <w:color w:val="000000"/>
          <w:sz w:val="28"/>
          <w:szCs w:val="28"/>
        </w:rPr>
        <w:t>Advisory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 Committee noted</w:t>
      </w:r>
      <w:r w:rsidR="00952F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="00FA7EC4">
        <w:rPr>
          <w:rFonts w:ascii="Times New Roman" w:hAnsi="Times New Roman" w:cs="Times New Roman"/>
          <w:color w:val="000000"/>
          <w:sz w:val="28"/>
          <w:szCs w:val="28"/>
        </w:rPr>
        <w:t xml:space="preserve">prior presentation </w:t>
      </w:r>
      <w:r w:rsidR="00FA7EC4">
        <w:rPr>
          <w:rFonts w:ascii="Times New Roman" w:hAnsi="Times New Roman" w:cs="Times New Roman"/>
          <w:color w:val="000000"/>
          <w:sz w:val="28"/>
          <w:szCs w:val="28"/>
        </w:rPr>
        <w:lastRenderedPageBreak/>
        <w:t>requirement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7EC4">
        <w:rPr>
          <w:rFonts w:ascii="Times New Roman" w:hAnsi="Times New Roman" w:cs="Times New Roman"/>
          <w:color w:val="000000"/>
          <w:sz w:val="28"/>
          <w:szCs w:val="28"/>
        </w:rPr>
        <w:t xml:space="preserve">often 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>save</w:t>
      </w:r>
      <w:r w:rsidR="00FA7EC4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 time because many witnesses </w:t>
      </w:r>
      <w:r w:rsidR="00FA7EC4">
        <w:rPr>
          <w:rFonts w:ascii="Times New Roman" w:hAnsi="Times New Roman" w:cs="Times New Roman"/>
          <w:color w:val="000000"/>
          <w:sz w:val="28"/>
          <w:szCs w:val="28"/>
        </w:rPr>
        <w:t xml:space="preserve">will 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concede making the </w:t>
      </w:r>
      <w:r w:rsidR="00952F72">
        <w:rPr>
          <w:rFonts w:ascii="Times New Roman" w:hAnsi="Times New Roman" w:cs="Times New Roman"/>
          <w:color w:val="000000"/>
          <w:sz w:val="28"/>
          <w:szCs w:val="28"/>
        </w:rPr>
        <w:t>prior</w:t>
      </w:r>
      <w:r w:rsidR="00CA21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0A16">
        <w:rPr>
          <w:rFonts w:ascii="Times New Roman" w:hAnsi="Times New Roman" w:cs="Times New Roman"/>
          <w:color w:val="000000"/>
          <w:sz w:val="28"/>
          <w:szCs w:val="28"/>
        </w:rPr>
        <w:t>inconsistent statement. Finally, the requirement avoids the</w:t>
      </w:r>
      <w:r w:rsidR="00F5449B">
        <w:rPr>
          <w:rFonts w:ascii="Times New Roman" w:hAnsi="Times New Roman" w:cs="Times New Roman"/>
          <w:color w:val="000000"/>
          <w:sz w:val="28"/>
          <w:szCs w:val="28"/>
        </w:rPr>
        <w:t xml:space="preserve"> practical</w:t>
      </w:r>
      <w:r w:rsidR="00E90A16">
        <w:rPr>
          <w:rFonts w:ascii="Times New Roman" w:hAnsi="Times New Roman" w:cs="Times New Roman"/>
          <w:color w:val="000000"/>
          <w:sz w:val="28"/>
          <w:szCs w:val="28"/>
        </w:rPr>
        <w:t xml:space="preserve"> issues related t</w:t>
      </w:r>
      <w:r w:rsidR="006A25AE">
        <w:rPr>
          <w:rFonts w:ascii="Times New Roman" w:hAnsi="Times New Roman" w:cs="Times New Roman"/>
          <w:color w:val="000000"/>
          <w:sz w:val="28"/>
          <w:szCs w:val="28"/>
        </w:rPr>
        <w:t>o recalling</w:t>
      </w:r>
      <w:r w:rsidR="00E90A16">
        <w:rPr>
          <w:rFonts w:ascii="Times New Roman" w:hAnsi="Times New Roman" w:cs="Times New Roman"/>
          <w:color w:val="000000"/>
          <w:sz w:val="28"/>
          <w:szCs w:val="28"/>
        </w:rPr>
        <w:t xml:space="preserve"> witnesses who are not given an opportunity to explain or deny a statement before </w:t>
      </w:r>
      <w:r w:rsidR="00952F72">
        <w:rPr>
          <w:rFonts w:ascii="Times New Roman" w:hAnsi="Times New Roman" w:cs="Times New Roman"/>
          <w:color w:val="000000"/>
          <w:sz w:val="28"/>
          <w:szCs w:val="28"/>
        </w:rPr>
        <w:t>extrinsic</w:t>
      </w:r>
      <w:r w:rsidR="00E90A16">
        <w:rPr>
          <w:rFonts w:ascii="Times New Roman" w:hAnsi="Times New Roman" w:cs="Times New Roman"/>
          <w:color w:val="000000"/>
          <w:sz w:val="28"/>
          <w:szCs w:val="28"/>
        </w:rPr>
        <w:t xml:space="preserve"> evidence </w:t>
      </w:r>
      <w:r w:rsidR="00952F72">
        <w:rPr>
          <w:rFonts w:ascii="Times New Roman" w:hAnsi="Times New Roman" w:cs="Times New Roman"/>
          <w:color w:val="000000"/>
          <w:sz w:val="28"/>
          <w:szCs w:val="28"/>
        </w:rPr>
        <w:t xml:space="preserve">is admitted. </w:t>
      </w:r>
    </w:p>
    <w:p w14:paraId="011E3AFA" w14:textId="1F6CC74B" w:rsidR="00FF2B14" w:rsidRDefault="007B52CA" w:rsidP="00FF2B14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91E40" w:rsidRPr="00E91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recommending </w:t>
      </w:r>
      <w:r w:rsidR="00B329B5"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r w:rsidR="009C3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Arizona adopt</w:t>
      </w:r>
      <w:r w:rsidR="00B32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3BBD">
        <w:rPr>
          <w:rFonts w:ascii="Times New Roman" w:eastAsia="Times New Roman" w:hAnsi="Times New Roman" w:cs="Times New Roman"/>
          <w:color w:val="000000"/>
          <w:sz w:val="28"/>
          <w:szCs w:val="28"/>
        </w:rPr>
        <w:t>the proposed</w:t>
      </w:r>
      <w:r w:rsidR="00B32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3BBD">
        <w:rPr>
          <w:rFonts w:ascii="Times New Roman" w:eastAsia="Times New Roman" w:hAnsi="Times New Roman" w:cs="Times New Roman"/>
          <w:color w:val="000000"/>
          <w:sz w:val="28"/>
          <w:szCs w:val="28"/>
        </w:rPr>
        <w:t>federal rule</w:t>
      </w:r>
      <w:r w:rsidR="009C3BBD" w:rsidRPr="00E91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2FFC">
        <w:rPr>
          <w:rFonts w:ascii="Times New Roman" w:eastAsia="Times New Roman" w:hAnsi="Times New Roman" w:cs="Times New Roman"/>
          <w:color w:val="000000"/>
          <w:sz w:val="28"/>
          <w:szCs w:val="28"/>
        </w:rPr>
        <w:t>amendment</w:t>
      </w:r>
      <w:r w:rsidR="009C3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Arizona Rule of Evidence 61</w:t>
      </w:r>
      <w:r w:rsidR="00DD10E7">
        <w:rPr>
          <w:rFonts w:ascii="Times New Roman" w:eastAsia="Times New Roman" w:hAnsi="Times New Roman" w:cs="Times New Roman"/>
          <w:color w:val="000000"/>
          <w:sz w:val="28"/>
          <w:szCs w:val="28"/>
        </w:rPr>
        <w:t>3(b)</w:t>
      </w:r>
      <w:r w:rsidR="00E91E40" w:rsidRPr="00E91E40">
        <w:rPr>
          <w:rFonts w:ascii="Times New Roman" w:eastAsia="Times New Roman" w:hAnsi="Times New Roman" w:cs="Times New Roman"/>
          <w:color w:val="000000"/>
          <w:sz w:val="28"/>
          <w:szCs w:val="28"/>
        </w:rPr>
        <w:t>, the Arizona Advisory Committee on Rules of Evidence recognizes that the proposed amendment</w:t>
      </w:r>
      <w:r w:rsidR="0019646F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E91E40" w:rsidRPr="00E91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Federal Rule of Evidence </w:t>
      </w:r>
      <w:r w:rsidR="00191C93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  <w:r w:rsidR="00DD10E7">
        <w:rPr>
          <w:rFonts w:ascii="Times New Roman" w:eastAsia="Times New Roman" w:hAnsi="Times New Roman" w:cs="Times New Roman"/>
          <w:color w:val="000000"/>
          <w:sz w:val="28"/>
          <w:szCs w:val="28"/>
        </w:rPr>
        <w:t>3(b)</w:t>
      </w:r>
      <w:r w:rsidR="00E91E40" w:rsidRPr="00E91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646F">
        <w:rPr>
          <w:rFonts w:ascii="Times New Roman" w:eastAsia="Times New Roman" w:hAnsi="Times New Roman" w:cs="Times New Roman"/>
          <w:color w:val="000000"/>
          <w:sz w:val="28"/>
          <w:szCs w:val="28"/>
        </w:rPr>
        <w:t>have</w:t>
      </w:r>
      <w:r w:rsidR="00E91E40" w:rsidRPr="00E91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not been finally adopted</w:t>
      </w:r>
      <w:r w:rsidR="00191C93">
        <w:rPr>
          <w:rFonts w:ascii="Times New Roman" w:eastAsia="Times New Roman" w:hAnsi="Times New Roman" w:cs="Times New Roman"/>
          <w:color w:val="000000"/>
          <w:sz w:val="28"/>
          <w:szCs w:val="28"/>
        </w:rPr>
        <w:t>. The</w:t>
      </w:r>
      <w:r w:rsidR="006A2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United States Supreme Court, and ultimately Congress must still </w:t>
      </w:r>
      <w:r w:rsidR="006A25AE">
        <w:rPr>
          <w:rFonts w:ascii="Times New Roman" w:eastAsia="Times New Roman" w:hAnsi="Times New Roman" w:cs="Times New Roman"/>
          <w:color w:val="000000"/>
          <w:sz w:val="28"/>
          <w:szCs w:val="28"/>
        </w:rPr>
        <w:t>assent</w:t>
      </w:r>
      <w:r w:rsidR="00E91E40" w:rsidRPr="00E91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Thus, the Advisory Committee </w:t>
      </w:r>
      <w:r w:rsidR="00191C93">
        <w:rPr>
          <w:rFonts w:ascii="Times New Roman" w:eastAsia="Times New Roman" w:hAnsi="Times New Roman" w:cs="Times New Roman"/>
          <w:color w:val="000000"/>
          <w:sz w:val="28"/>
          <w:szCs w:val="28"/>
        </w:rPr>
        <w:t>conditions</w:t>
      </w:r>
      <w:r w:rsidR="00E91E40" w:rsidRPr="00E91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its recommendation on the final adoption of the proposed federal rule in its current form.</w:t>
      </w:r>
    </w:p>
    <w:p w14:paraId="2B2639A0" w14:textId="2E9DD146" w:rsidR="009330CC" w:rsidRDefault="009330CC" w:rsidP="00FF2B14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///</w:t>
      </w:r>
    </w:p>
    <w:p w14:paraId="777233C8" w14:textId="6B8C6C93" w:rsidR="009330CC" w:rsidRDefault="009330CC" w:rsidP="00FF2B14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///</w:t>
      </w:r>
    </w:p>
    <w:p w14:paraId="052E3FA3" w14:textId="3F66DEAA" w:rsidR="009330CC" w:rsidRPr="00DD10E7" w:rsidRDefault="009330CC" w:rsidP="00FF2B14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///</w:t>
      </w:r>
    </w:p>
    <w:p w14:paraId="040B6CEF" w14:textId="77777777" w:rsidR="005F6861" w:rsidRPr="005F6861" w:rsidRDefault="005F6861" w:rsidP="005F6861">
      <w:pPr>
        <w:keepNext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b/>
          <w:sz w:val="28"/>
          <w:szCs w:val="28"/>
        </w:rPr>
        <w:t>CONCLUSION</w:t>
      </w:r>
    </w:p>
    <w:p w14:paraId="1503EB32" w14:textId="2C2D01A7" w:rsidR="00F2255B" w:rsidRDefault="001F3DE5" w:rsidP="001F3DE5">
      <w:pPr>
        <w:keepNext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2FA">
        <w:rPr>
          <w:rFonts w:ascii="Times New Roman" w:eastAsia="Times New Roman" w:hAnsi="Times New Roman" w:cs="Times New Roman"/>
          <w:sz w:val="28"/>
          <w:szCs w:val="28"/>
        </w:rPr>
        <w:t>Petitioners respectfully request that this Court consider this Petition and proposed rule change at its earliest convenience. Petitioners additionally request that the Petition be circulated for public comment until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May 1, 2024</w:t>
      </w:r>
      <w:r w:rsidRPr="00B432FA">
        <w:rPr>
          <w:rFonts w:ascii="Times New Roman" w:eastAsia="Times New Roman" w:hAnsi="Times New Roman" w:cs="Times New Roman"/>
          <w:sz w:val="28"/>
          <w:szCs w:val="28"/>
        </w:rPr>
        <w:t xml:space="preserve">, and that the Court </w:t>
      </w:r>
      <w:r w:rsidRPr="00B432FA">
        <w:rPr>
          <w:rFonts w:ascii="Times New Roman" w:eastAsia="Times New Roman" w:hAnsi="Times New Roman" w:cs="Times New Roman"/>
          <w:sz w:val="28"/>
          <w:szCs w:val="28"/>
        </w:rPr>
        <w:lastRenderedPageBreak/>
        <w:t>adopt the proposed rule as presented, or as modified in light of comments received from the public and any replies, with an effective date of January 1, 2025</w:t>
      </w:r>
      <w:r w:rsidR="005F6861" w:rsidRPr="005F686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225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9978AD0" w14:textId="77777777" w:rsidR="009330CC" w:rsidRPr="00B432FA" w:rsidRDefault="009330CC" w:rsidP="009330CC">
      <w:pPr>
        <w:spacing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r w:rsidRPr="00B432FA">
        <w:rPr>
          <w:rFonts w:ascii="Times New Roman" w:eastAsia="Times New Roman" w:hAnsi="Times New Roman" w:cs="Times New Roman"/>
          <w:sz w:val="28"/>
          <w:szCs w:val="28"/>
        </w:rPr>
        <w:t>DATED this __</w:t>
      </w:r>
      <w:r>
        <w:rPr>
          <w:rFonts w:ascii="Times New Roman" w:eastAsia="Times New Roman" w:hAnsi="Times New Roman" w:cs="Times New Roman"/>
          <w:sz w:val="28"/>
          <w:szCs w:val="28"/>
        </w:rPr>
        <w:t>9th</w:t>
      </w:r>
      <w:r w:rsidRPr="00B432FA">
        <w:rPr>
          <w:rFonts w:ascii="Times New Roman" w:eastAsia="Times New Roman" w:hAnsi="Times New Roman" w:cs="Times New Roman"/>
          <w:sz w:val="28"/>
          <w:szCs w:val="28"/>
        </w:rPr>
        <w:t xml:space="preserve">__ day of January, 2024. </w:t>
      </w:r>
    </w:p>
    <w:p w14:paraId="75B545AB" w14:textId="77777777" w:rsidR="009330CC" w:rsidRPr="00B432FA" w:rsidRDefault="009330CC" w:rsidP="009330CC">
      <w:pPr>
        <w:spacing w:line="240" w:lineRule="auto"/>
        <w:ind w:left="3600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463EB7D8" w14:textId="77777777" w:rsidR="009330CC" w:rsidRPr="00B432FA" w:rsidRDefault="009330CC" w:rsidP="009330CC">
      <w:pPr>
        <w:spacing w:line="240" w:lineRule="auto"/>
        <w:ind w:left="2880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B432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/s/ Sara J. Agne</w:t>
      </w:r>
      <w:r w:rsidRPr="00B432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Pr="00B432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Pr="00B432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  <w:r w:rsidRPr="00B432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</w:p>
    <w:p w14:paraId="6F1FA3B8" w14:textId="77777777" w:rsidR="009330CC" w:rsidRPr="00B432FA" w:rsidRDefault="009330CC" w:rsidP="009330CC">
      <w:pPr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  <w:r w:rsidRPr="00B432FA">
        <w:rPr>
          <w:rFonts w:ascii="Times New Roman" w:eastAsia="Times New Roman" w:hAnsi="Times New Roman" w:cs="Times New Roman"/>
          <w:sz w:val="28"/>
          <w:szCs w:val="28"/>
        </w:rPr>
        <w:t xml:space="preserve">Sara J. Agne </w:t>
      </w:r>
    </w:p>
    <w:p w14:paraId="2BD8CA46" w14:textId="77777777" w:rsidR="009330CC" w:rsidRPr="00B432FA" w:rsidRDefault="009330CC" w:rsidP="009330CC">
      <w:pPr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  <w:r w:rsidRPr="00B432FA">
        <w:rPr>
          <w:rFonts w:ascii="Times New Roman" w:eastAsia="Times New Roman" w:hAnsi="Times New Roman" w:cs="Times New Roman"/>
          <w:sz w:val="28"/>
          <w:szCs w:val="28"/>
        </w:rPr>
        <w:t xml:space="preserve">Co-Chair, Advisory Committee on Rules of Evidence </w:t>
      </w:r>
    </w:p>
    <w:p w14:paraId="36D49FCB" w14:textId="77777777" w:rsidR="009330CC" w:rsidRPr="00B432FA" w:rsidRDefault="009330CC" w:rsidP="009330CC">
      <w:pPr>
        <w:spacing w:line="240" w:lineRule="auto"/>
        <w:ind w:left="2880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B432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br/>
        <w:t xml:space="preserve"> /s/ Maria Elena Cruz w/ permission</w:t>
      </w:r>
      <w:r w:rsidRPr="00B432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ab/>
      </w:r>
    </w:p>
    <w:p w14:paraId="160309B6" w14:textId="77777777" w:rsidR="009330CC" w:rsidRPr="00B432FA" w:rsidRDefault="009330CC" w:rsidP="009330CC">
      <w:pPr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  <w:r w:rsidRPr="00B432FA">
        <w:rPr>
          <w:rFonts w:ascii="Times New Roman" w:eastAsia="Times New Roman" w:hAnsi="Times New Roman" w:cs="Times New Roman"/>
          <w:sz w:val="28"/>
          <w:szCs w:val="28"/>
        </w:rPr>
        <w:t xml:space="preserve">Maria Elena Cruz </w:t>
      </w:r>
    </w:p>
    <w:p w14:paraId="64D60B9B" w14:textId="0D98523A" w:rsidR="00F2255B" w:rsidRDefault="009330CC" w:rsidP="009330CC">
      <w:pPr>
        <w:ind w:left="216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32FA">
        <w:rPr>
          <w:rFonts w:ascii="Times New Roman" w:eastAsia="Times New Roman" w:hAnsi="Times New Roman" w:cs="Times New Roman"/>
          <w:sz w:val="28"/>
          <w:szCs w:val="28"/>
        </w:rPr>
        <w:t xml:space="preserve">Co-Chair, Advisory Committee on Rules of Evidence </w:t>
      </w:r>
      <w:r w:rsidR="00F2255B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3BFF8BB3" w14:textId="77777777" w:rsidR="00F2255B" w:rsidRDefault="00F2255B" w:rsidP="005F6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3A81F0" w14:textId="77777777" w:rsidR="00FF2B14" w:rsidRDefault="00FF2B14" w:rsidP="005F6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0283C2" w14:textId="77777777" w:rsidR="00E95C19" w:rsidRDefault="00E95C19" w:rsidP="005F6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EE1F5A" w14:textId="77777777" w:rsidR="00E95C19" w:rsidRDefault="00E95C19" w:rsidP="005F6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3ED673" w14:textId="50859D3D" w:rsidR="005F6861" w:rsidRPr="005F6861" w:rsidRDefault="005F6861" w:rsidP="005F6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b/>
          <w:bCs/>
          <w:sz w:val="28"/>
          <w:szCs w:val="28"/>
        </w:rPr>
        <w:t>ATTACHMENT</w:t>
      </w:r>
      <w:r w:rsidRPr="005F686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footnoteReference w:id="2"/>
      </w:r>
    </w:p>
    <w:p w14:paraId="4BB5F94E" w14:textId="77777777" w:rsidR="005F6861" w:rsidRPr="005F6861" w:rsidRDefault="005F6861" w:rsidP="005F6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2A052C" w14:textId="2B20BBA7" w:rsidR="005F6861" w:rsidRPr="005F6861" w:rsidRDefault="005F6861" w:rsidP="005F6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b/>
          <w:sz w:val="28"/>
          <w:szCs w:val="28"/>
        </w:rPr>
        <w:t xml:space="preserve">ARIZONA RULE OF EVIDENCE </w:t>
      </w:r>
      <w:r w:rsidR="00550C9A">
        <w:rPr>
          <w:rFonts w:ascii="Times New Roman" w:eastAsia="Times New Roman" w:hAnsi="Times New Roman" w:cs="Times New Roman"/>
          <w:b/>
          <w:sz w:val="28"/>
          <w:szCs w:val="28"/>
        </w:rPr>
        <w:t>61</w:t>
      </w:r>
      <w:r w:rsidR="00DD10E7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2A1528AD" w14:textId="77777777" w:rsidR="005F6861" w:rsidRPr="005F6861" w:rsidRDefault="005F6861" w:rsidP="005F6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EB7DFE" w14:textId="62802094" w:rsidR="00E820BC" w:rsidRDefault="005F6861" w:rsidP="00E82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861">
        <w:rPr>
          <w:rFonts w:ascii="Times New Roman" w:eastAsia="Times New Roman" w:hAnsi="Times New Roman" w:cs="Times New Roman"/>
          <w:b/>
          <w:sz w:val="28"/>
          <w:szCs w:val="28"/>
        </w:rPr>
        <w:t xml:space="preserve">Rule </w:t>
      </w:r>
      <w:r w:rsidR="00550C9A" w:rsidRPr="00BE1702">
        <w:rPr>
          <w:rFonts w:ascii="Times New Roman" w:eastAsia="Times New Roman" w:hAnsi="Times New Roman" w:cs="Times New Roman"/>
          <w:b/>
          <w:sz w:val="28"/>
          <w:szCs w:val="28"/>
        </w:rPr>
        <w:t>61</w:t>
      </w:r>
      <w:r w:rsidR="00DD10E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F686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330CC">
        <w:rPr>
          <w:rFonts w:ascii="Times New Roman" w:eastAsia="Times New Roman" w:hAnsi="Times New Roman" w:cs="Times New Roman"/>
          <w:b/>
          <w:sz w:val="28"/>
          <w:szCs w:val="28"/>
        </w:rPr>
        <w:t xml:space="preserve">Witness’s </w:t>
      </w:r>
      <w:r w:rsidR="00E820BC">
        <w:rPr>
          <w:rFonts w:ascii="Times New Roman" w:eastAsia="Times New Roman" w:hAnsi="Times New Roman" w:cs="Times New Roman"/>
          <w:b/>
          <w:sz w:val="28"/>
          <w:szCs w:val="28"/>
        </w:rPr>
        <w:t>Prior Statement</w:t>
      </w:r>
    </w:p>
    <w:p w14:paraId="3523179E" w14:textId="77777777" w:rsidR="001670B7" w:rsidRDefault="001670B7" w:rsidP="00E82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39BF86" w14:textId="77777777" w:rsidR="00750AE9" w:rsidRDefault="00E820BC" w:rsidP="00750A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70B7">
        <w:rPr>
          <w:rFonts w:ascii="Times New Roman" w:eastAsia="Times New Roman" w:hAnsi="Times New Roman" w:cs="Times New Roman"/>
          <w:bCs/>
          <w:sz w:val="28"/>
          <w:szCs w:val="28"/>
        </w:rPr>
        <w:t>no change</w:t>
      </w:r>
    </w:p>
    <w:p w14:paraId="0F1F2288" w14:textId="77777777" w:rsidR="00750AE9" w:rsidRDefault="00750AE9" w:rsidP="00750AE9">
      <w:pPr>
        <w:pStyle w:val="ListParagraph"/>
        <w:autoSpaceDE w:val="0"/>
        <w:autoSpaceDN w:val="0"/>
        <w:adjustRightInd w:val="0"/>
        <w:spacing w:after="0" w:line="240" w:lineRule="auto"/>
        <w:ind w:left="40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0A456B" w14:textId="6326F8C3" w:rsidR="005F22CB" w:rsidRPr="00750AE9" w:rsidRDefault="00165C77" w:rsidP="00750A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0AE9">
        <w:rPr>
          <w:rFonts w:ascii="Times New Roman" w:eastAsia="Times New Roman" w:hAnsi="Times New Roman" w:cs="Times New Roman"/>
          <w:b/>
          <w:sz w:val="28"/>
          <w:szCs w:val="28"/>
        </w:rPr>
        <w:t>Extrinsic Evidence of a Prior Inconsistent Statement</w:t>
      </w:r>
      <w:r w:rsidR="00776120" w:rsidRPr="00750A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6120" w:rsidRPr="00750AE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Unless the </w:t>
      </w:r>
      <w:r w:rsidR="00822D9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c</w:t>
      </w:r>
      <w:r w:rsidR="00776120" w:rsidRPr="00750AE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ourt orders otherwise, </w:t>
      </w:r>
      <w:r w:rsidR="00776120" w:rsidRPr="00750AE9">
        <w:rPr>
          <w:rFonts w:ascii="Times New Roman" w:eastAsia="Times New Roman" w:hAnsi="Times New Roman" w:cs="Times New Roman"/>
          <w:bCs/>
          <w:strike/>
          <w:sz w:val="28"/>
          <w:szCs w:val="28"/>
        </w:rPr>
        <w:t>E</w:t>
      </w:r>
      <w:r w:rsidR="00776120" w:rsidRPr="00C7730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e</w:t>
      </w:r>
      <w:r w:rsidR="00776120" w:rsidRPr="00750AE9">
        <w:rPr>
          <w:rFonts w:ascii="Times New Roman" w:eastAsia="Times New Roman" w:hAnsi="Times New Roman" w:cs="Times New Roman"/>
          <w:bCs/>
          <w:sz w:val="28"/>
          <w:szCs w:val="28"/>
        </w:rPr>
        <w:t>xtrinsic evidence o</w:t>
      </w:r>
      <w:r w:rsidR="00F51EC2" w:rsidRPr="00750AE9">
        <w:rPr>
          <w:rFonts w:ascii="Times New Roman" w:eastAsia="Times New Roman" w:hAnsi="Times New Roman" w:cs="Times New Roman"/>
          <w:bCs/>
          <w:sz w:val="28"/>
          <w:szCs w:val="28"/>
        </w:rPr>
        <w:t>f a witness’s prior inconsistent s</w:t>
      </w:r>
      <w:r w:rsidR="00BC0F66" w:rsidRPr="00750AE9">
        <w:rPr>
          <w:rFonts w:ascii="Times New Roman" w:eastAsia="Times New Roman" w:hAnsi="Times New Roman" w:cs="Times New Roman"/>
          <w:bCs/>
          <w:sz w:val="28"/>
          <w:szCs w:val="28"/>
        </w:rPr>
        <w:t xml:space="preserve">tatement </w:t>
      </w:r>
      <w:r w:rsidR="00BC0F66" w:rsidRPr="00750AE9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is admissible only if </w:t>
      </w:r>
      <w:r w:rsidR="00BC0F66" w:rsidRPr="00750AE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may not be admitted </w:t>
      </w:r>
      <w:r w:rsidR="00B36409" w:rsidRPr="00750AE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until after</w:t>
      </w:r>
      <w:r w:rsidR="00B36409" w:rsidRPr="00C773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6409" w:rsidRPr="00750AE9">
        <w:rPr>
          <w:rFonts w:ascii="Times New Roman" w:eastAsia="Times New Roman" w:hAnsi="Times New Roman" w:cs="Times New Roman"/>
          <w:bCs/>
          <w:sz w:val="28"/>
          <w:szCs w:val="28"/>
        </w:rPr>
        <w:t>the witness is given an opportunity to explain or deny the statement</w:t>
      </w:r>
      <w:r w:rsidR="00802F22" w:rsidRPr="00750AE9">
        <w:rPr>
          <w:rFonts w:ascii="Times New Roman" w:eastAsia="Times New Roman" w:hAnsi="Times New Roman" w:cs="Times New Roman"/>
          <w:bCs/>
          <w:sz w:val="28"/>
          <w:szCs w:val="28"/>
        </w:rPr>
        <w:t xml:space="preserve"> and an adverse party is given an opportunity to examine the witness about </w:t>
      </w:r>
      <w:r w:rsidR="004628AB" w:rsidRPr="00750AE9">
        <w:rPr>
          <w:rFonts w:ascii="Times New Roman" w:eastAsia="Times New Roman" w:hAnsi="Times New Roman" w:cs="Times New Roman"/>
          <w:bCs/>
          <w:sz w:val="28"/>
          <w:szCs w:val="28"/>
        </w:rPr>
        <w:t>it</w:t>
      </w:r>
      <w:r w:rsidR="008F4500" w:rsidRPr="008F4500">
        <w:rPr>
          <w:rFonts w:ascii="Times New Roman" w:eastAsia="Times New Roman" w:hAnsi="Times New Roman" w:cs="Times New Roman"/>
          <w:bCs/>
          <w:strike/>
          <w:sz w:val="28"/>
          <w:szCs w:val="28"/>
        </w:rPr>
        <w:t>,</w:t>
      </w:r>
      <w:r w:rsidR="00D162B7" w:rsidRPr="008F4500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="00D162B7" w:rsidRPr="00750AE9">
        <w:rPr>
          <w:rFonts w:ascii="Times New Roman" w:eastAsia="Times New Roman" w:hAnsi="Times New Roman" w:cs="Times New Roman"/>
          <w:bCs/>
          <w:strike/>
          <w:sz w:val="28"/>
          <w:szCs w:val="28"/>
        </w:rPr>
        <w:t>or if justice so requires</w:t>
      </w:r>
      <w:r w:rsidR="00750AE9" w:rsidRPr="00750AE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162B7" w:rsidRPr="00750AE9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="00D80C13">
        <w:rPr>
          <w:rFonts w:ascii="Times New Roman" w:eastAsia="Times New Roman" w:hAnsi="Times New Roman" w:cs="Times New Roman"/>
          <w:bCs/>
          <w:sz w:val="28"/>
          <w:szCs w:val="28"/>
        </w:rPr>
        <w:t xml:space="preserve">This subdivision (b) does not apply to an opposing party’s statement under Rule 801(d)(2). </w:t>
      </w:r>
    </w:p>
    <w:sectPr w:rsidR="005F22CB" w:rsidRPr="00750AE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F2D7" w14:textId="77777777" w:rsidR="00FF57FC" w:rsidRDefault="00FF57FC" w:rsidP="005F6861">
      <w:pPr>
        <w:spacing w:after="0" w:line="240" w:lineRule="auto"/>
      </w:pPr>
      <w:r>
        <w:separator/>
      </w:r>
    </w:p>
  </w:endnote>
  <w:endnote w:type="continuationSeparator" w:id="0">
    <w:p w14:paraId="4B0C2246" w14:textId="77777777" w:rsidR="00FF57FC" w:rsidRDefault="00FF57FC" w:rsidP="005F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101913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699D3" w14:textId="7FE2B70C" w:rsidR="001F3DE5" w:rsidRPr="001F3DE5" w:rsidRDefault="001F3DE5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3D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3DE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F3D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F3DE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F3DE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BFB0212" w14:textId="77777777" w:rsidR="001F3DE5" w:rsidRPr="001F3DE5" w:rsidRDefault="001F3DE5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EA96" w14:textId="77777777" w:rsidR="00FF57FC" w:rsidRDefault="00FF57FC" w:rsidP="005F6861">
      <w:pPr>
        <w:spacing w:after="0" w:line="240" w:lineRule="auto"/>
      </w:pPr>
      <w:r>
        <w:separator/>
      </w:r>
    </w:p>
  </w:footnote>
  <w:footnote w:type="continuationSeparator" w:id="0">
    <w:p w14:paraId="6472F706" w14:textId="77777777" w:rsidR="00FF57FC" w:rsidRDefault="00FF57FC" w:rsidP="005F6861">
      <w:pPr>
        <w:spacing w:after="0" w:line="240" w:lineRule="auto"/>
      </w:pPr>
      <w:r>
        <w:continuationSeparator/>
      </w:r>
    </w:p>
  </w:footnote>
  <w:footnote w:id="1">
    <w:p w14:paraId="51AD666A" w14:textId="1F5B3DBE" w:rsidR="00F5449B" w:rsidRPr="00C7730D" w:rsidRDefault="00F5449B">
      <w:pPr>
        <w:pStyle w:val="FootnoteText"/>
        <w:rPr>
          <w:sz w:val="28"/>
          <w:szCs w:val="28"/>
        </w:rPr>
      </w:pPr>
      <w:r w:rsidRPr="00C7730D">
        <w:rPr>
          <w:rStyle w:val="FootnoteReference"/>
          <w:sz w:val="28"/>
          <w:szCs w:val="28"/>
        </w:rPr>
        <w:footnoteRef/>
      </w:r>
      <w:r w:rsidRPr="00C7730D">
        <w:rPr>
          <w:sz w:val="28"/>
          <w:szCs w:val="28"/>
        </w:rPr>
        <w:t xml:space="preserve"> The federal proposal is available in the rules package for the U.S. Supreme Court: </w:t>
      </w:r>
      <w:hyperlink r:id="rId1" w:history="1">
        <w:r w:rsidRPr="00C7730D">
          <w:rPr>
            <w:rStyle w:val="Hyperlink"/>
            <w:sz w:val="28"/>
            <w:szCs w:val="28"/>
          </w:rPr>
          <w:t>https://www.uscourts.gov/sites/default/files/2023_scotus_package_final_0.pdf</w:t>
        </w:r>
      </w:hyperlink>
      <w:r w:rsidRPr="00C7730D">
        <w:rPr>
          <w:sz w:val="28"/>
          <w:szCs w:val="28"/>
        </w:rPr>
        <w:t xml:space="preserve"> at page 01085.</w:t>
      </w:r>
    </w:p>
  </w:footnote>
  <w:footnote w:id="2">
    <w:p w14:paraId="7AF48CBB" w14:textId="30AE8313" w:rsidR="005F6861" w:rsidRPr="00C7730D" w:rsidRDefault="005F6861" w:rsidP="005F6861">
      <w:pPr>
        <w:pStyle w:val="FootnoteText"/>
        <w:rPr>
          <w:sz w:val="28"/>
          <w:szCs w:val="28"/>
        </w:rPr>
      </w:pPr>
      <w:r w:rsidRPr="00C7730D">
        <w:rPr>
          <w:rStyle w:val="FootnoteReference"/>
          <w:sz w:val="28"/>
          <w:szCs w:val="28"/>
        </w:rPr>
        <w:footnoteRef/>
      </w:r>
      <w:r w:rsidRPr="00C7730D">
        <w:rPr>
          <w:sz w:val="28"/>
          <w:szCs w:val="28"/>
        </w:rPr>
        <w:t xml:space="preserve"> </w:t>
      </w:r>
      <w:r w:rsidR="009330CC">
        <w:rPr>
          <w:sz w:val="28"/>
          <w:szCs w:val="28"/>
        </w:rPr>
        <w:t>A</w:t>
      </w:r>
      <w:r w:rsidRPr="00C7730D">
        <w:rPr>
          <w:sz w:val="28"/>
          <w:szCs w:val="28"/>
        </w:rPr>
        <w:t xml:space="preserve">dditions </w:t>
      </w:r>
      <w:r w:rsidR="009330CC">
        <w:rPr>
          <w:sz w:val="28"/>
          <w:szCs w:val="28"/>
        </w:rPr>
        <w:t>to</w:t>
      </w:r>
      <w:r w:rsidRPr="00C7730D">
        <w:rPr>
          <w:sz w:val="28"/>
          <w:szCs w:val="28"/>
        </w:rPr>
        <w:t xml:space="preserve"> rule text are indicated by </w:t>
      </w:r>
      <w:r w:rsidRPr="00C7730D">
        <w:rPr>
          <w:sz w:val="28"/>
          <w:szCs w:val="28"/>
          <w:u w:val="single"/>
        </w:rPr>
        <w:t>underscoring</w:t>
      </w:r>
      <w:r w:rsidRPr="00C7730D">
        <w:rPr>
          <w:sz w:val="28"/>
          <w:szCs w:val="28"/>
        </w:rPr>
        <w:t xml:space="preserve"> and deletions from text are indicated by </w:t>
      </w:r>
      <w:r w:rsidRPr="00C7730D">
        <w:rPr>
          <w:strike/>
          <w:sz w:val="28"/>
          <w:szCs w:val="28"/>
        </w:rPr>
        <w:t>strikeouts</w:t>
      </w:r>
      <w:r w:rsidRPr="00C7730D">
        <w:rPr>
          <w:sz w:val="28"/>
          <w:szCs w:val="2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32ED"/>
    <w:multiLevelType w:val="hybridMultilevel"/>
    <w:tmpl w:val="475E3B82"/>
    <w:lvl w:ilvl="0" w:tplc="A6CC9414">
      <w:start w:val="1"/>
      <w:numFmt w:val="lowerLetter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B1AC0"/>
    <w:multiLevelType w:val="hybridMultilevel"/>
    <w:tmpl w:val="700C1056"/>
    <w:lvl w:ilvl="0" w:tplc="13C83A14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754460">
    <w:abstractNumId w:val="2"/>
  </w:num>
  <w:num w:numId="2" w16cid:durableId="532499878">
    <w:abstractNumId w:val="1"/>
  </w:num>
  <w:num w:numId="3" w16cid:durableId="186405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78"/>
    <w:rsid w:val="00021987"/>
    <w:rsid w:val="00056F87"/>
    <w:rsid w:val="000600EF"/>
    <w:rsid w:val="0007295B"/>
    <w:rsid w:val="00076202"/>
    <w:rsid w:val="00080329"/>
    <w:rsid w:val="00090F9B"/>
    <w:rsid w:val="000A0B00"/>
    <w:rsid w:val="000C0DCB"/>
    <w:rsid w:val="000F5680"/>
    <w:rsid w:val="000F721A"/>
    <w:rsid w:val="00104889"/>
    <w:rsid w:val="00106778"/>
    <w:rsid w:val="00133D23"/>
    <w:rsid w:val="001475A1"/>
    <w:rsid w:val="0016427C"/>
    <w:rsid w:val="00164390"/>
    <w:rsid w:val="00165C77"/>
    <w:rsid w:val="001670B7"/>
    <w:rsid w:val="00191C93"/>
    <w:rsid w:val="00195C9B"/>
    <w:rsid w:val="0019646F"/>
    <w:rsid w:val="001C1988"/>
    <w:rsid w:val="001D71AC"/>
    <w:rsid w:val="001F08A4"/>
    <w:rsid w:val="001F1695"/>
    <w:rsid w:val="001F3DE5"/>
    <w:rsid w:val="002124E7"/>
    <w:rsid w:val="002327F5"/>
    <w:rsid w:val="00234FC7"/>
    <w:rsid w:val="00253EE7"/>
    <w:rsid w:val="00296571"/>
    <w:rsid w:val="002A0CC1"/>
    <w:rsid w:val="002C0739"/>
    <w:rsid w:val="002D0866"/>
    <w:rsid w:val="002D416B"/>
    <w:rsid w:val="002E365A"/>
    <w:rsid w:val="00310D04"/>
    <w:rsid w:val="0033228E"/>
    <w:rsid w:val="00343214"/>
    <w:rsid w:val="00356984"/>
    <w:rsid w:val="00364496"/>
    <w:rsid w:val="00391F02"/>
    <w:rsid w:val="003C5493"/>
    <w:rsid w:val="003C6831"/>
    <w:rsid w:val="003D33B1"/>
    <w:rsid w:val="003D38B6"/>
    <w:rsid w:val="003E6E38"/>
    <w:rsid w:val="003F06A9"/>
    <w:rsid w:val="00402EE4"/>
    <w:rsid w:val="00454467"/>
    <w:rsid w:val="00460830"/>
    <w:rsid w:val="004628AB"/>
    <w:rsid w:val="0046553D"/>
    <w:rsid w:val="00472A47"/>
    <w:rsid w:val="004933E5"/>
    <w:rsid w:val="00495C8C"/>
    <w:rsid w:val="004D2787"/>
    <w:rsid w:val="004E75DD"/>
    <w:rsid w:val="00503180"/>
    <w:rsid w:val="00546B60"/>
    <w:rsid w:val="00550C9A"/>
    <w:rsid w:val="005561F2"/>
    <w:rsid w:val="005726F1"/>
    <w:rsid w:val="005751A3"/>
    <w:rsid w:val="005A1854"/>
    <w:rsid w:val="005B71BF"/>
    <w:rsid w:val="005D2AAC"/>
    <w:rsid w:val="005F22CB"/>
    <w:rsid w:val="005F419C"/>
    <w:rsid w:val="005F5B32"/>
    <w:rsid w:val="005F6861"/>
    <w:rsid w:val="00600B13"/>
    <w:rsid w:val="0061052D"/>
    <w:rsid w:val="00631EDF"/>
    <w:rsid w:val="00653431"/>
    <w:rsid w:val="006712FE"/>
    <w:rsid w:val="00674DAA"/>
    <w:rsid w:val="006826CE"/>
    <w:rsid w:val="00691D17"/>
    <w:rsid w:val="006A25AE"/>
    <w:rsid w:val="006A2DBF"/>
    <w:rsid w:val="006B1635"/>
    <w:rsid w:val="006B4746"/>
    <w:rsid w:val="006C3FE5"/>
    <w:rsid w:val="006D6870"/>
    <w:rsid w:val="006E1616"/>
    <w:rsid w:val="006E27D7"/>
    <w:rsid w:val="006E6AC3"/>
    <w:rsid w:val="00700CD7"/>
    <w:rsid w:val="00706409"/>
    <w:rsid w:val="00722662"/>
    <w:rsid w:val="0073254C"/>
    <w:rsid w:val="00733D0C"/>
    <w:rsid w:val="00750AE9"/>
    <w:rsid w:val="00752DE6"/>
    <w:rsid w:val="00776120"/>
    <w:rsid w:val="0078408D"/>
    <w:rsid w:val="007B2FFC"/>
    <w:rsid w:val="007B52CA"/>
    <w:rsid w:val="007F4A55"/>
    <w:rsid w:val="007F5656"/>
    <w:rsid w:val="00802F22"/>
    <w:rsid w:val="00822D93"/>
    <w:rsid w:val="00843872"/>
    <w:rsid w:val="008438F8"/>
    <w:rsid w:val="008446E5"/>
    <w:rsid w:val="008533B8"/>
    <w:rsid w:val="00856A27"/>
    <w:rsid w:val="00864575"/>
    <w:rsid w:val="0086679F"/>
    <w:rsid w:val="00881FC0"/>
    <w:rsid w:val="00886F30"/>
    <w:rsid w:val="008972ED"/>
    <w:rsid w:val="008A3921"/>
    <w:rsid w:val="008C4AB1"/>
    <w:rsid w:val="008F3BFB"/>
    <w:rsid w:val="008F4500"/>
    <w:rsid w:val="009141AA"/>
    <w:rsid w:val="009330CC"/>
    <w:rsid w:val="0093640B"/>
    <w:rsid w:val="00952F72"/>
    <w:rsid w:val="009602C2"/>
    <w:rsid w:val="00963C15"/>
    <w:rsid w:val="00985AD6"/>
    <w:rsid w:val="009957D9"/>
    <w:rsid w:val="009A7BF0"/>
    <w:rsid w:val="009B0819"/>
    <w:rsid w:val="009B6595"/>
    <w:rsid w:val="009B7CF3"/>
    <w:rsid w:val="009C3BBD"/>
    <w:rsid w:val="009F7E62"/>
    <w:rsid w:val="00A208EC"/>
    <w:rsid w:val="00A261E8"/>
    <w:rsid w:val="00A27850"/>
    <w:rsid w:val="00A57DF4"/>
    <w:rsid w:val="00A61960"/>
    <w:rsid w:val="00A72788"/>
    <w:rsid w:val="00A83E78"/>
    <w:rsid w:val="00A8796E"/>
    <w:rsid w:val="00AA7BEE"/>
    <w:rsid w:val="00AB6B69"/>
    <w:rsid w:val="00AD735C"/>
    <w:rsid w:val="00AF6AA2"/>
    <w:rsid w:val="00B067AE"/>
    <w:rsid w:val="00B30CB9"/>
    <w:rsid w:val="00B329B5"/>
    <w:rsid w:val="00B36409"/>
    <w:rsid w:val="00B44332"/>
    <w:rsid w:val="00B536F4"/>
    <w:rsid w:val="00B57133"/>
    <w:rsid w:val="00B643AD"/>
    <w:rsid w:val="00B67048"/>
    <w:rsid w:val="00B75E64"/>
    <w:rsid w:val="00B76CA4"/>
    <w:rsid w:val="00B93705"/>
    <w:rsid w:val="00BA0B95"/>
    <w:rsid w:val="00BB295D"/>
    <w:rsid w:val="00BC0F66"/>
    <w:rsid w:val="00BE1702"/>
    <w:rsid w:val="00BE7168"/>
    <w:rsid w:val="00C054EB"/>
    <w:rsid w:val="00C136A4"/>
    <w:rsid w:val="00C158E6"/>
    <w:rsid w:val="00C30195"/>
    <w:rsid w:val="00C56B79"/>
    <w:rsid w:val="00C57391"/>
    <w:rsid w:val="00C60AAD"/>
    <w:rsid w:val="00C6447D"/>
    <w:rsid w:val="00C66196"/>
    <w:rsid w:val="00C7730D"/>
    <w:rsid w:val="00C84724"/>
    <w:rsid w:val="00C91850"/>
    <w:rsid w:val="00C9462C"/>
    <w:rsid w:val="00CA2145"/>
    <w:rsid w:val="00CD2FC1"/>
    <w:rsid w:val="00CD34BD"/>
    <w:rsid w:val="00CF6F91"/>
    <w:rsid w:val="00D162B7"/>
    <w:rsid w:val="00D370EF"/>
    <w:rsid w:val="00D455FB"/>
    <w:rsid w:val="00D702F3"/>
    <w:rsid w:val="00D80C13"/>
    <w:rsid w:val="00D80E46"/>
    <w:rsid w:val="00D93587"/>
    <w:rsid w:val="00DD09E6"/>
    <w:rsid w:val="00DD10E7"/>
    <w:rsid w:val="00E415C3"/>
    <w:rsid w:val="00E50756"/>
    <w:rsid w:val="00E72FD2"/>
    <w:rsid w:val="00E8119A"/>
    <w:rsid w:val="00E820BC"/>
    <w:rsid w:val="00E90A16"/>
    <w:rsid w:val="00E91E40"/>
    <w:rsid w:val="00E95C19"/>
    <w:rsid w:val="00EA59FB"/>
    <w:rsid w:val="00EB0A31"/>
    <w:rsid w:val="00EB201B"/>
    <w:rsid w:val="00EC4C69"/>
    <w:rsid w:val="00ED053A"/>
    <w:rsid w:val="00EF4459"/>
    <w:rsid w:val="00F2255B"/>
    <w:rsid w:val="00F35BC0"/>
    <w:rsid w:val="00F51EC2"/>
    <w:rsid w:val="00F5449B"/>
    <w:rsid w:val="00F76897"/>
    <w:rsid w:val="00F830AE"/>
    <w:rsid w:val="00F94690"/>
    <w:rsid w:val="00FA7EC4"/>
    <w:rsid w:val="00FB2F18"/>
    <w:rsid w:val="00FC4550"/>
    <w:rsid w:val="00FD0075"/>
    <w:rsid w:val="00FD495A"/>
    <w:rsid w:val="00FE7BFA"/>
    <w:rsid w:val="00FF2B14"/>
    <w:rsid w:val="00FF5767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79D0"/>
  <w15:chartTrackingRefBased/>
  <w15:docId w15:val="{E6E12D17-2612-463B-B3E1-724A95A4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5F6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86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F686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1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803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1D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51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F169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544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3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DE5"/>
  </w:style>
  <w:style w:type="paragraph" w:styleId="Footer">
    <w:name w:val="footer"/>
    <w:basedOn w:val="Normal"/>
    <w:link w:val="FooterChar"/>
    <w:uiPriority w:val="99"/>
    <w:unhideWhenUsed/>
    <w:rsid w:val="001F3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2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1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6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1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scourts.gov/sites/default/files/2023_scotus_package_final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7FB9E9AD8134FAE8CB350CD237A19" ma:contentTypeVersion="2" ma:contentTypeDescription="Create a new document." ma:contentTypeScope="" ma:versionID="f6ed7fe0ab27f6bf6d86c93d5725e465">
  <xsd:schema xmlns:xsd="http://www.w3.org/2001/XMLSchema" xmlns:xs="http://www.w3.org/2001/XMLSchema" xmlns:p="http://schemas.microsoft.com/office/2006/metadata/properties" xmlns:ns3="6050c96b-c80e-46ca-abdf-452edd57412d" targetNamespace="http://schemas.microsoft.com/office/2006/metadata/properties" ma:root="true" ma:fieldsID="6f08fa8eacf7adee6e6240444250149f" ns3:_="">
    <xsd:import namespace="6050c96b-c80e-46ca-abdf-452edd5741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c96b-c80e-46ca-abdf-452edd574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04DF2-7B2C-480A-AF14-A3FC3A705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0c96b-c80e-46ca-abdf-452edd574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1BA43-33C3-40A8-8FF0-B634170DC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9A2FF1-4FFB-464B-BB89-88719F490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B26D8-5BBE-49DD-84CB-E1533B137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Rothschild</dc:creator>
  <cp:keywords/>
  <dc:description/>
  <cp:lastModifiedBy>Sara Agne (SUP)</cp:lastModifiedBy>
  <cp:revision>11</cp:revision>
  <cp:lastPrinted>2022-10-20T17:09:00Z</cp:lastPrinted>
  <dcterms:created xsi:type="dcterms:W3CDTF">2024-01-04T20:42:00Z</dcterms:created>
  <dcterms:modified xsi:type="dcterms:W3CDTF">2024-01-10T00:30:00Z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0x0101001E57FB9E9AD8134FAE8CB350CD237A19</vt:lpwstr>
  </property>
</Properties>
</file>