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77777777" w:rsidR="00CB085A" w:rsidRPr="00B256DE" w:rsidRDefault="00CB085A" w:rsidP="00CB085A">
      <w:pPr>
        <w:jc w:val="both"/>
        <w:rPr>
          <w:sz w:val="28"/>
          <w:szCs w:val="28"/>
        </w:rPr>
      </w:pPr>
      <w:r w:rsidRPr="00B256DE">
        <w:rPr>
          <w:sz w:val="28"/>
          <w:szCs w:val="28"/>
        </w:rPr>
        <w:t>Sara J. Agne</w:t>
      </w:r>
    </w:p>
    <w:p w14:paraId="44246474" w14:textId="77777777" w:rsidR="003F21F0" w:rsidRDefault="00CB085A" w:rsidP="00CB085A">
      <w:pPr>
        <w:jc w:val="both"/>
        <w:rPr>
          <w:sz w:val="28"/>
          <w:szCs w:val="28"/>
        </w:rPr>
      </w:pPr>
      <w:r w:rsidRPr="00B256DE">
        <w:rPr>
          <w:sz w:val="28"/>
          <w:szCs w:val="28"/>
        </w:rPr>
        <w:t>Co-Chair</w:t>
      </w:r>
    </w:p>
    <w:p w14:paraId="64268AB7" w14:textId="5FBBD698" w:rsidR="00CB085A" w:rsidRPr="00B256DE" w:rsidRDefault="00CB085A" w:rsidP="00CB085A">
      <w:pPr>
        <w:jc w:val="both"/>
        <w:rPr>
          <w:sz w:val="28"/>
          <w:szCs w:val="28"/>
        </w:rPr>
      </w:pPr>
      <w:r w:rsidRPr="00B256DE">
        <w:rPr>
          <w:sz w:val="28"/>
          <w:szCs w:val="28"/>
        </w:rPr>
        <w:t>Advisory Committee on Rules of Evidence</w:t>
      </w:r>
    </w:p>
    <w:p w14:paraId="35A478F4" w14:textId="77777777" w:rsidR="00CB085A" w:rsidRPr="00B256DE" w:rsidRDefault="00CB085A" w:rsidP="00CB085A">
      <w:pPr>
        <w:jc w:val="both"/>
        <w:rPr>
          <w:sz w:val="28"/>
          <w:szCs w:val="28"/>
        </w:rPr>
      </w:pPr>
      <w:r w:rsidRPr="00B256DE">
        <w:rPr>
          <w:sz w:val="28"/>
          <w:szCs w:val="28"/>
        </w:rPr>
        <w:t>Judge, Arizona Superior Court</w:t>
      </w:r>
    </w:p>
    <w:p w14:paraId="01C106C1" w14:textId="0364F440" w:rsidR="00CB085A" w:rsidRPr="00B256DE" w:rsidRDefault="00CB085A" w:rsidP="00CB085A">
      <w:pPr>
        <w:jc w:val="both"/>
        <w:rPr>
          <w:sz w:val="28"/>
          <w:szCs w:val="28"/>
        </w:rPr>
      </w:pPr>
      <w:r w:rsidRPr="00B256DE">
        <w:rPr>
          <w:sz w:val="28"/>
          <w:szCs w:val="28"/>
        </w:rPr>
        <w:t>101 W</w:t>
      </w:r>
      <w:r w:rsidR="0008673B">
        <w:rPr>
          <w:sz w:val="28"/>
          <w:szCs w:val="28"/>
        </w:rPr>
        <w:t>est</w:t>
      </w:r>
      <w:r w:rsidRPr="00B256DE">
        <w:rPr>
          <w:sz w:val="28"/>
          <w:szCs w:val="28"/>
        </w:rPr>
        <w:t xml:space="preserve"> Jefferson</w:t>
      </w:r>
    </w:p>
    <w:p w14:paraId="652CD2FB" w14:textId="5D065B18" w:rsidR="00CB085A" w:rsidRPr="00B256DE" w:rsidRDefault="00CB085A" w:rsidP="00CB085A">
      <w:pPr>
        <w:jc w:val="both"/>
        <w:rPr>
          <w:sz w:val="28"/>
          <w:szCs w:val="28"/>
        </w:rPr>
      </w:pPr>
      <w:r w:rsidRPr="00B256DE">
        <w:rPr>
          <w:sz w:val="28"/>
          <w:szCs w:val="28"/>
        </w:rPr>
        <w:t>Phoenix, A</w:t>
      </w:r>
      <w:r w:rsidR="0008673B">
        <w:rPr>
          <w:sz w:val="28"/>
          <w:szCs w:val="28"/>
        </w:rPr>
        <w:t>rizona</w:t>
      </w:r>
      <w:r w:rsidRPr="00B256DE">
        <w:rPr>
          <w:sz w:val="28"/>
          <w:szCs w:val="28"/>
        </w:rPr>
        <w:t xml:space="preserve"> 85003</w:t>
      </w:r>
    </w:p>
    <w:p w14:paraId="03A6E239" w14:textId="77777777" w:rsidR="00CB085A" w:rsidRPr="00B256DE" w:rsidRDefault="00CB085A" w:rsidP="00CB085A">
      <w:pPr>
        <w:jc w:val="both"/>
        <w:rPr>
          <w:sz w:val="28"/>
          <w:szCs w:val="28"/>
        </w:rPr>
      </w:pPr>
      <w:r w:rsidRPr="00B256DE">
        <w:rPr>
          <w:sz w:val="28"/>
          <w:szCs w:val="28"/>
        </w:rPr>
        <w:t>Telephone: 602-506-8288</w:t>
      </w:r>
    </w:p>
    <w:p w14:paraId="34415290" w14:textId="77777777" w:rsidR="00CB085A" w:rsidRPr="00B256DE" w:rsidRDefault="00CB085A" w:rsidP="00CB085A">
      <w:pPr>
        <w:jc w:val="both"/>
        <w:rPr>
          <w:sz w:val="28"/>
          <w:szCs w:val="28"/>
        </w:rPr>
      </w:pPr>
      <w:r w:rsidRPr="00B256DE">
        <w:rPr>
          <w:sz w:val="28"/>
          <w:szCs w:val="28"/>
        </w:rPr>
        <w:t>Facsimile: 602-372-5817</w:t>
      </w:r>
    </w:p>
    <w:p w14:paraId="329624F8" w14:textId="77777777" w:rsidR="009C3B71" w:rsidRPr="00B256DE" w:rsidRDefault="009C3B71">
      <w:pPr>
        <w:jc w:val="both"/>
        <w:rPr>
          <w:sz w:val="28"/>
          <w:szCs w:val="28"/>
        </w:rPr>
      </w:pPr>
    </w:p>
    <w:p w14:paraId="4C514A39" w14:textId="701D85A4" w:rsidR="00272AD8" w:rsidRPr="00B256DE" w:rsidRDefault="00C00376">
      <w:pPr>
        <w:jc w:val="both"/>
        <w:rPr>
          <w:sz w:val="28"/>
          <w:szCs w:val="28"/>
        </w:rPr>
      </w:pPr>
      <w:r w:rsidRPr="00B256DE">
        <w:rPr>
          <w:sz w:val="28"/>
          <w:szCs w:val="28"/>
        </w:rPr>
        <w:t>Maria Elena Cruz</w:t>
      </w:r>
    </w:p>
    <w:p w14:paraId="70CBCB27" w14:textId="77777777" w:rsidR="003F21F0" w:rsidRDefault="009C3B71">
      <w:pPr>
        <w:jc w:val="both"/>
        <w:rPr>
          <w:sz w:val="28"/>
          <w:szCs w:val="28"/>
        </w:rPr>
      </w:pPr>
      <w:r w:rsidRPr="00B256DE">
        <w:rPr>
          <w:sz w:val="28"/>
          <w:szCs w:val="28"/>
        </w:rPr>
        <w:t>Co-Chair</w:t>
      </w:r>
    </w:p>
    <w:p w14:paraId="52168218" w14:textId="12E18584" w:rsidR="009C3B71" w:rsidRPr="00B256DE" w:rsidRDefault="009C3B71">
      <w:pPr>
        <w:jc w:val="both"/>
        <w:rPr>
          <w:sz w:val="28"/>
          <w:szCs w:val="28"/>
        </w:rPr>
      </w:pPr>
      <w:r w:rsidRPr="00B256DE">
        <w:rPr>
          <w:sz w:val="28"/>
          <w:szCs w:val="28"/>
        </w:rPr>
        <w:t>Advisory Committee on Rules of Evidence</w:t>
      </w:r>
    </w:p>
    <w:p w14:paraId="4489BB78" w14:textId="77777777" w:rsidR="009C3B71" w:rsidRPr="00B256DE" w:rsidRDefault="009C3B71" w:rsidP="009C3B71">
      <w:pPr>
        <w:rPr>
          <w:sz w:val="28"/>
          <w:szCs w:val="28"/>
        </w:rPr>
      </w:pPr>
      <w:r w:rsidRPr="00B256DE">
        <w:rPr>
          <w:sz w:val="28"/>
          <w:szCs w:val="28"/>
        </w:rPr>
        <w:t>Judge, Arizona Court of Appeals</w:t>
      </w:r>
    </w:p>
    <w:p w14:paraId="72E9C1E2" w14:textId="77777777" w:rsidR="009C3B71" w:rsidRPr="00B256DE" w:rsidRDefault="009C3B71" w:rsidP="009C3B71">
      <w:pPr>
        <w:rPr>
          <w:sz w:val="28"/>
          <w:szCs w:val="28"/>
        </w:rPr>
      </w:pPr>
      <w:r w:rsidRPr="00B256DE">
        <w:rPr>
          <w:sz w:val="28"/>
          <w:szCs w:val="28"/>
        </w:rPr>
        <w:t>Division One</w:t>
      </w:r>
    </w:p>
    <w:p w14:paraId="0CBFEC66" w14:textId="77777777" w:rsidR="009C3B71" w:rsidRPr="00B256DE" w:rsidRDefault="009C3B71" w:rsidP="009C3B71">
      <w:pPr>
        <w:rPr>
          <w:sz w:val="28"/>
          <w:szCs w:val="28"/>
        </w:rPr>
      </w:pPr>
      <w:r w:rsidRPr="00B256DE">
        <w:rPr>
          <w:sz w:val="28"/>
          <w:szCs w:val="28"/>
        </w:rPr>
        <w:t>State Courts Building</w:t>
      </w:r>
    </w:p>
    <w:p w14:paraId="39DCAABF" w14:textId="77777777" w:rsidR="009C3B71" w:rsidRPr="00B256DE" w:rsidRDefault="009C3B71" w:rsidP="009C3B71">
      <w:pPr>
        <w:rPr>
          <w:sz w:val="28"/>
          <w:szCs w:val="28"/>
        </w:rPr>
      </w:pPr>
      <w:r w:rsidRPr="00B256DE">
        <w:rPr>
          <w:sz w:val="28"/>
          <w:szCs w:val="28"/>
        </w:rPr>
        <w:t>1501 West Washington</w:t>
      </w:r>
    </w:p>
    <w:p w14:paraId="618F22DF" w14:textId="553D8BD5" w:rsidR="009C3B71" w:rsidRPr="00B256DE" w:rsidRDefault="009C3B71" w:rsidP="009C3B71">
      <w:pPr>
        <w:rPr>
          <w:sz w:val="28"/>
          <w:szCs w:val="28"/>
        </w:rPr>
      </w:pPr>
      <w:r w:rsidRPr="00B256DE">
        <w:rPr>
          <w:sz w:val="28"/>
          <w:szCs w:val="28"/>
        </w:rPr>
        <w:t>Phoenix, Arizona 85007</w:t>
      </w:r>
    </w:p>
    <w:p w14:paraId="4B39BBC6" w14:textId="3A410AB7" w:rsidR="009C3B71" w:rsidRPr="00B256DE" w:rsidRDefault="009107A9" w:rsidP="009C3B71">
      <w:pPr>
        <w:rPr>
          <w:sz w:val="28"/>
          <w:szCs w:val="28"/>
        </w:rPr>
      </w:pPr>
      <w:r w:rsidRPr="00B256DE">
        <w:rPr>
          <w:sz w:val="28"/>
          <w:szCs w:val="28"/>
        </w:rPr>
        <w:t xml:space="preserve">Telephone: </w:t>
      </w:r>
      <w:r w:rsidR="00D52FE5" w:rsidRPr="00B256DE">
        <w:rPr>
          <w:sz w:val="28"/>
          <w:szCs w:val="28"/>
        </w:rPr>
        <w:t>602-452-6740</w:t>
      </w:r>
    </w:p>
    <w:p w14:paraId="3F1AC15D" w14:textId="58CFA2DC" w:rsidR="00C00376" w:rsidRPr="00B256DE" w:rsidRDefault="00C00376" w:rsidP="009C3B71">
      <w:pPr>
        <w:rPr>
          <w:sz w:val="28"/>
          <w:szCs w:val="28"/>
        </w:rPr>
      </w:pPr>
      <w:r w:rsidRPr="00B256DE">
        <w:rPr>
          <w:sz w:val="28"/>
          <w:szCs w:val="28"/>
        </w:rPr>
        <w:t xml:space="preserve">Facsimile: </w:t>
      </w:r>
      <w:r w:rsidR="00D52FE5" w:rsidRPr="00B256DE">
        <w:rPr>
          <w:sz w:val="28"/>
          <w:szCs w:val="28"/>
        </w:rPr>
        <w:t xml:space="preserve">602-452-3228 </w:t>
      </w:r>
    </w:p>
    <w:p w14:paraId="00E570F4" w14:textId="77777777" w:rsidR="00C41CA7" w:rsidRPr="00B256DE" w:rsidRDefault="00C41CA7">
      <w:pPr>
        <w:jc w:val="both"/>
        <w:rPr>
          <w:sz w:val="28"/>
          <w:szCs w:val="28"/>
        </w:rPr>
      </w:pPr>
    </w:p>
    <w:p w14:paraId="7D2AE1D5" w14:textId="77777777" w:rsidR="00C41CA7" w:rsidRPr="00B256DE" w:rsidRDefault="00C41CA7">
      <w:pPr>
        <w:pStyle w:val="Heading1"/>
        <w:spacing w:line="240" w:lineRule="auto"/>
        <w:rPr>
          <w:rFonts w:ascii="Times New Roman" w:hAnsi="Times New Roman"/>
          <w:bCs/>
          <w:sz w:val="28"/>
          <w:szCs w:val="28"/>
        </w:rPr>
      </w:pPr>
      <w:r w:rsidRPr="00B256DE">
        <w:rPr>
          <w:rFonts w:ascii="Times New Roman" w:hAnsi="Times New Roman"/>
          <w:bCs/>
          <w:sz w:val="28"/>
          <w:szCs w:val="28"/>
        </w:rPr>
        <w:t>IN THE SUPREME COURT</w:t>
      </w:r>
    </w:p>
    <w:p w14:paraId="71269420" w14:textId="77777777" w:rsidR="00C41CA7" w:rsidRPr="00B256DE" w:rsidRDefault="00C41CA7">
      <w:pPr>
        <w:pStyle w:val="Heading1"/>
        <w:spacing w:line="240" w:lineRule="auto"/>
        <w:rPr>
          <w:rFonts w:ascii="Times New Roman" w:hAnsi="Times New Roman"/>
          <w:bCs/>
          <w:sz w:val="28"/>
          <w:szCs w:val="28"/>
        </w:rPr>
      </w:pPr>
      <w:r w:rsidRPr="00B256DE">
        <w:rPr>
          <w:rFonts w:ascii="Times New Roman" w:hAnsi="Times New Roman"/>
          <w:bCs/>
          <w:sz w:val="28"/>
          <w:szCs w:val="28"/>
        </w:rPr>
        <w:t>STATE OF ARIZONA</w:t>
      </w:r>
    </w:p>
    <w:p w14:paraId="700D7CA5" w14:textId="0BD23108" w:rsidR="001451DE" w:rsidRPr="00B256DE" w:rsidRDefault="001451DE" w:rsidP="001451DE">
      <w:pPr>
        <w:rPr>
          <w:sz w:val="28"/>
          <w:szCs w:val="28"/>
        </w:rPr>
      </w:pPr>
    </w:p>
    <w:tbl>
      <w:tblPr>
        <w:tblStyle w:val="TableGrid"/>
        <w:tblW w:w="0" w:type="auto"/>
        <w:tblLook w:val="04A0" w:firstRow="1" w:lastRow="0" w:firstColumn="1" w:lastColumn="0" w:noHBand="0" w:noVBand="1"/>
      </w:tblPr>
      <w:tblGrid>
        <w:gridCol w:w="4675"/>
        <w:gridCol w:w="4675"/>
      </w:tblGrid>
      <w:tr w:rsidR="008110D0" w:rsidRPr="00B256DE" w14:paraId="55EA8BCE" w14:textId="77777777" w:rsidTr="008110D0">
        <w:tc>
          <w:tcPr>
            <w:tcW w:w="4675" w:type="dxa"/>
            <w:tcBorders>
              <w:top w:val="nil"/>
              <w:left w:val="nil"/>
            </w:tcBorders>
          </w:tcPr>
          <w:p w14:paraId="6CD5886A" w14:textId="77777777" w:rsidR="008110D0" w:rsidRPr="00B256DE" w:rsidRDefault="008110D0" w:rsidP="001451DE">
            <w:pPr>
              <w:rPr>
                <w:sz w:val="28"/>
                <w:szCs w:val="28"/>
              </w:rPr>
            </w:pPr>
            <w:r w:rsidRPr="00B256DE">
              <w:rPr>
                <w:sz w:val="28"/>
                <w:szCs w:val="28"/>
              </w:rPr>
              <w:t xml:space="preserve">In the Matter of </w:t>
            </w:r>
          </w:p>
          <w:p w14:paraId="4E5EE401" w14:textId="77777777" w:rsidR="008110D0" w:rsidRPr="00B256DE" w:rsidRDefault="008110D0" w:rsidP="001451DE">
            <w:pPr>
              <w:rPr>
                <w:sz w:val="28"/>
                <w:szCs w:val="28"/>
              </w:rPr>
            </w:pPr>
          </w:p>
          <w:p w14:paraId="29B69D27" w14:textId="403A80DF" w:rsidR="008110D0" w:rsidRPr="00B256DE" w:rsidRDefault="008110D0" w:rsidP="001451DE">
            <w:pPr>
              <w:rPr>
                <w:sz w:val="28"/>
                <w:szCs w:val="28"/>
              </w:rPr>
            </w:pPr>
            <w:r w:rsidRPr="00B256DE">
              <w:rPr>
                <w:sz w:val="28"/>
                <w:szCs w:val="28"/>
              </w:rPr>
              <w:t xml:space="preserve">ARIZONA RULE OF EVIDENCE </w:t>
            </w:r>
            <w:r w:rsidR="00A92B06">
              <w:rPr>
                <w:sz w:val="28"/>
                <w:szCs w:val="28"/>
              </w:rPr>
              <w:t>412</w:t>
            </w:r>
          </w:p>
          <w:p w14:paraId="6B603AFA" w14:textId="77777777" w:rsidR="008110D0" w:rsidRPr="00B256DE" w:rsidRDefault="008110D0" w:rsidP="001451DE">
            <w:pPr>
              <w:rPr>
                <w:sz w:val="28"/>
                <w:szCs w:val="28"/>
              </w:rPr>
            </w:pPr>
          </w:p>
          <w:p w14:paraId="534C89EF" w14:textId="5DB7B323" w:rsidR="008110D0" w:rsidRPr="00B256DE" w:rsidRDefault="008110D0" w:rsidP="001451DE">
            <w:pPr>
              <w:rPr>
                <w:sz w:val="28"/>
                <w:szCs w:val="28"/>
              </w:rPr>
            </w:pPr>
          </w:p>
        </w:tc>
        <w:tc>
          <w:tcPr>
            <w:tcW w:w="4675" w:type="dxa"/>
            <w:tcBorders>
              <w:top w:val="nil"/>
              <w:bottom w:val="nil"/>
              <w:right w:val="nil"/>
            </w:tcBorders>
          </w:tcPr>
          <w:p w14:paraId="3B9016B1" w14:textId="77C4CDE4" w:rsidR="008110D0" w:rsidRPr="00B256DE" w:rsidRDefault="008110D0" w:rsidP="001451DE">
            <w:pPr>
              <w:rPr>
                <w:sz w:val="28"/>
                <w:szCs w:val="28"/>
              </w:rPr>
            </w:pPr>
            <w:r w:rsidRPr="00B256DE">
              <w:rPr>
                <w:sz w:val="28"/>
                <w:szCs w:val="28"/>
              </w:rPr>
              <w:t>Arizona Supreme Court No. R-2</w:t>
            </w:r>
            <w:r w:rsidR="00A92B06">
              <w:rPr>
                <w:sz w:val="28"/>
                <w:szCs w:val="28"/>
              </w:rPr>
              <w:t>4</w:t>
            </w:r>
            <w:r w:rsidRPr="00B256DE">
              <w:rPr>
                <w:sz w:val="28"/>
                <w:szCs w:val="28"/>
              </w:rPr>
              <w:t>-____</w:t>
            </w:r>
          </w:p>
          <w:p w14:paraId="5E67039A" w14:textId="77777777" w:rsidR="008110D0" w:rsidRPr="00B256DE" w:rsidRDefault="008110D0" w:rsidP="001451DE">
            <w:pPr>
              <w:rPr>
                <w:sz w:val="28"/>
                <w:szCs w:val="28"/>
              </w:rPr>
            </w:pPr>
          </w:p>
          <w:p w14:paraId="2BDFA647" w14:textId="77777777" w:rsidR="008110D0" w:rsidRPr="00B256DE" w:rsidRDefault="008110D0" w:rsidP="001451DE">
            <w:pPr>
              <w:rPr>
                <w:sz w:val="28"/>
                <w:szCs w:val="28"/>
              </w:rPr>
            </w:pPr>
            <w:r w:rsidRPr="00B256DE">
              <w:rPr>
                <w:sz w:val="28"/>
                <w:szCs w:val="28"/>
              </w:rPr>
              <w:t>PETITION TO AMEND ARIZONA</w:t>
            </w:r>
          </w:p>
          <w:p w14:paraId="3A547A74" w14:textId="32310277" w:rsidR="008110D0" w:rsidRPr="00B256DE" w:rsidRDefault="008110D0" w:rsidP="001451DE">
            <w:pPr>
              <w:rPr>
                <w:sz w:val="28"/>
                <w:szCs w:val="28"/>
              </w:rPr>
            </w:pPr>
            <w:r w:rsidRPr="00B256DE">
              <w:rPr>
                <w:sz w:val="28"/>
                <w:szCs w:val="28"/>
              </w:rPr>
              <w:t xml:space="preserve">RULE OF EVIDENCE </w:t>
            </w:r>
            <w:r w:rsidR="00A92B06">
              <w:rPr>
                <w:sz w:val="28"/>
                <w:szCs w:val="28"/>
              </w:rPr>
              <w:t>412</w:t>
            </w:r>
          </w:p>
        </w:tc>
      </w:tr>
    </w:tbl>
    <w:p w14:paraId="19AFB6E8" w14:textId="0508A233" w:rsidR="008110D0" w:rsidRPr="00B256DE" w:rsidRDefault="008110D0" w:rsidP="001451DE">
      <w:pPr>
        <w:rPr>
          <w:sz w:val="28"/>
          <w:szCs w:val="28"/>
        </w:rPr>
      </w:pPr>
    </w:p>
    <w:p w14:paraId="506CC4E2" w14:textId="77777777" w:rsidR="00C41CA7" w:rsidRPr="00B256DE" w:rsidRDefault="00C41CA7">
      <w:pPr>
        <w:jc w:val="both"/>
        <w:rPr>
          <w:sz w:val="28"/>
          <w:szCs w:val="28"/>
        </w:rPr>
      </w:pPr>
    </w:p>
    <w:p w14:paraId="77C9F887" w14:textId="6452D838" w:rsidR="001A3658" w:rsidRPr="00B256DE" w:rsidRDefault="00C41CA7" w:rsidP="00E66A0A">
      <w:pPr>
        <w:pStyle w:val="BodyText"/>
        <w:jc w:val="center"/>
        <w:rPr>
          <w:b/>
          <w:bCs/>
          <w:szCs w:val="28"/>
        </w:rPr>
      </w:pPr>
      <w:r w:rsidRPr="00B256DE">
        <w:rPr>
          <w:b/>
          <w:bCs/>
          <w:szCs w:val="28"/>
        </w:rPr>
        <w:t xml:space="preserve">PETITION </w:t>
      </w:r>
      <w:r w:rsidR="00A61FF5" w:rsidRPr="00B256DE">
        <w:rPr>
          <w:b/>
          <w:bCs/>
          <w:szCs w:val="28"/>
        </w:rPr>
        <w:t xml:space="preserve">TO </w:t>
      </w:r>
      <w:r w:rsidR="00E66A0A" w:rsidRPr="00B256DE">
        <w:rPr>
          <w:b/>
          <w:bCs/>
          <w:szCs w:val="28"/>
        </w:rPr>
        <w:t xml:space="preserve">AMEND </w:t>
      </w:r>
      <w:r w:rsidR="00A61FF5" w:rsidRPr="00B256DE">
        <w:rPr>
          <w:b/>
          <w:bCs/>
          <w:szCs w:val="28"/>
        </w:rPr>
        <w:t xml:space="preserve">ARIZONA RULE OF EVIDENCE </w:t>
      </w:r>
      <w:r w:rsidR="00A92B06">
        <w:rPr>
          <w:b/>
          <w:bCs/>
          <w:szCs w:val="28"/>
        </w:rPr>
        <w:t>412</w:t>
      </w:r>
    </w:p>
    <w:p w14:paraId="1A503880" w14:textId="77777777" w:rsidR="00695322" w:rsidRPr="00B256DE" w:rsidRDefault="00695322" w:rsidP="00E66A0A">
      <w:pPr>
        <w:pStyle w:val="BodyText"/>
        <w:rPr>
          <w:szCs w:val="28"/>
        </w:rPr>
      </w:pPr>
    </w:p>
    <w:p w14:paraId="129437E1" w14:textId="58E2F108" w:rsidR="003D73E0" w:rsidRPr="00B256DE" w:rsidRDefault="00716C66" w:rsidP="00BF4500">
      <w:pPr>
        <w:pStyle w:val="BodyText"/>
        <w:tabs>
          <w:tab w:val="left" w:pos="711"/>
        </w:tabs>
        <w:spacing w:line="480" w:lineRule="auto"/>
        <w:jc w:val="both"/>
        <w:rPr>
          <w:szCs w:val="28"/>
        </w:rPr>
      </w:pPr>
      <w:r w:rsidRPr="00B256DE">
        <w:rPr>
          <w:szCs w:val="28"/>
        </w:rPr>
        <w:tab/>
      </w:r>
      <w:r w:rsidR="00C41CA7" w:rsidRPr="00B256DE">
        <w:rPr>
          <w:szCs w:val="28"/>
        </w:rPr>
        <w:t>Pursuant to Rule 28, Rules of the Supreme Court</w:t>
      </w:r>
      <w:r w:rsidR="0029218E" w:rsidRPr="00B256DE">
        <w:rPr>
          <w:szCs w:val="28"/>
        </w:rPr>
        <w:t xml:space="preserve"> of Arizona</w:t>
      </w:r>
      <w:r w:rsidR="00C41CA7" w:rsidRPr="00B256DE">
        <w:rPr>
          <w:szCs w:val="28"/>
        </w:rPr>
        <w:t xml:space="preserve">, </w:t>
      </w:r>
      <w:r w:rsidR="009107A9" w:rsidRPr="00B256DE">
        <w:rPr>
          <w:szCs w:val="28"/>
        </w:rPr>
        <w:t>the Advisory Committee on Rules of Evidence</w:t>
      </w:r>
      <w:r w:rsidR="00E66A0A" w:rsidRPr="00B256DE">
        <w:rPr>
          <w:szCs w:val="28"/>
        </w:rPr>
        <w:t xml:space="preserve"> (the “Committee”)</w:t>
      </w:r>
      <w:r w:rsidR="009107A9" w:rsidRPr="00B256DE">
        <w:rPr>
          <w:szCs w:val="28"/>
        </w:rPr>
        <w:t xml:space="preserve">, by and through its Co-Chairs, </w:t>
      </w:r>
      <w:r w:rsidR="001966BD" w:rsidRPr="00B256DE">
        <w:rPr>
          <w:szCs w:val="28"/>
        </w:rPr>
        <w:t xml:space="preserve">the Honorable Sara Agne and the Honorable </w:t>
      </w:r>
      <w:r w:rsidR="00656710" w:rsidRPr="00B256DE">
        <w:rPr>
          <w:szCs w:val="28"/>
        </w:rPr>
        <w:t xml:space="preserve">Maria Elena Cruz, </w:t>
      </w:r>
      <w:r w:rsidR="00C41CA7" w:rsidRPr="00B256DE">
        <w:rPr>
          <w:szCs w:val="28"/>
        </w:rPr>
        <w:t>petition</w:t>
      </w:r>
      <w:r w:rsidR="00BE2F8C" w:rsidRPr="00B256DE">
        <w:rPr>
          <w:szCs w:val="28"/>
        </w:rPr>
        <w:t>s</w:t>
      </w:r>
      <w:r w:rsidR="00C41CA7" w:rsidRPr="00B256DE">
        <w:rPr>
          <w:szCs w:val="28"/>
        </w:rPr>
        <w:t xml:space="preserve"> the Court </w:t>
      </w:r>
      <w:r w:rsidR="00C41CA7" w:rsidRPr="00B256DE">
        <w:rPr>
          <w:szCs w:val="28"/>
        </w:rPr>
        <w:lastRenderedPageBreak/>
        <w:t xml:space="preserve">to </w:t>
      </w:r>
      <w:r w:rsidR="00407011">
        <w:rPr>
          <w:szCs w:val="28"/>
        </w:rPr>
        <w:t>adopt</w:t>
      </w:r>
      <w:r w:rsidR="000E7EE1" w:rsidRPr="00B256DE">
        <w:rPr>
          <w:szCs w:val="28"/>
        </w:rPr>
        <w:t xml:space="preserve"> Arizona Rule</w:t>
      </w:r>
      <w:r w:rsidR="00A61FF5" w:rsidRPr="00B256DE">
        <w:rPr>
          <w:szCs w:val="28"/>
        </w:rPr>
        <w:t xml:space="preserve"> of Evidence</w:t>
      </w:r>
      <w:r w:rsidR="00D27E20" w:rsidRPr="00B256DE">
        <w:rPr>
          <w:szCs w:val="28"/>
        </w:rPr>
        <w:t xml:space="preserve"> </w:t>
      </w:r>
      <w:r w:rsidR="00A92B06">
        <w:rPr>
          <w:szCs w:val="28"/>
        </w:rPr>
        <w:t>412</w:t>
      </w:r>
      <w:r w:rsidR="00A61FF5" w:rsidRPr="00B256DE">
        <w:rPr>
          <w:szCs w:val="28"/>
        </w:rPr>
        <w:t xml:space="preserve">, </w:t>
      </w:r>
      <w:r w:rsidR="00C41CA7" w:rsidRPr="00B256DE">
        <w:rPr>
          <w:szCs w:val="28"/>
        </w:rPr>
        <w:t xml:space="preserve">as reflected in the </w:t>
      </w:r>
      <w:r w:rsidR="0093423A">
        <w:rPr>
          <w:szCs w:val="28"/>
        </w:rPr>
        <w:t>A</w:t>
      </w:r>
      <w:r w:rsidR="00B80328" w:rsidRPr="00B256DE">
        <w:rPr>
          <w:szCs w:val="28"/>
        </w:rPr>
        <w:t>ttachment</w:t>
      </w:r>
      <w:r w:rsidR="00B9308D">
        <w:rPr>
          <w:szCs w:val="28"/>
        </w:rPr>
        <w:t xml:space="preserve"> to this Petition</w:t>
      </w:r>
      <w:r w:rsidR="006072CC" w:rsidRPr="00B256DE">
        <w:rPr>
          <w:szCs w:val="28"/>
        </w:rPr>
        <w:t>,</w:t>
      </w:r>
      <w:r w:rsidR="009107A9" w:rsidRPr="00B256DE">
        <w:rPr>
          <w:szCs w:val="28"/>
        </w:rPr>
        <w:t xml:space="preserve"> </w:t>
      </w:r>
      <w:r w:rsidR="006072CC" w:rsidRPr="00B256DE">
        <w:rPr>
          <w:szCs w:val="28"/>
        </w:rPr>
        <w:t>effective January 1, 20</w:t>
      </w:r>
      <w:r w:rsidR="001966BD" w:rsidRPr="00B256DE">
        <w:rPr>
          <w:szCs w:val="28"/>
        </w:rPr>
        <w:t>2</w:t>
      </w:r>
      <w:r w:rsidR="00A92B06">
        <w:rPr>
          <w:szCs w:val="28"/>
        </w:rPr>
        <w:t>5</w:t>
      </w:r>
      <w:r w:rsidR="00C41CA7" w:rsidRPr="00B256DE">
        <w:rPr>
          <w:szCs w:val="28"/>
        </w:rPr>
        <w:t xml:space="preserve">.  </w:t>
      </w:r>
    </w:p>
    <w:p w14:paraId="5B30811D" w14:textId="77777777" w:rsidR="003D73E0" w:rsidRPr="00B256DE" w:rsidRDefault="00C41CA7" w:rsidP="00E66A0A">
      <w:pPr>
        <w:pStyle w:val="BodyText"/>
        <w:numPr>
          <w:ilvl w:val="0"/>
          <w:numId w:val="3"/>
        </w:numPr>
        <w:tabs>
          <w:tab w:val="left" w:pos="720"/>
        </w:tabs>
        <w:ind w:hanging="1080"/>
        <w:rPr>
          <w:b/>
          <w:bCs/>
          <w:szCs w:val="28"/>
        </w:rPr>
      </w:pPr>
      <w:r w:rsidRPr="00B256DE">
        <w:rPr>
          <w:b/>
          <w:bCs/>
          <w:szCs w:val="28"/>
        </w:rPr>
        <w:t>INTRODUCTION</w:t>
      </w:r>
      <w:r w:rsidR="001B6095" w:rsidRPr="00B256DE">
        <w:rPr>
          <w:b/>
          <w:bCs/>
          <w:szCs w:val="28"/>
        </w:rPr>
        <w:t xml:space="preserve"> AND BACKGROUND</w:t>
      </w:r>
    </w:p>
    <w:p w14:paraId="6ED60F39" w14:textId="77777777" w:rsidR="00C41CA7" w:rsidRPr="00B256DE" w:rsidRDefault="00C41CA7" w:rsidP="00E66A0A">
      <w:pPr>
        <w:pStyle w:val="BodyText"/>
        <w:rPr>
          <w:b/>
          <w:bCs/>
          <w:szCs w:val="28"/>
        </w:rPr>
      </w:pPr>
    </w:p>
    <w:p w14:paraId="2512E7CF" w14:textId="4995E194" w:rsidR="003D73E0" w:rsidRPr="00B256DE" w:rsidRDefault="00716C66" w:rsidP="00BF4500">
      <w:pPr>
        <w:tabs>
          <w:tab w:val="left" w:pos="720"/>
        </w:tabs>
        <w:autoSpaceDE w:val="0"/>
        <w:autoSpaceDN w:val="0"/>
        <w:adjustRightInd w:val="0"/>
        <w:spacing w:line="480" w:lineRule="auto"/>
        <w:jc w:val="both"/>
        <w:rPr>
          <w:sz w:val="28"/>
          <w:szCs w:val="28"/>
        </w:rPr>
      </w:pPr>
      <w:r w:rsidRPr="00B256DE">
        <w:rPr>
          <w:sz w:val="28"/>
          <w:szCs w:val="28"/>
        </w:rPr>
        <w:tab/>
      </w:r>
      <w:r w:rsidR="00722100">
        <w:rPr>
          <w:sz w:val="28"/>
          <w:szCs w:val="28"/>
        </w:rPr>
        <w:t xml:space="preserve">This Court first adopted the </w:t>
      </w:r>
      <w:r w:rsidR="00A81C59" w:rsidRPr="00B256DE">
        <w:rPr>
          <w:iCs/>
          <w:sz w:val="28"/>
          <w:szCs w:val="28"/>
        </w:rPr>
        <w:t>Arizona Rules of Evidence</w:t>
      </w:r>
      <w:r w:rsidR="00A81C59" w:rsidRPr="00B256DE">
        <w:rPr>
          <w:i/>
          <w:iCs/>
          <w:sz w:val="28"/>
          <w:szCs w:val="28"/>
        </w:rPr>
        <w:t xml:space="preserve"> </w:t>
      </w:r>
      <w:r w:rsidR="00A81C59" w:rsidRPr="00B256DE">
        <w:rPr>
          <w:sz w:val="28"/>
          <w:szCs w:val="28"/>
        </w:rPr>
        <w:t>in September 1977</w:t>
      </w:r>
      <w:r w:rsidR="00722100">
        <w:rPr>
          <w:sz w:val="28"/>
          <w:szCs w:val="28"/>
        </w:rPr>
        <w:t xml:space="preserve">. They are based on the </w:t>
      </w:r>
      <w:r w:rsidR="00A81C59" w:rsidRPr="00B256DE">
        <w:rPr>
          <w:iCs/>
          <w:sz w:val="28"/>
          <w:szCs w:val="28"/>
        </w:rPr>
        <w:t>Federal Rules of</w:t>
      </w:r>
      <w:r w:rsidR="00A81C59" w:rsidRPr="00B256DE">
        <w:rPr>
          <w:i/>
          <w:iCs/>
          <w:sz w:val="28"/>
          <w:szCs w:val="28"/>
        </w:rPr>
        <w:t xml:space="preserve"> </w:t>
      </w:r>
      <w:r w:rsidR="00A81C59" w:rsidRPr="00B256DE">
        <w:rPr>
          <w:iCs/>
          <w:sz w:val="28"/>
          <w:szCs w:val="28"/>
        </w:rPr>
        <w:t>Evidence, adopted in 1975</w:t>
      </w:r>
      <w:r w:rsidR="00A81C59" w:rsidRPr="00B256DE">
        <w:rPr>
          <w:sz w:val="28"/>
          <w:szCs w:val="28"/>
        </w:rPr>
        <w:t xml:space="preserve">. In the </w:t>
      </w:r>
      <w:r w:rsidR="00A607C7">
        <w:rPr>
          <w:sz w:val="28"/>
          <w:szCs w:val="28"/>
        </w:rPr>
        <w:t xml:space="preserve">decades </w:t>
      </w:r>
      <w:r w:rsidR="00A81C59" w:rsidRPr="00B256DE">
        <w:rPr>
          <w:sz w:val="28"/>
          <w:szCs w:val="28"/>
        </w:rPr>
        <w:t>since, the Federal Rules of Evidence</w:t>
      </w:r>
      <w:r w:rsidR="00A81C59" w:rsidRPr="00B256DE">
        <w:rPr>
          <w:i/>
          <w:sz w:val="28"/>
          <w:szCs w:val="28"/>
        </w:rPr>
        <w:t xml:space="preserve"> </w:t>
      </w:r>
      <w:r w:rsidR="00A81C59" w:rsidRPr="00B256DE">
        <w:rPr>
          <w:sz w:val="28"/>
          <w:szCs w:val="28"/>
        </w:rPr>
        <w:t>ha</w:t>
      </w:r>
      <w:r w:rsidR="00F321B7" w:rsidRPr="00B256DE">
        <w:rPr>
          <w:sz w:val="28"/>
          <w:szCs w:val="28"/>
        </w:rPr>
        <w:t>ve</w:t>
      </w:r>
      <w:r w:rsidR="00A81C59" w:rsidRPr="00B256DE">
        <w:rPr>
          <w:sz w:val="28"/>
          <w:szCs w:val="28"/>
        </w:rPr>
        <w:t xml:space="preserve"> been amended on several occasions,</w:t>
      </w:r>
      <w:r w:rsidR="003F21F0">
        <w:rPr>
          <w:sz w:val="28"/>
          <w:szCs w:val="28"/>
        </w:rPr>
        <w:t xml:space="preserve"> and many—but not all—of </w:t>
      </w:r>
      <w:r w:rsidR="00A81C59" w:rsidRPr="00B256DE">
        <w:rPr>
          <w:sz w:val="28"/>
          <w:szCs w:val="28"/>
        </w:rPr>
        <w:t>these amendments ha</w:t>
      </w:r>
      <w:r w:rsidR="00642063" w:rsidRPr="00B256DE">
        <w:rPr>
          <w:sz w:val="28"/>
          <w:szCs w:val="28"/>
        </w:rPr>
        <w:t>ve</w:t>
      </w:r>
      <w:r w:rsidR="00A81C59" w:rsidRPr="00B256DE">
        <w:rPr>
          <w:sz w:val="28"/>
          <w:szCs w:val="28"/>
        </w:rPr>
        <w:t xml:space="preserve"> become part of the Arizona Rules</w:t>
      </w:r>
      <w:r w:rsidRPr="00B256DE">
        <w:rPr>
          <w:sz w:val="28"/>
          <w:szCs w:val="28"/>
        </w:rPr>
        <w:t xml:space="preserve"> of Evidence</w:t>
      </w:r>
      <w:r w:rsidR="00A81C59" w:rsidRPr="00B256DE">
        <w:rPr>
          <w:sz w:val="28"/>
          <w:szCs w:val="28"/>
        </w:rPr>
        <w:t xml:space="preserve">. </w:t>
      </w:r>
      <w:r w:rsidR="000F73BB">
        <w:rPr>
          <w:sz w:val="28"/>
          <w:szCs w:val="28"/>
        </w:rPr>
        <w:t>T</w:t>
      </w:r>
      <w:r w:rsidR="00CB085A" w:rsidRPr="00B256DE">
        <w:rPr>
          <w:sz w:val="28"/>
          <w:szCs w:val="28"/>
        </w:rPr>
        <w:t xml:space="preserve">his </w:t>
      </w:r>
      <w:r w:rsidR="000F73BB">
        <w:rPr>
          <w:sz w:val="28"/>
          <w:szCs w:val="28"/>
        </w:rPr>
        <w:t xml:space="preserve">Committee </w:t>
      </w:r>
      <w:r w:rsidR="00CB085A" w:rsidRPr="00B256DE">
        <w:rPr>
          <w:sz w:val="28"/>
          <w:szCs w:val="28"/>
        </w:rPr>
        <w:t>evaluates proposed federal changes consistent with its June 2012 chartering administrative order:</w:t>
      </w:r>
    </w:p>
    <w:p w14:paraId="4C04CD56" w14:textId="77777777" w:rsidR="00A81C59" w:rsidRPr="00B256DE" w:rsidRDefault="00A81C59" w:rsidP="00BF4500">
      <w:pPr>
        <w:pStyle w:val="ListParagraph"/>
        <w:autoSpaceDE w:val="0"/>
        <w:autoSpaceDN w:val="0"/>
        <w:adjustRightInd w:val="0"/>
        <w:ind w:left="1440" w:right="1440"/>
        <w:jc w:val="both"/>
        <w:rPr>
          <w:sz w:val="28"/>
          <w:szCs w:val="28"/>
        </w:rPr>
      </w:pPr>
      <w:r w:rsidRPr="00B256DE">
        <w:rPr>
          <w:sz w:val="28"/>
          <w:szCs w:val="28"/>
        </w:rPr>
        <w:t xml:space="preserve">The Committee shall periodically conduct a review and analysis of the </w:t>
      </w:r>
      <w:r w:rsidRPr="00B256DE">
        <w:rPr>
          <w:i/>
          <w:sz w:val="28"/>
          <w:szCs w:val="28"/>
        </w:rPr>
        <w:t>Arizona Rules of Evidence</w:t>
      </w:r>
      <w:r w:rsidRPr="00B256DE">
        <w:rPr>
          <w:sz w:val="28"/>
          <w:szCs w:val="28"/>
        </w:rPr>
        <w:t xml:space="preserve">, review all proposals to amend the </w:t>
      </w:r>
      <w:r w:rsidRPr="00B256DE">
        <w:rPr>
          <w:i/>
          <w:sz w:val="28"/>
          <w:szCs w:val="28"/>
        </w:rPr>
        <w:t>Arizona Rules of Evidence</w:t>
      </w:r>
      <w:r w:rsidRPr="00B256DE">
        <w:rPr>
          <w:sz w:val="28"/>
          <w:szCs w:val="28"/>
        </w:rPr>
        <w:t xml:space="preserve">, compare the rules to the </w:t>
      </w:r>
      <w:r w:rsidRPr="00B256DE">
        <w:rPr>
          <w:i/>
          <w:sz w:val="28"/>
          <w:szCs w:val="28"/>
        </w:rPr>
        <w:t>Federal Rules of Evidence</w:t>
      </w:r>
      <w:r w:rsidRPr="00B256DE">
        <w:rPr>
          <w:sz w:val="28"/>
          <w:szCs w:val="28"/>
        </w:rPr>
        <w:t>, recommend revisions and additional rules as the Committee deems appropriate, entertain comments concerning the rules, and provide reports to this Court, as appropriate.</w:t>
      </w:r>
    </w:p>
    <w:p w14:paraId="6F462B10" w14:textId="77777777" w:rsidR="00A81C59" w:rsidRPr="00B256DE" w:rsidRDefault="00A81C59" w:rsidP="00E66A0A">
      <w:pPr>
        <w:pStyle w:val="ListParagraph"/>
        <w:ind w:left="1440" w:right="1440"/>
        <w:rPr>
          <w:sz w:val="28"/>
          <w:szCs w:val="28"/>
        </w:rPr>
      </w:pPr>
    </w:p>
    <w:p w14:paraId="6AE23389" w14:textId="77777777" w:rsidR="00A92B06" w:rsidRDefault="009D231B" w:rsidP="00BF4500">
      <w:pPr>
        <w:autoSpaceDE w:val="0"/>
        <w:autoSpaceDN w:val="0"/>
        <w:adjustRightInd w:val="0"/>
        <w:spacing w:line="480" w:lineRule="auto"/>
        <w:jc w:val="both"/>
        <w:rPr>
          <w:sz w:val="28"/>
          <w:szCs w:val="28"/>
        </w:rPr>
      </w:pPr>
      <w:r w:rsidRPr="00B256DE">
        <w:rPr>
          <w:sz w:val="28"/>
          <w:szCs w:val="28"/>
        </w:rPr>
        <w:t>Arizona Supreme Court Administrative Order 2012-43, dated June 11, 2012.</w:t>
      </w:r>
      <w:r w:rsidR="00E66A0A" w:rsidRPr="00B256DE">
        <w:rPr>
          <w:sz w:val="28"/>
          <w:szCs w:val="28"/>
        </w:rPr>
        <w:t xml:space="preserve"> </w:t>
      </w:r>
    </w:p>
    <w:p w14:paraId="5334C494" w14:textId="77777777" w:rsidR="00B41FF0" w:rsidRDefault="00A607C7" w:rsidP="003F21F0">
      <w:pPr>
        <w:autoSpaceDE w:val="0"/>
        <w:autoSpaceDN w:val="0"/>
        <w:adjustRightInd w:val="0"/>
        <w:spacing w:line="480" w:lineRule="auto"/>
        <w:ind w:firstLine="720"/>
        <w:jc w:val="both"/>
        <w:rPr>
          <w:sz w:val="28"/>
          <w:szCs w:val="28"/>
        </w:rPr>
      </w:pPr>
      <w:r>
        <w:rPr>
          <w:sz w:val="28"/>
          <w:szCs w:val="28"/>
        </w:rPr>
        <w:t xml:space="preserve">Congress originally enacted </w:t>
      </w:r>
      <w:r w:rsidR="003F21F0">
        <w:rPr>
          <w:sz w:val="28"/>
          <w:szCs w:val="28"/>
        </w:rPr>
        <w:t>Federal Rule of Evidence 412—colloquially known as the “rape-shield rule”—as part of the Privacy Protection for Rape Victims Act of 1978</w:t>
      </w:r>
      <w:r>
        <w:rPr>
          <w:sz w:val="28"/>
          <w:szCs w:val="28"/>
        </w:rPr>
        <w:t xml:space="preserve">. The original rule applied </w:t>
      </w:r>
      <w:r w:rsidR="00A656F0">
        <w:rPr>
          <w:sz w:val="28"/>
          <w:szCs w:val="28"/>
        </w:rPr>
        <w:t>in criminal cases only. Twenty years later, in 1998, the Arizona legislature passed a similar rape-shield statute</w:t>
      </w:r>
      <w:r w:rsidR="000F73BB">
        <w:rPr>
          <w:sz w:val="28"/>
          <w:szCs w:val="28"/>
        </w:rPr>
        <w:t>,</w:t>
      </w:r>
      <w:r w:rsidR="00A656F0">
        <w:rPr>
          <w:sz w:val="28"/>
          <w:szCs w:val="28"/>
        </w:rPr>
        <w:t xml:space="preserve"> A.R.S. § 13-1421</w:t>
      </w:r>
      <w:r w:rsidR="000F73BB">
        <w:rPr>
          <w:sz w:val="28"/>
          <w:szCs w:val="28"/>
        </w:rPr>
        <w:t>, governing criminal cases</w:t>
      </w:r>
      <w:r w:rsidR="00A656F0">
        <w:rPr>
          <w:sz w:val="28"/>
          <w:szCs w:val="28"/>
        </w:rPr>
        <w:t xml:space="preserve">. </w:t>
      </w:r>
    </w:p>
    <w:p w14:paraId="01FF41EA" w14:textId="28458894" w:rsidR="00A656F0" w:rsidRDefault="00722100" w:rsidP="003F21F0">
      <w:pPr>
        <w:autoSpaceDE w:val="0"/>
        <w:autoSpaceDN w:val="0"/>
        <w:adjustRightInd w:val="0"/>
        <w:spacing w:line="480" w:lineRule="auto"/>
        <w:ind w:firstLine="720"/>
        <w:jc w:val="both"/>
        <w:rPr>
          <w:sz w:val="28"/>
          <w:szCs w:val="28"/>
        </w:rPr>
      </w:pPr>
      <w:r>
        <w:rPr>
          <w:sz w:val="28"/>
          <w:szCs w:val="28"/>
        </w:rPr>
        <w:lastRenderedPageBreak/>
        <w:t>I</w:t>
      </w:r>
      <w:r w:rsidR="00A656F0">
        <w:rPr>
          <w:sz w:val="28"/>
          <w:szCs w:val="28"/>
        </w:rPr>
        <w:t xml:space="preserve">n 2012, </w:t>
      </w:r>
      <w:r w:rsidR="0008673B">
        <w:rPr>
          <w:sz w:val="28"/>
          <w:szCs w:val="28"/>
        </w:rPr>
        <w:t>this</w:t>
      </w:r>
      <w:r w:rsidR="00A656F0">
        <w:rPr>
          <w:sz w:val="28"/>
          <w:szCs w:val="28"/>
        </w:rPr>
        <w:t xml:space="preserve"> Committee did not adopt a rape-shield </w:t>
      </w:r>
      <w:r w:rsidR="00A656F0" w:rsidRPr="00A656F0">
        <w:rPr>
          <w:i/>
          <w:iCs/>
          <w:sz w:val="28"/>
          <w:szCs w:val="28"/>
        </w:rPr>
        <w:t>rule</w:t>
      </w:r>
      <w:r w:rsidR="00A656F0">
        <w:rPr>
          <w:sz w:val="28"/>
          <w:szCs w:val="28"/>
        </w:rPr>
        <w:t xml:space="preserve"> because Arizona already had </w:t>
      </w:r>
      <w:r w:rsidR="00A607C7">
        <w:rPr>
          <w:sz w:val="28"/>
          <w:szCs w:val="28"/>
        </w:rPr>
        <w:t xml:space="preserve">a </w:t>
      </w:r>
      <w:r w:rsidR="00A656F0">
        <w:rPr>
          <w:sz w:val="28"/>
          <w:szCs w:val="28"/>
        </w:rPr>
        <w:t xml:space="preserve">rape-shield </w:t>
      </w:r>
      <w:r w:rsidR="00A656F0">
        <w:rPr>
          <w:i/>
          <w:iCs/>
          <w:sz w:val="28"/>
          <w:szCs w:val="28"/>
        </w:rPr>
        <w:t>statute</w:t>
      </w:r>
      <w:r w:rsidR="00A656F0">
        <w:rPr>
          <w:sz w:val="28"/>
          <w:szCs w:val="28"/>
        </w:rPr>
        <w:t xml:space="preserve">. </w:t>
      </w:r>
      <w:r w:rsidR="001551BA">
        <w:rPr>
          <w:sz w:val="28"/>
          <w:szCs w:val="28"/>
        </w:rPr>
        <w:t>Arizona Rule of Evidence 412</w:t>
      </w:r>
      <w:r w:rsidR="005F16D3">
        <w:rPr>
          <w:sz w:val="28"/>
          <w:szCs w:val="28"/>
        </w:rPr>
        <w:t xml:space="preserve"> contains the following comment</w:t>
      </w:r>
      <w:r w:rsidR="00A95F0F">
        <w:rPr>
          <w:sz w:val="28"/>
          <w:szCs w:val="28"/>
        </w:rPr>
        <w:t xml:space="preserve"> from 2012</w:t>
      </w:r>
      <w:r w:rsidR="005F16D3">
        <w:rPr>
          <w:sz w:val="28"/>
          <w:szCs w:val="28"/>
        </w:rPr>
        <w:t xml:space="preserve">: </w:t>
      </w:r>
      <w:r w:rsidR="00A656F0">
        <w:rPr>
          <w:sz w:val="28"/>
          <w:szCs w:val="28"/>
        </w:rPr>
        <w:t xml:space="preserve">“Federal Rule of Evidence 412 has not been adopted. </w:t>
      </w:r>
      <w:r w:rsidR="00A656F0">
        <w:rPr>
          <w:i/>
          <w:iCs/>
          <w:sz w:val="28"/>
          <w:szCs w:val="28"/>
        </w:rPr>
        <w:t xml:space="preserve">See </w:t>
      </w:r>
      <w:r w:rsidR="00A656F0">
        <w:rPr>
          <w:sz w:val="28"/>
          <w:szCs w:val="28"/>
        </w:rPr>
        <w:t>A.R.S. § 13-1421 (Evidence relating to victim’s chastity; pretrial hearing).</w:t>
      </w:r>
      <w:r w:rsidR="001551BA">
        <w:rPr>
          <w:sz w:val="28"/>
          <w:szCs w:val="28"/>
        </w:rPr>
        <w:t>”</w:t>
      </w:r>
      <w:r>
        <w:rPr>
          <w:sz w:val="28"/>
          <w:szCs w:val="28"/>
        </w:rPr>
        <w:t xml:space="preserve"> </w:t>
      </w:r>
    </w:p>
    <w:p w14:paraId="3250D538" w14:textId="2CAB5613" w:rsidR="00B41FF0" w:rsidRDefault="00A656F0" w:rsidP="00DF4491">
      <w:pPr>
        <w:autoSpaceDE w:val="0"/>
        <w:autoSpaceDN w:val="0"/>
        <w:adjustRightInd w:val="0"/>
        <w:spacing w:line="480" w:lineRule="auto"/>
        <w:ind w:firstLine="720"/>
        <w:jc w:val="both"/>
        <w:rPr>
          <w:sz w:val="28"/>
          <w:szCs w:val="28"/>
        </w:rPr>
      </w:pPr>
      <w:r>
        <w:rPr>
          <w:sz w:val="28"/>
          <w:szCs w:val="28"/>
        </w:rPr>
        <w:t>B</w:t>
      </w:r>
      <w:r w:rsidR="0008673B">
        <w:rPr>
          <w:sz w:val="28"/>
          <w:szCs w:val="28"/>
        </w:rPr>
        <w:t>y</w:t>
      </w:r>
      <w:r w:rsidR="001551BA">
        <w:rPr>
          <w:sz w:val="28"/>
          <w:szCs w:val="28"/>
        </w:rPr>
        <w:t xml:space="preserve"> 2012, </w:t>
      </w:r>
      <w:r>
        <w:rPr>
          <w:sz w:val="28"/>
          <w:szCs w:val="28"/>
        </w:rPr>
        <w:t xml:space="preserve">Federal Rule of Evidence 412 included more than criminal rape-shield protections. </w:t>
      </w:r>
      <w:r w:rsidR="003F21F0">
        <w:rPr>
          <w:sz w:val="28"/>
          <w:szCs w:val="28"/>
        </w:rPr>
        <w:t xml:space="preserve">In 1994, Congress amended </w:t>
      </w:r>
      <w:r>
        <w:rPr>
          <w:sz w:val="28"/>
          <w:szCs w:val="28"/>
        </w:rPr>
        <w:t xml:space="preserve">Federal Rule 412 </w:t>
      </w:r>
      <w:r w:rsidR="003F21F0">
        <w:rPr>
          <w:sz w:val="28"/>
          <w:szCs w:val="28"/>
        </w:rPr>
        <w:t xml:space="preserve">to apply </w:t>
      </w:r>
      <w:r w:rsidR="00DF4491">
        <w:rPr>
          <w:sz w:val="28"/>
          <w:szCs w:val="28"/>
        </w:rPr>
        <w:t xml:space="preserve">in </w:t>
      </w:r>
      <w:r w:rsidR="00A92B06">
        <w:rPr>
          <w:sz w:val="28"/>
          <w:szCs w:val="28"/>
        </w:rPr>
        <w:t xml:space="preserve">all </w:t>
      </w:r>
      <w:r w:rsidR="00A92B06" w:rsidRPr="00A95F0F">
        <w:rPr>
          <w:i/>
          <w:iCs/>
          <w:sz w:val="28"/>
          <w:szCs w:val="28"/>
        </w:rPr>
        <w:t>civil</w:t>
      </w:r>
      <w:r w:rsidR="00A92B06">
        <w:rPr>
          <w:sz w:val="28"/>
          <w:szCs w:val="28"/>
        </w:rPr>
        <w:t xml:space="preserve"> and criminal cases involving alleged sexual misconduct. </w:t>
      </w:r>
      <w:r w:rsidR="004D5214">
        <w:rPr>
          <w:sz w:val="28"/>
          <w:szCs w:val="28"/>
        </w:rPr>
        <w:t>In</w:t>
      </w:r>
      <w:r w:rsidR="00A92B06">
        <w:rPr>
          <w:sz w:val="28"/>
          <w:szCs w:val="28"/>
        </w:rPr>
        <w:t xml:space="preserve"> civil cases, Federal Rule 412(b)(2) </w:t>
      </w:r>
      <w:r w:rsidR="00407011">
        <w:rPr>
          <w:sz w:val="28"/>
          <w:szCs w:val="28"/>
        </w:rPr>
        <w:t xml:space="preserve">allows admission of </w:t>
      </w:r>
      <w:r w:rsidR="00A92B06">
        <w:rPr>
          <w:sz w:val="28"/>
          <w:szCs w:val="28"/>
        </w:rPr>
        <w:t xml:space="preserve">“evidence offered to prove a victim’s sexual behavior or sexual predisposition if its probative value substantially outweighs the danger of harm to any victim and unfair prejudice to any party. The court may admit evidence of a victim’s reputation only if the victim has placed it in controversy.” </w:t>
      </w:r>
      <w:r w:rsidR="00A92B06" w:rsidRPr="00A92B06">
        <w:rPr>
          <w:smallCaps/>
          <w:sz w:val="28"/>
          <w:szCs w:val="28"/>
        </w:rPr>
        <w:t>Fed. R. Evid.</w:t>
      </w:r>
      <w:r w:rsidR="00A92B06">
        <w:rPr>
          <w:sz w:val="28"/>
          <w:szCs w:val="28"/>
        </w:rPr>
        <w:t xml:space="preserve"> 412(b)(2). </w:t>
      </w:r>
    </w:p>
    <w:p w14:paraId="7658AA03" w14:textId="210D5839" w:rsidR="00DF4491" w:rsidRPr="00DF4491" w:rsidRDefault="00A656F0" w:rsidP="00DF4491">
      <w:pPr>
        <w:autoSpaceDE w:val="0"/>
        <w:autoSpaceDN w:val="0"/>
        <w:adjustRightInd w:val="0"/>
        <w:spacing w:line="480" w:lineRule="auto"/>
        <w:ind w:firstLine="720"/>
        <w:jc w:val="both"/>
        <w:rPr>
          <w:sz w:val="28"/>
          <w:szCs w:val="28"/>
        </w:rPr>
      </w:pPr>
      <w:r>
        <w:rPr>
          <w:sz w:val="28"/>
          <w:szCs w:val="28"/>
        </w:rPr>
        <w:t>As noted</w:t>
      </w:r>
      <w:r w:rsidR="00722100">
        <w:rPr>
          <w:sz w:val="28"/>
          <w:szCs w:val="28"/>
        </w:rPr>
        <w:t xml:space="preserve"> above</w:t>
      </w:r>
      <w:r>
        <w:rPr>
          <w:sz w:val="28"/>
          <w:szCs w:val="28"/>
        </w:rPr>
        <w:t>, the Committee did not adopt civil rape-shield protections</w:t>
      </w:r>
      <w:r w:rsidR="00722100">
        <w:rPr>
          <w:sz w:val="28"/>
          <w:szCs w:val="28"/>
        </w:rPr>
        <w:t xml:space="preserve"> in 2012</w:t>
      </w:r>
      <w:r>
        <w:rPr>
          <w:sz w:val="28"/>
          <w:szCs w:val="28"/>
        </w:rPr>
        <w:t xml:space="preserve">. </w:t>
      </w:r>
      <w:r w:rsidR="00F32380">
        <w:rPr>
          <w:sz w:val="28"/>
          <w:szCs w:val="28"/>
        </w:rPr>
        <w:t xml:space="preserve">Instead, the Committee believed that Arizona’s criminal statute </w:t>
      </w:r>
      <w:r w:rsidR="00DF4491">
        <w:rPr>
          <w:sz w:val="28"/>
          <w:szCs w:val="28"/>
        </w:rPr>
        <w:t xml:space="preserve">sufficiently covered the field. A review of records and discussions with former Committee members suggests that </w:t>
      </w:r>
      <w:r w:rsidR="00B41FF0">
        <w:rPr>
          <w:sz w:val="28"/>
          <w:szCs w:val="28"/>
        </w:rPr>
        <w:t>not considering</w:t>
      </w:r>
      <w:r w:rsidR="00DF4491">
        <w:rPr>
          <w:sz w:val="28"/>
          <w:szCs w:val="28"/>
        </w:rPr>
        <w:t xml:space="preserve"> a </w:t>
      </w:r>
      <w:r w:rsidR="00DF4491">
        <w:rPr>
          <w:i/>
          <w:iCs/>
          <w:sz w:val="28"/>
          <w:szCs w:val="28"/>
        </w:rPr>
        <w:t xml:space="preserve">civil </w:t>
      </w:r>
      <w:r w:rsidR="00DF4491">
        <w:rPr>
          <w:sz w:val="28"/>
          <w:szCs w:val="28"/>
        </w:rPr>
        <w:t>rape-shield rule</w:t>
      </w:r>
      <w:r w:rsidR="00B41FF0">
        <w:rPr>
          <w:sz w:val="28"/>
          <w:szCs w:val="28"/>
        </w:rPr>
        <w:t xml:space="preserve"> at the time</w:t>
      </w:r>
      <w:r w:rsidR="00DF4491">
        <w:rPr>
          <w:sz w:val="28"/>
          <w:szCs w:val="28"/>
        </w:rPr>
        <w:t xml:space="preserve"> was</w:t>
      </w:r>
      <w:r w:rsidR="0008673B">
        <w:rPr>
          <w:sz w:val="28"/>
          <w:szCs w:val="28"/>
        </w:rPr>
        <w:t xml:space="preserve"> simply an</w:t>
      </w:r>
      <w:r w:rsidR="00DF4491">
        <w:rPr>
          <w:sz w:val="28"/>
          <w:szCs w:val="28"/>
        </w:rPr>
        <w:t xml:space="preserve"> oversight. </w:t>
      </w:r>
    </w:p>
    <w:p w14:paraId="4DEF59E9" w14:textId="6495AB25" w:rsidR="00DB5CF9" w:rsidRPr="00A92B06" w:rsidRDefault="00DF4491" w:rsidP="00DF4491">
      <w:pPr>
        <w:autoSpaceDE w:val="0"/>
        <w:autoSpaceDN w:val="0"/>
        <w:adjustRightInd w:val="0"/>
        <w:spacing w:line="480" w:lineRule="auto"/>
        <w:ind w:firstLine="720"/>
        <w:jc w:val="both"/>
        <w:rPr>
          <w:sz w:val="28"/>
          <w:szCs w:val="28"/>
        </w:rPr>
      </w:pPr>
      <w:r>
        <w:rPr>
          <w:sz w:val="28"/>
          <w:szCs w:val="28"/>
        </w:rPr>
        <w:t xml:space="preserve">The </w:t>
      </w:r>
      <w:r w:rsidR="00DB5CF9">
        <w:rPr>
          <w:sz w:val="28"/>
          <w:szCs w:val="28"/>
        </w:rPr>
        <w:t xml:space="preserve">Committee </w:t>
      </w:r>
      <w:r>
        <w:rPr>
          <w:sz w:val="28"/>
          <w:szCs w:val="28"/>
        </w:rPr>
        <w:t>would like to rectify this oversight, and</w:t>
      </w:r>
      <w:r w:rsidR="0008673B">
        <w:rPr>
          <w:sz w:val="28"/>
          <w:szCs w:val="28"/>
        </w:rPr>
        <w:t xml:space="preserve"> therefore as Petitioner</w:t>
      </w:r>
      <w:r w:rsidR="00DB5CF9">
        <w:rPr>
          <w:sz w:val="28"/>
          <w:szCs w:val="28"/>
        </w:rPr>
        <w:t xml:space="preserve"> </w:t>
      </w:r>
      <w:r w:rsidR="00DB5CF9" w:rsidRPr="00B41FF0">
        <w:rPr>
          <w:sz w:val="28"/>
          <w:szCs w:val="28"/>
        </w:rPr>
        <w:t>unanimously</w:t>
      </w:r>
      <w:r w:rsidR="00DB5CF9">
        <w:rPr>
          <w:sz w:val="28"/>
          <w:szCs w:val="28"/>
        </w:rPr>
        <w:t xml:space="preserve"> recommends that Arizona adopt a </w:t>
      </w:r>
      <w:r w:rsidR="00B41FF0">
        <w:rPr>
          <w:sz w:val="28"/>
          <w:szCs w:val="28"/>
        </w:rPr>
        <w:t>non-criminal</w:t>
      </w:r>
      <w:r w:rsidR="00DB5CF9">
        <w:rPr>
          <w:sz w:val="28"/>
          <w:szCs w:val="28"/>
        </w:rPr>
        <w:t xml:space="preserve"> rape-shield rule in Rule 412</w:t>
      </w:r>
      <w:r w:rsidR="00722100">
        <w:rPr>
          <w:sz w:val="28"/>
          <w:szCs w:val="28"/>
        </w:rPr>
        <w:t xml:space="preserve"> that substantially mirrors the federal civil rape-shield rule</w:t>
      </w:r>
      <w:r w:rsidR="00F32380">
        <w:rPr>
          <w:sz w:val="28"/>
          <w:szCs w:val="28"/>
        </w:rPr>
        <w:t>.</w:t>
      </w:r>
    </w:p>
    <w:p w14:paraId="074C8427" w14:textId="536AF6A0" w:rsidR="00C41CA7" w:rsidRPr="00B256DE" w:rsidRDefault="00B41FF0" w:rsidP="00E66A0A">
      <w:pPr>
        <w:numPr>
          <w:ilvl w:val="0"/>
          <w:numId w:val="3"/>
        </w:numPr>
        <w:tabs>
          <w:tab w:val="clear" w:pos="1080"/>
          <w:tab w:val="num" w:pos="720"/>
        </w:tabs>
        <w:autoSpaceDE w:val="0"/>
        <w:autoSpaceDN w:val="0"/>
        <w:adjustRightInd w:val="0"/>
        <w:ind w:left="720"/>
        <w:rPr>
          <w:b/>
          <w:sz w:val="28"/>
          <w:szCs w:val="28"/>
        </w:rPr>
      </w:pPr>
      <w:r>
        <w:rPr>
          <w:b/>
          <w:sz w:val="28"/>
          <w:szCs w:val="28"/>
        </w:rPr>
        <w:lastRenderedPageBreak/>
        <w:t xml:space="preserve">SPECIFICS OF </w:t>
      </w:r>
      <w:r w:rsidR="00DB5CF9">
        <w:rPr>
          <w:b/>
          <w:sz w:val="28"/>
          <w:szCs w:val="28"/>
        </w:rPr>
        <w:t>FEDERAL RULE OF EVIDENCE 412(b)(2)</w:t>
      </w:r>
      <w:r w:rsidR="0027191B">
        <w:rPr>
          <w:b/>
          <w:sz w:val="28"/>
          <w:szCs w:val="28"/>
        </w:rPr>
        <w:t xml:space="preserve"> </w:t>
      </w:r>
    </w:p>
    <w:p w14:paraId="1D768770" w14:textId="77777777" w:rsidR="00D27B00" w:rsidRPr="00B256DE" w:rsidRDefault="00D27B00" w:rsidP="00E66A0A">
      <w:pPr>
        <w:rPr>
          <w:b/>
          <w:sz w:val="28"/>
          <w:szCs w:val="28"/>
        </w:rPr>
      </w:pPr>
    </w:p>
    <w:p w14:paraId="09252A08" w14:textId="16288C45" w:rsidR="00B41FF0" w:rsidRDefault="00DB5CF9" w:rsidP="00DF4491">
      <w:pPr>
        <w:autoSpaceDE w:val="0"/>
        <w:autoSpaceDN w:val="0"/>
        <w:adjustRightInd w:val="0"/>
        <w:spacing w:line="480" w:lineRule="auto"/>
        <w:ind w:firstLine="720"/>
        <w:jc w:val="both"/>
        <w:rPr>
          <w:sz w:val="28"/>
          <w:szCs w:val="28"/>
        </w:rPr>
      </w:pPr>
      <w:r>
        <w:rPr>
          <w:sz w:val="28"/>
          <w:szCs w:val="28"/>
        </w:rPr>
        <w:t>Federal Rule of Evidence 412 (titled “Sex-Offense Cases: The Victim</w:t>
      </w:r>
      <w:r w:rsidR="00452E32">
        <w:rPr>
          <w:sz w:val="28"/>
          <w:szCs w:val="28"/>
        </w:rPr>
        <w:t>’s Sexual Behavior or Predisposition</w:t>
      </w:r>
      <w:r>
        <w:rPr>
          <w:sz w:val="28"/>
          <w:szCs w:val="28"/>
        </w:rPr>
        <w:t xml:space="preserve">”) prohibits evidence of an alleged victim’s past “sexual behavior” and “sexual predisposition” “in a civil or criminal proceeding involving alleged sexual misconduct.” </w:t>
      </w:r>
      <w:r w:rsidRPr="00DB5CF9">
        <w:rPr>
          <w:smallCaps/>
          <w:sz w:val="28"/>
          <w:szCs w:val="28"/>
        </w:rPr>
        <w:t>Fed. R. Evid.</w:t>
      </w:r>
      <w:r>
        <w:rPr>
          <w:sz w:val="28"/>
          <w:szCs w:val="28"/>
        </w:rPr>
        <w:t xml:space="preserve"> 412(a). </w:t>
      </w:r>
      <w:r w:rsidR="004D5214">
        <w:rPr>
          <w:sz w:val="28"/>
          <w:szCs w:val="28"/>
        </w:rPr>
        <w:t>In</w:t>
      </w:r>
      <w:r>
        <w:rPr>
          <w:sz w:val="28"/>
          <w:szCs w:val="28"/>
        </w:rPr>
        <w:t xml:space="preserve"> civil cases, Federal Rule 412(b)(2) permits</w:t>
      </w:r>
      <w:r w:rsidR="00DE575B">
        <w:rPr>
          <w:sz w:val="28"/>
          <w:szCs w:val="28"/>
        </w:rPr>
        <w:t xml:space="preserve"> introduction of</w:t>
      </w:r>
      <w:r>
        <w:rPr>
          <w:sz w:val="28"/>
          <w:szCs w:val="28"/>
        </w:rPr>
        <w:t xml:space="preserve"> “evidence offered to prove a victim’s sexual behavior or sexual predisposition if its probative value substantially outweighs the danger of harm to any victim and of unfair prejudice to any party.” </w:t>
      </w:r>
      <w:r w:rsidRPr="00DB5CF9">
        <w:rPr>
          <w:smallCaps/>
          <w:sz w:val="28"/>
          <w:szCs w:val="28"/>
        </w:rPr>
        <w:t>Fed. R. Evid.</w:t>
      </w:r>
      <w:r>
        <w:rPr>
          <w:smallCaps/>
          <w:sz w:val="28"/>
          <w:szCs w:val="28"/>
        </w:rPr>
        <w:t xml:space="preserve"> </w:t>
      </w:r>
      <w:r>
        <w:rPr>
          <w:sz w:val="28"/>
          <w:szCs w:val="28"/>
        </w:rPr>
        <w:t xml:space="preserve">412(b)(2). This implements </w:t>
      </w:r>
      <w:r w:rsidR="000E640E">
        <w:rPr>
          <w:sz w:val="28"/>
          <w:szCs w:val="28"/>
        </w:rPr>
        <w:t xml:space="preserve">a </w:t>
      </w:r>
      <w:r>
        <w:rPr>
          <w:sz w:val="28"/>
          <w:szCs w:val="28"/>
        </w:rPr>
        <w:t>reverse-Rule 403 balanc</w:t>
      </w:r>
      <w:r w:rsidR="00B41FF0">
        <w:rPr>
          <w:sz w:val="28"/>
          <w:szCs w:val="28"/>
        </w:rPr>
        <w:t>ing test</w:t>
      </w:r>
      <w:r w:rsidR="00DF4491">
        <w:rPr>
          <w:sz w:val="28"/>
          <w:szCs w:val="28"/>
        </w:rPr>
        <w:t xml:space="preserve"> because the probative value of the evidence must be substantially </w:t>
      </w:r>
      <w:r w:rsidR="00722100">
        <w:rPr>
          <w:sz w:val="28"/>
          <w:szCs w:val="28"/>
        </w:rPr>
        <w:t xml:space="preserve">greater </w:t>
      </w:r>
      <w:r w:rsidR="00DF4491">
        <w:rPr>
          <w:sz w:val="28"/>
          <w:szCs w:val="28"/>
        </w:rPr>
        <w:t xml:space="preserve">than its harm and prejudice. </w:t>
      </w:r>
      <w:r w:rsidR="00B41FF0">
        <w:rPr>
          <w:i/>
          <w:iCs/>
          <w:sz w:val="28"/>
          <w:szCs w:val="28"/>
        </w:rPr>
        <w:t>Compare</w:t>
      </w:r>
      <w:r w:rsidR="000E640E">
        <w:rPr>
          <w:i/>
          <w:iCs/>
          <w:sz w:val="28"/>
          <w:szCs w:val="28"/>
        </w:rPr>
        <w:t xml:space="preserve"> </w:t>
      </w:r>
      <w:r w:rsidR="000E640E" w:rsidRPr="00DB5CF9">
        <w:rPr>
          <w:smallCaps/>
          <w:sz w:val="28"/>
          <w:szCs w:val="28"/>
        </w:rPr>
        <w:t>Fed. R. Evid.</w:t>
      </w:r>
      <w:r w:rsidR="000E640E">
        <w:rPr>
          <w:smallCaps/>
          <w:sz w:val="28"/>
          <w:szCs w:val="28"/>
        </w:rPr>
        <w:t xml:space="preserve"> 403 (</w:t>
      </w:r>
      <w:r w:rsidR="000E640E">
        <w:rPr>
          <w:sz w:val="28"/>
          <w:szCs w:val="28"/>
        </w:rPr>
        <w:t xml:space="preserve">exclusion permitted when the probative value of the evidence is substantially outweighed by its unfair prejudice, among other reasons). </w:t>
      </w:r>
    </w:p>
    <w:p w14:paraId="6ACB30A7" w14:textId="03089CC8" w:rsidR="000E640E" w:rsidRDefault="00722100" w:rsidP="00DF4491">
      <w:pPr>
        <w:autoSpaceDE w:val="0"/>
        <w:autoSpaceDN w:val="0"/>
        <w:adjustRightInd w:val="0"/>
        <w:spacing w:line="480" w:lineRule="auto"/>
        <w:ind w:firstLine="720"/>
        <w:jc w:val="both"/>
        <w:rPr>
          <w:i/>
          <w:iCs/>
          <w:sz w:val="28"/>
          <w:szCs w:val="28"/>
        </w:rPr>
      </w:pPr>
      <w:r>
        <w:rPr>
          <w:sz w:val="28"/>
          <w:szCs w:val="28"/>
        </w:rPr>
        <w:t>Th</w:t>
      </w:r>
      <w:r w:rsidR="00B41FF0">
        <w:rPr>
          <w:sz w:val="28"/>
          <w:szCs w:val="28"/>
        </w:rPr>
        <w:t>is</w:t>
      </w:r>
      <w:r>
        <w:rPr>
          <w:sz w:val="28"/>
          <w:szCs w:val="28"/>
        </w:rPr>
        <w:t xml:space="preserve"> reverse standard in Federal Rule</w:t>
      </w:r>
      <w:r w:rsidR="00B41FF0">
        <w:rPr>
          <w:sz w:val="28"/>
          <w:szCs w:val="28"/>
        </w:rPr>
        <w:t xml:space="preserve"> of Evidence</w:t>
      </w:r>
      <w:r>
        <w:rPr>
          <w:sz w:val="28"/>
          <w:szCs w:val="28"/>
        </w:rPr>
        <w:t xml:space="preserve"> 412 </w:t>
      </w:r>
      <w:r w:rsidR="00DF4491">
        <w:rPr>
          <w:sz w:val="28"/>
          <w:szCs w:val="28"/>
        </w:rPr>
        <w:t>is</w:t>
      </w:r>
      <w:r w:rsidR="0008673B">
        <w:rPr>
          <w:sz w:val="28"/>
          <w:szCs w:val="28"/>
        </w:rPr>
        <w:t xml:space="preserve"> intentionally</w:t>
      </w:r>
      <w:r w:rsidR="00DF4491">
        <w:rPr>
          <w:sz w:val="28"/>
          <w:szCs w:val="28"/>
        </w:rPr>
        <w:t xml:space="preserve"> a difficult standard to meet. In addition, the </w:t>
      </w:r>
      <w:r w:rsidR="00B41FF0">
        <w:rPr>
          <w:sz w:val="28"/>
          <w:szCs w:val="28"/>
        </w:rPr>
        <w:t>f</w:t>
      </w:r>
      <w:r w:rsidR="00DF4491">
        <w:rPr>
          <w:sz w:val="28"/>
          <w:szCs w:val="28"/>
        </w:rPr>
        <w:t xml:space="preserve">ederal </w:t>
      </w:r>
      <w:r w:rsidR="00B41FF0">
        <w:rPr>
          <w:sz w:val="28"/>
          <w:szCs w:val="28"/>
        </w:rPr>
        <w:t>r</w:t>
      </w:r>
      <w:r w:rsidR="00DF4491">
        <w:rPr>
          <w:sz w:val="28"/>
          <w:szCs w:val="28"/>
        </w:rPr>
        <w:t xml:space="preserve">ule </w:t>
      </w:r>
      <w:r w:rsidR="00DB5CF9">
        <w:rPr>
          <w:sz w:val="28"/>
          <w:szCs w:val="28"/>
        </w:rPr>
        <w:t>also requires the danger of harm to any victim (such as humiliation) to be weighed on the prejudicial side of the equation</w:t>
      </w:r>
      <w:r w:rsidR="00407011">
        <w:rPr>
          <w:sz w:val="28"/>
          <w:szCs w:val="28"/>
        </w:rPr>
        <w:t xml:space="preserve">, making it </w:t>
      </w:r>
      <w:r w:rsidR="000E640E">
        <w:rPr>
          <w:sz w:val="28"/>
          <w:szCs w:val="28"/>
        </w:rPr>
        <w:t xml:space="preserve">more </w:t>
      </w:r>
      <w:r w:rsidR="00407011">
        <w:rPr>
          <w:sz w:val="28"/>
          <w:szCs w:val="28"/>
        </w:rPr>
        <w:t>likely that the evidence remains inadmissible</w:t>
      </w:r>
      <w:r w:rsidR="00DB5CF9">
        <w:rPr>
          <w:sz w:val="28"/>
          <w:szCs w:val="28"/>
        </w:rPr>
        <w:t xml:space="preserve">. The final sentence of Federal Rule 412(b)(2) provides that “evidence of a victim’s reputation” is admissible “only if the victim has placed it in controversy.” </w:t>
      </w:r>
      <w:r w:rsidR="00DB5CF9">
        <w:rPr>
          <w:i/>
          <w:iCs/>
          <w:sz w:val="28"/>
          <w:szCs w:val="28"/>
        </w:rPr>
        <w:t xml:space="preserve">Id. </w:t>
      </w:r>
    </w:p>
    <w:p w14:paraId="53BB076D" w14:textId="648AEEBF" w:rsidR="00DF4491" w:rsidRDefault="0027191B" w:rsidP="00DF4491">
      <w:pPr>
        <w:autoSpaceDE w:val="0"/>
        <w:autoSpaceDN w:val="0"/>
        <w:adjustRightInd w:val="0"/>
        <w:spacing w:line="480" w:lineRule="auto"/>
        <w:ind w:firstLine="720"/>
        <w:jc w:val="both"/>
        <w:rPr>
          <w:sz w:val="28"/>
          <w:szCs w:val="28"/>
        </w:rPr>
      </w:pPr>
      <w:r>
        <w:rPr>
          <w:sz w:val="28"/>
          <w:szCs w:val="28"/>
        </w:rPr>
        <w:t>The federal civil rape-shield rule has been</w:t>
      </w:r>
      <w:r w:rsidR="0008673B">
        <w:rPr>
          <w:sz w:val="28"/>
          <w:szCs w:val="28"/>
        </w:rPr>
        <w:t xml:space="preserve"> effective</w:t>
      </w:r>
      <w:r>
        <w:rPr>
          <w:sz w:val="28"/>
          <w:szCs w:val="28"/>
        </w:rPr>
        <w:t xml:space="preserve"> for </w:t>
      </w:r>
      <w:r w:rsidR="00722100">
        <w:rPr>
          <w:sz w:val="28"/>
          <w:szCs w:val="28"/>
        </w:rPr>
        <w:t>nearly</w:t>
      </w:r>
      <w:r w:rsidR="008F7375">
        <w:rPr>
          <w:sz w:val="28"/>
          <w:szCs w:val="28"/>
        </w:rPr>
        <w:t xml:space="preserve"> </w:t>
      </w:r>
      <w:r w:rsidR="00B41FF0">
        <w:rPr>
          <w:sz w:val="28"/>
          <w:szCs w:val="28"/>
        </w:rPr>
        <w:t>thirty</w:t>
      </w:r>
      <w:r>
        <w:rPr>
          <w:sz w:val="28"/>
          <w:szCs w:val="28"/>
        </w:rPr>
        <w:t xml:space="preserve"> years</w:t>
      </w:r>
      <w:r w:rsidR="00DF4491">
        <w:rPr>
          <w:sz w:val="28"/>
          <w:szCs w:val="28"/>
        </w:rPr>
        <w:t xml:space="preserve">, and the Committee is not aware of any difficulties or problems with the </w:t>
      </w:r>
      <w:r w:rsidR="000E640E">
        <w:rPr>
          <w:sz w:val="28"/>
          <w:szCs w:val="28"/>
        </w:rPr>
        <w:t xml:space="preserve">rule </w:t>
      </w:r>
      <w:r w:rsidR="00DF4491">
        <w:rPr>
          <w:sz w:val="28"/>
          <w:szCs w:val="28"/>
        </w:rPr>
        <w:t xml:space="preserve">in </w:t>
      </w:r>
      <w:r w:rsidR="00DF4491">
        <w:rPr>
          <w:sz w:val="28"/>
          <w:szCs w:val="28"/>
        </w:rPr>
        <w:lastRenderedPageBreak/>
        <w:t>federal court practice.</w:t>
      </w:r>
      <w:r w:rsidR="00722100">
        <w:rPr>
          <w:sz w:val="28"/>
          <w:szCs w:val="28"/>
        </w:rPr>
        <w:t xml:space="preserve"> To the contrary, the rule helps </w:t>
      </w:r>
      <w:r w:rsidR="00B41FF0">
        <w:rPr>
          <w:sz w:val="28"/>
          <w:szCs w:val="28"/>
        </w:rPr>
        <w:t>en</w:t>
      </w:r>
      <w:r w:rsidR="00722100">
        <w:rPr>
          <w:sz w:val="28"/>
          <w:szCs w:val="28"/>
        </w:rPr>
        <w:t xml:space="preserve">sure that embarrassing and distracting information is kept from the factfinder. </w:t>
      </w:r>
    </w:p>
    <w:p w14:paraId="0EF9BFB7" w14:textId="42B032BF" w:rsidR="0027191B" w:rsidRDefault="0027191B" w:rsidP="00E66A0A">
      <w:pPr>
        <w:numPr>
          <w:ilvl w:val="0"/>
          <w:numId w:val="3"/>
        </w:numPr>
        <w:tabs>
          <w:tab w:val="clear" w:pos="1080"/>
          <w:tab w:val="num" w:pos="720"/>
        </w:tabs>
        <w:autoSpaceDE w:val="0"/>
        <w:autoSpaceDN w:val="0"/>
        <w:adjustRightInd w:val="0"/>
        <w:ind w:left="720"/>
        <w:rPr>
          <w:b/>
          <w:sz w:val="28"/>
          <w:szCs w:val="28"/>
        </w:rPr>
      </w:pPr>
      <w:r>
        <w:rPr>
          <w:b/>
          <w:sz w:val="28"/>
          <w:szCs w:val="28"/>
        </w:rPr>
        <w:t>SPECIFICS OF</w:t>
      </w:r>
      <w:r w:rsidR="00B41FF0">
        <w:rPr>
          <w:b/>
          <w:sz w:val="28"/>
          <w:szCs w:val="28"/>
        </w:rPr>
        <w:t xml:space="preserve"> PROPOSED CHANGES TO</w:t>
      </w:r>
      <w:r w:rsidR="00136E3E">
        <w:rPr>
          <w:b/>
          <w:sz w:val="28"/>
          <w:szCs w:val="28"/>
        </w:rPr>
        <w:t xml:space="preserve"> ARI</w:t>
      </w:r>
      <w:r w:rsidR="00B41FF0">
        <w:rPr>
          <w:b/>
          <w:sz w:val="28"/>
          <w:szCs w:val="28"/>
        </w:rPr>
        <w:t>Z.</w:t>
      </w:r>
      <w:r w:rsidR="00136E3E">
        <w:rPr>
          <w:b/>
          <w:sz w:val="28"/>
          <w:szCs w:val="28"/>
        </w:rPr>
        <w:t xml:space="preserve"> R</w:t>
      </w:r>
      <w:r w:rsidR="00B41FF0">
        <w:rPr>
          <w:b/>
          <w:sz w:val="28"/>
          <w:szCs w:val="28"/>
        </w:rPr>
        <w:t>.</w:t>
      </w:r>
      <w:r w:rsidR="00136E3E">
        <w:rPr>
          <w:b/>
          <w:sz w:val="28"/>
          <w:szCs w:val="28"/>
        </w:rPr>
        <w:t xml:space="preserve"> EVI</w:t>
      </w:r>
      <w:r w:rsidR="00B41FF0">
        <w:rPr>
          <w:b/>
          <w:sz w:val="28"/>
          <w:szCs w:val="28"/>
        </w:rPr>
        <w:t>D.</w:t>
      </w:r>
      <w:r w:rsidR="00136E3E">
        <w:rPr>
          <w:b/>
          <w:sz w:val="28"/>
          <w:szCs w:val="28"/>
        </w:rPr>
        <w:t xml:space="preserve"> 412</w:t>
      </w:r>
    </w:p>
    <w:p w14:paraId="0C829BC2" w14:textId="77777777" w:rsidR="0027191B" w:rsidRDefault="0027191B" w:rsidP="0027191B">
      <w:pPr>
        <w:autoSpaceDE w:val="0"/>
        <w:autoSpaceDN w:val="0"/>
        <w:adjustRightInd w:val="0"/>
        <w:ind w:left="720"/>
        <w:rPr>
          <w:b/>
          <w:sz w:val="28"/>
          <w:szCs w:val="28"/>
        </w:rPr>
      </w:pPr>
    </w:p>
    <w:p w14:paraId="51F6AC19" w14:textId="4522330F" w:rsidR="006A2979" w:rsidRDefault="004D5214" w:rsidP="00FC3573">
      <w:pPr>
        <w:autoSpaceDE w:val="0"/>
        <w:autoSpaceDN w:val="0"/>
        <w:adjustRightInd w:val="0"/>
        <w:spacing w:line="480" w:lineRule="auto"/>
        <w:ind w:firstLine="720"/>
        <w:jc w:val="both"/>
        <w:rPr>
          <w:sz w:val="28"/>
          <w:szCs w:val="28"/>
        </w:rPr>
      </w:pPr>
      <w:r>
        <w:rPr>
          <w:sz w:val="28"/>
          <w:szCs w:val="28"/>
        </w:rPr>
        <w:t>Roughly eleven</w:t>
      </w:r>
      <w:r w:rsidR="0027191B">
        <w:rPr>
          <w:sz w:val="28"/>
          <w:szCs w:val="28"/>
        </w:rPr>
        <w:t xml:space="preserve"> states have laws that largely mirror the federal civil rape-shield rule. </w:t>
      </w:r>
      <w:r w:rsidR="0027191B">
        <w:rPr>
          <w:i/>
          <w:iCs/>
          <w:sz w:val="28"/>
          <w:szCs w:val="28"/>
        </w:rPr>
        <w:t>Se</w:t>
      </w:r>
      <w:r w:rsidR="0008673B">
        <w:rPr>
          <w:i/>
          <w:iCs/>
          <w:sz w:val="28"/>
          <w:szCs w:val="28"/>
        </w:rPr>
        <w:t>e, e.g.</w:t>
      </w:r>
      <w:r w:rsidR="0008673B">
        <w:rPr>
          <w:sz w:val="28"/>
          <w:szCs w:val="28"/>
        </w:rPr>
        <w:t>,</w:t>
      </w:r>
      <w:r w:rsidR="0027191B">
        <w:rPr>
          <w:i/>
          <w:iCs/>
          <w:sz w:val="28"/>
          <w:szCs w:val="28"/>
        </w:rPr>
        <w:t xml:space="preserve"> </w:t>
      </w:r>
      <w:r w:rsidR="0027191B" w:rsidRPr="00485F4A">
        <w:rPr>
          <w:smallCaps/>
          <w:sz w:val="28"/>
          <w:szCs w:val="28"/>
        </w:rPr>
        <w:t>Conn. R. Evid.</w:t>
      </w:r>
      <w:r w:rsidR="0027191B">
        <w:rPr>
          <w:sz w:val="28"/>
          <w:szCs w:val="28"/>
        </w:rPr>
        <w:t xml:space="preserve"> 4-12; </w:t>
      </w:r>
      <w:r w:rsidR="0027191B" w:rsidRPr="00485F4A">
        <w:rPr>
          <w:smallCaps/>
          <w:sz w:val="28"/>
          <w:szCs w:val="28"/>
        </w:rPr>
        <w:t>Ind. R. Evid.</w:t>
      </w:r>
      <w:r w:rsidR="0027191B">
        <w:rPr>
          <w:sz w:val="28"/>
          <w:szCs w:val="28"/>
        </w:rPr>
        <w:t xml:space="preserve"> 412; </w:t>
      </w:r>
      <w:r w:rsidR="0027191B" w:rsidRPr="00485F4A">
        <w:rPr>
          <w:smallCaps/>
          <w:sz w:val="28"/>
          <w:szCs w:val="28"/>
        </w:rPr>
        <w:t>Ky. Rev. Stat.</w:t>
      </w:r>
      <w:r w:rsidR="0027191B">
        <w:rPr>
          <w:sz w:val="28"/>
          <w:szCs w:val="28"/>
        </w:rPr>
        <w:t xml:space="preserve"> § 412; </w:t>
      </w:r>
      <w:r w:rsidR="0027191B" w:rsidRPr="00485F4A">
        <w:rPr>
          <w:smallCaps/>
          <w:sz w:val="28"/>
          <w:szCs w:val="28"/>
        </w:rPr>
        <w:t xml:space="preserve">Me. R. Evid. </w:t>
      </w:r>
      <w:r w:rsidR="0027191B">
        <w:rPr>
          <w:sz w:val="28"/>
          <w:szCs w:val="28"/>
        </w:rPr>
        <w:t xml:space="preserve">412; </w:t>
      </w:r>
      <w:r w:rsidR="0027191B" w:rsidRPr="00485F4A">
        <w:rPr>
          <w:smallCaps/>
          <w:sz w:val="28"/>
          <w:szCs w:val="28"/>
        </w:rPr>
        <w:t>Neb. Rev. Stat. Ann.</w:t>
      </w:r>
      <w:r w:rsidR="0027191B">
        <w:rPr>
          <w:sz w:val="28"/>
          <w:szCs w:val="28"/>
        </w:rPr>
        <w:t xml:space="preserve"> § 27-412; </w:t>
      </w:r>
      <w:r w:rsidR="0027191B" w:rsidRPr="00485F4A">
        <w:rPr>
          <w:smallCaps/>
          <w:sz w:val="28"/>
          <w:szCs w:val="28"/>
        </w:rPr>
        <w:t>N.D. R. Evid.</w:t>
      </w:r>
      <w:r w:rsidR="0027191B">
        <w:rPr>
          <w:sz w:val="28"/>
          <w:szCs w:val="28"/>
        </w:rPr>
        <w:t xml:space="preserve"> 412; </w:t>
      </w:r>
      <w:r w:rsidR="00D00830" w:rsidRPr="00485F4A">
        <w:rPr>
          <w:smallCaps/>
          <w:sz w:val="28"/>
          <w:szCs w:val="28"/>
        </w:rPr>
        <w:t>Or. Rev. Stat. Ann.</w:t>
      </w:r>
      <w:r w:rsidR="00D00830">
        <w:rPr>
          <w:sz w:val="28"/>
          <w:szCs w:val="28"/>
        </w:rPr>
        <w:t xml:space="preserve"> § 40.211; </w:t>
      </w:r>
      <w:r w:rsidR="00D00830" w:rsidRPr="00485F4A">
        <w:rPr>
          <w:smallCaps/>
          <w:sz w:val="28"/>
          <w:szCs w:val="28"/>
        </w:rPr>
        <w:t>S.D. Codified Laws</w:t>
      </w:r>
      <w:r w:rsidR="00D00830">
        <w:rPr>
          <w:sz w:val="28"/>
          <w:szCs w:val="28"/>
        </w:rPr>
        <w:t xml:space="preserve"> § 19-19-412; </w:t>
      </w:r>
      <w:r w:rsidR="00D00830" w:rsidRPr="00485F4A">
        <w:rPr>
          <w:smallCaps/>
          <w:sz w:val="28"/>
          <w:szCs w:val="28"/>
        </w:rPr>
        <w:t xml:space="preserve">Wa. R. Rev. ER </w:t>
      </w:r>
      <w:r w:rsidR="00D00830">
        <w:rPr>
          <w:sz w:val="28"/>
          <w:szCs w:val="28"/>
        </w:rPr>
        <w:t xml:space="preserve">412; </w:t>
      </w:r>
      <w:r w:rsidR="00D00830" w:rsidRPr="00485F4A">
        <w:rPr>
          <w:smallCaps/>
          <w:sz w:val="28"/>
          <w:szCs w:val="28"/>
        </w:rPr>
        <w:t>W. Va. R. Evid</w:t>
      </w:r>
      <w:r w:rsidR="00D00830">
        <w:rPr>
          <w:sz w:val="28"/>
          <w:szCs w:val="28"/>
        </w:rPr>
        <w:t xml:space="preserve"> 412. Eight </w:t>
      </w:r>
      <w:r w:rsidR="00485F4A">
        <w:rPr>
          <w:sz w:val="28"/>
          <w:szCs w:val="28"/>
        </w:rPr>
        <w:t xml:space="preserve">additional </w:t>
      </w:r>
      <w:r w:rsidR="00D00830">
        <w:rPr>
          <w:sz w:val="28"/>
          <w:szCs w:val="28"/>
        </w:rPr>
        <w:t xml:space="preserve">states have other varieties of civil rape-shield protections. </w:t>
      </w:r>
      <w:r w:rsidR="00D00830">
        <w:rPr>
          <w:i/>
          <w:iCs/>
          <w:sz w:val="28"/>
          <w:szCs w:val="28"/>
        </w:rPr>
        <w:t>See</w:t>
      </w:r>
      <w:r w:rsidR="0093423A">
        <w:rPr>
          <w:i/>
          <w:iCs/>
          <w:sz w:val="28"/>
          <w:szCs w:val="28"/>
        </w:rPr>
        <w:t>, e.g.</w:t>
      </w:r>
      <w:r w:rsidR="0093423A">
        <w:rPr>
          <w:sz w:val="28"/>
          <w:szCs w:val="28"/>
        </w:rPr>
        <w:t>,</w:t>
      </w:r>
      <w:r w:rsidR="00D00830">
        <w:rPr>
          <w:i/>
          <w:iCs/>
          <w:sz w:val="28"/>
          <w:szCs w:val="28"/>
        </w:rPr>
        <w:t xml:space="preserve"> </w:t>
      </w:r>
      <w:r w:rsidR="00D00830" w:rsidRPr="00485F4A">
        <w:rPr>
          <w:smallCaps/>
          <w:sz w:val="28"/>
          <w:szCs w:val="28"/>
        </w:rPr>
        <w:t>Cal. Evid. Code</w:t>
      </w:r>
      <w:r w:rsidR="00D00830">
        <w:rPr>
          <w:sz w:val="28"/>
          <w:szCs w:val="28"/>
        </w:rPr>
        <w:t xml:space="preserve"> § 1106</w:t>
      </w:r>
      <w:r w:rsidR="00D00830" w:rsidRPr="00485F4A">
        <w:rPr>
          <w:smallCaps/>
          <w:sz w:val="28"/>
          <w:szCs w:val="28"/>
        </w:rPr>
        <w:t>; Colo. Rev. Stat.</w:t>
      </w:r>
      <w:r w:rsidR="00D00830">
        <w:rPr>
          <w:sz w:val="28"/>
          <w:szCs w:val="28"/>
        </w:rPr>
        <w:t xml:space="preserve"> § 13-25-138; </w:t>
      </w:r>
      <w:r w:rsidR="00D00830" w:rsidRPr="00485F4A">
        <w:rPr>
          <w:smallCaps/>
          <w:sz w:val="28"/>
          <w:szCs w:val="28"/>
        </w:rPr>
        <w:t>Haw. Rev. Stat.</w:t>
      </w:r>
      <w:r w:rsidR="00D00830">
        <w:rPr>
          <w:sz w:val="28"/>
          <w:szCs w:val="28"/>
        </w:rPr>
        <w:t xml:space="preserve"> 412; 735 </w:t>
      </w:r>
      <w:r w:rsidR="00D00830" w:rsidRPr="00485F4A">
        <w:rPr>
          <w:smallCaps/>
          <w:sz w:val="28"/>
          <w:szCs w:val="28"/>
        </w:rPr>
        <w:t>Ill. Comp. Stat. Ann.</w:t>
      </w:r>
      <w:r w:rsidR="00D00830">
        <w:rPr>
          <w:sz w:val="28"/>
          <w:szCs w:val="28"/>
        </w:rPr>
        <w:t xml:space="preserve"> 5/8-2801; </w:t>
      </w:r>
      <w:r w:rsidR="00D00830" w:rsidRPr="00485F4A">
        <w:rPr>
          <w:smallCaps/>
          <w:sz w:val="28"/>
          <w:szCs w:val="28"/>
        </w:rPr>
        <w:t>La. Code Evid. Ann.</w:t>
      </w:r>
      <w:r w:rsidR="00D00830">
        <w:rPr>
          <w:sz w:val="28"/>
          <w:szCs w:val="28"/>
        </w:rPr>
        <w:t xml:space="preserve"> art. 412; Ma. R. Evid. § 412; </w:t>
      </w:r>
      <w:r w:rsidR="00D00830" w:rsidRPr="00485F4A">
        <w:rPr>
          <w:smallCaps/>
          <w:sz w:val="28"/>
          <w:szCs w:val="28"/>
        </w:rPr>
        <w:t xml:space="preserve">N.C. Gen. Stat. Ann. </w:t>
      </w:r>
      <w:r w:rsidR="00D00830">
        <w:rPr>
          <w:sz w:val="28"/>
          <w:szCs w:val="28"/>
        </w:rPr>
        <w:t xml:space="preserve">8C-1, 412 &amp; </w:t>
      </w:r>
      <w:r w:rsidR="00D00830">
        <w:rPr>
          <w:i/>
          <w:iCs/>
          <w:sz w:val="28"/>
          <w:szCs w:val="28"/>
        </w:rPr>
        <w:t>In re K.W.</w:t>
      </w:r>
      <w:r w:rsidR="00D00830">
        <w:rPr>
          <w:sz w:val="28"/>
          <w:szCs w:val="28"/>
        </w:rPr>
        <w:t xml:space="preserve">, 666 S.E.2d 490, 493 (N.C. Ct. App. 2008) (“[T]his Court has found the rule to be applicable in civil cases.”); </w:t>
      </w:r>
      <w:r w:rsidR="00D00830" w:rsidRPr="00485F4A">
        <w:rPr>
          <w:smallCaps/>
          <w:sz w:val="28"/>
          <w:szCs w:val="28"/>
        </w:rPr>
        <w:t xml:space="preserve">Wis. Stat. Ann. </w:t>
      </w:r>
      <w:r w:rsidR="00D00830">
        <w:rPr>
          <w:sz w:val="28"/>
          <w:szCs w:val="28"/>
        </w:rPr>
        <w:t>§ 901.08</w:t>
      </w:r>
      <w:r w:rsidR="0008673B">
        <w:rPr>
          <w:sz w:val="28"/>
          <w:szCs w:val="28"/>
        </w:rPr>
        <w:t xml:space="preserve">; </w:t>
      </w:r>
      <w:r w:rsidR="0008673B">
        <w:rPr>
          <w:i/>
          <w:iCs/>
          <w:sz w:val="28"/>
          <w:szCs w:val="28"/>
        </w:rPr>
        <w:t>cf.</w:t>
      </w:r>
      <w:r w:rsidR="0008673B">
        <w:rPr>
          <w:sz w:val="28"/>
          <w:szCs w:val="28"/>
        </w:rPr>
        <w:t xml:space="preserve"> </w:t>
      </w:r>
      <w:r w:rsidR="0008673B" w:rsidRPr="00B41FF0">
        <w:rPr>
          <w:i/>
          <w:iCs/>
          <w:sz w:val="28"/>
          <w:szCs w:val="28"/>
        </w:rPr>
        <w:t>Bumpus v. New York City Transit Auth.</w:t>
      </w:r>
      <w:r w:rsidR="0008673B">
        <w:rPr>
          <w:sz w:val="28"/>
          <w:szCs w:val="28"/>
        </w:rPr>
        <w:t>, No. 3512/07, 2009 WL 1141401, at *3 (N.Y. Supr. Ct. Apr. 28, 2009) (adopting civil rape-shield protections in a protective order ruling).</w:t>
      </w:r>
      <w:r w:rsidR="00FC3573">
        <w:rPr>
          <w:sz w:val="28"/>
          <w:szCs w:val="28"/>
        </w:rPr>
        <w:t xml:space="preserve"> </w:t>
      </w:r>
    </w:p>
    <w:p w14:paraId="5620689D" w14:textId="019248FD" w:rsidR="006B023A" w:rsidRDefault="00FC3573" w:rsidP="006B023A">
      <w:pPr>
        <w:autoSpaceDE w:val="0"/>
        <w:autoSpaceDN w:val="0"/>
        <w:adjustRightInd w:val="0"/>
        <w:spacing w:line="480" w:lineRule="auto"/>
        <w:ind w:firstLine="720"/>
        <w:jc w:val="both"/>
        <w:rPr>
          <w:sz w:val="28"/>
          <w:szCs w:val="28"/>
        </w:rPr>
      </w:pPr>
      <w:r>
        <w:rPr>
          <w:sz w:val="28"/>
          <w:szCs w:val="28"/>
        </w:rPr>
        <w:t xml:space="preserve">Arizona should join </w:t>
      </w:r>
      <w:r w:rsidR="000E640E">
        <w:rPr>
          <w:sz w:val="28"/>
          <w:szCs w:val="28"/>
        </w:rPr>
        <w:t xml:space="preserve">the federal courts and </w:t>
      </w:r>
      <w:r>
        <w:rPr>
          <w:sz w:val="28"/>
          <w:szCs w:val="28"/>
        </w:rPr>
        <w:t>t</w:t>
      </w:r>
      <w:r w:rsidR="0041390C">
        <w:rPr>
          <w:sz w:val="28"/>
          <w:szCs w:val="28"/>
        </w:rPr>
        <w:t>hese numerous</w:t>
      </w:r>
      <w:r>
        <w:rPr>
          <w:sz w:val="28"/>
          <w:szCs w:val="28"/>
        </w:rPr>
        <w:t xml:space="preserve"> states and adopt </w:t>
      </w:r>
      <w:r w:rsidR="006B023A">
        <w:rPr>
          <w:sz w:val="28"/>
          <w:szCs w:val="28"/>
        </w:rPr>
        <w:t>a civil rape-shield rule</w:t>
      </w:r>
      <w:r>
        <w:rPr>
          <w:sz w:val="28"/>
          <w:szCs w:val="28"/>
        </w:rPr>
        <w:t xml:space="preserve">. </w:t>
      </w:r>
      <w:r w:rsidR="006A2979">
        <w:rPr>
          <w:sz w:val="28"/>
          <w:szCs w:val="28"/>
        </w:rPr>
        <w:t xml:space="preserve">Without </w:t>
      </w:r>
      <w:r w:rsidR="006B023A">
        <w:rPr>
          <w:sz w:val="28"/>
          <w:szCs w:val="28"/>
        </w:rPr>
        <w:t>these protections, victims may have to answer intrusive questions about their sex</w:t>
      </w:r>
      <w:r w:rsidR="0041390C">
        <w:rPr>
          <w:sz w:val="28"/>
          <w:szCs w:val="28"/>
        </w:rPr>
        <w:t>ual</w:t>
      </w:r>
      <w:r w:rsidR="006B023A">
        <w:rPr>
          <w:sz w:val="28"/>
          <w:szCs w:val="28"/>
        </w:rPr>
        <w:t xml:space="preserve"> lives</w:t>
      </w:r>
      <w:r w:rsidR="0041390C">
        <w:rPr>
          <w:sz w:val="28"/>
          <w:szCs w:val="28"/>
        </w:rPr>
        <w:t xml:space="preserve"> and orientations</w:t>
      </w:r>
      <w:r w:rsidR="006B023A">
        <w:rPr>
          <w:sz w:val="28"/>
          <w:szCs w:val="28"/>
        </w:rPr>
        <w:t xml:space="preserve">, fantasies, and even their clothing choices. </w:t>
      </w:r>
      <w:r w:rsidR="006B023A">
        <w:rPr>
          <w:i/>
          <w:iCs/>
          <w:sz w:val="28"/>
          <w:szCs w:val="28"/>
        </w:rPr>
        <w:t>See</w:t>
      </w:r>
      <w:r w:rsidR="006B023A" w:rsidRPr="006B023A">
        <w:rPr>
          <w:rFonts w:eastAsiaTheme="minorHAnsi"/>
          <w:sz w:val="20"/>
        </w:rPr>
        <w:t xml:space="preserve"> </w:t>
      </w:r>
      <w:r w:rsidR="006B023A" w:rsidRPr="006B023A">
        <w:rPr>
          <w:sz w:val="28"/>
          <w:szCs w:val="28"/>
        </w:rPr>
        <w:t xml:space="preserve">Pub. L. 93-595, Jan. 2, 1975, 88 Stat. 1926 (enacting the </w:t>
      </w:r>
      <w:r w:rsidR="006B023A">
        <w:rPr>
          <w:sz w:val="28"/>
          <w:szCs w:val="28"/>
        </w:rPr>
        <w:t>federal criminal rape-shield rule</w:t>
      </w:r>
      <w:r w:rsidR="006B023A" w:rsidRPr="006B023A">
        <w:rPr>
          <w:sz w:val="28"/>
          <w:szCs w:val="28"/>
        </w:rPr>
        <w:t xml:space="preserve">) (effective July 1, 1975); </w:t>
      </w:r>
      <w:r w:rsidR="0041390C">
        <w:rPr>
          <w:i/>
          <w:iCs/>
          <w:sz w:val="28"/>
          <w:szCs w:val="28"/>
        </w:rPr>
        <w:t xml:space="preserve">see also </w:t>
      </w:r>
      <w:r w:rsidR="006B023A" w:rsidRPr="0041390C">
        <w:rPr>
          <w:i/>
          <w:iCs/>
          <w:sz w:val="28"/>
          <w:szCs w:val="28"/>
        </w:rPr>
        <w:t xml:space="preserve">Meritor Sav. Bank, FSB </w:t>
      </w:r>
      <w:r w:rsidR="006B023A" w:rsidRPr="0041390C">
        <w:rPr>
          <w:i/>
          <w:iCs/>
          <w:sz w:val="28"/>
          <w:szCs w:val="28"/>
        </w:rPr>
        <w:lastRenderedPageBreak/>
        <w:t>v. Vinson</w:t>
      </w:r>
      <w:r w:rsidR="006B023A" w:rsidRPr="006B023A">
        <w:rPr>
          <w:sz w:val="28"/>
          <w:szCs w:val="28"/>
        </w:rPr>
        <w:t>, 477 U.S. 57, 69 (1986) (“[I]t does not follow that a complainant’s sexually provocative speech or dress is irrelevant as a matter of law in determining whether he or she found particular sexual advances unwelcome. To the contrary, such evidence is obviously relevant.”).</w:t>
      </w:r>
      <w:r w:rsidR="00363ABB">
        <w:rPr>
          <w:sz w:val="28"/>
          <w:szCs w:val="28"/>
        </w:rPr>
        <w:t xml:space="preserve"> There is no reason for the Arizona Rules of Evidence to remain out of step with the Federal Rules of Evidence in this area.</w:t>
      </w:r>
    </w:p>
    <w:p w14:paraId="0D320B14" w14:textId="1568A5D3" w:rsidR="00485F4A" w:rsidRDefault="00363ABB" w:rsidP="006B023A">
      <w:pPr>
        <w:autoSpaceDE w:val="0"/>
        <w:autoSpaceDN w:val="0"/>
        <w:adjustRightInd w:val="0"/>
        <w:spacing w:line="480" w:lineRule="auto"/>
        <w:ind w:firstLine="720"/>
        <w:jc w:val="both"/>
        <w:rPr>
          <w:sz w:val="28"/>
          <w:szCs w:val="28"/>
        </w:rPr>
      </w:pPr>
      <w:bookmarkStart w:id="0" w:name="_Hlk129082521"/>
      <w:r>
        <w:rPr>
          <w:sz w:val="28"/>
          <w:szCs w:val="28"/>
        </w:rPr>
        <w:t xml:space="preserve">Thus, the Committee </w:t>
      </w:r>
      <w:r w:rsidRPr="0041390C">
        <w:rPr>
          <w:sz w:val="28"/>
          <w:szCs w:val="28"/>
        </w:rPr>
        <w:t>unanimously p</w:t>
      </w:r>
      <w:r>
        <w:rPr>
          <w:sz w:val="28"/>
          <w:szCs w:val="28"/>
        </w:rPr>
        <w:t>ropose</w:t>
      </w:r>
      <w:r w:rsidR="00485F4A">
        <w:rPr>
          <w:sz w:val="28"/>
          <w:szCs w:val="28"/>
        </w:rPr>
        <w:t>s</w:t>
      </w:r>
      <w:r>
        <w:rPr>
          <w:sz w:val="28"/>
          <w:szCs w:val="28"/>
        </w:rPr>
        <w:t xml:space="preserve"> that Arizona adopt a civil rape-shield rule in Rule 412</w:t>
      </w:r>
      <w:r w:rsidR="00D10FA8">
        <w:rPr>
          <w:sz w:val="28"/>
          <w:szCs w:val="28"/>
        </w:rPr>
        <w:t>, which currently contains no rule</w:t>
      </w:r>
      <w:r w:rsidR="0041390C">
        <w:rPr>
          <w:sz w:val="28"/>
          <w:szCs w:val="28"/>
        </w:rPr>
        <w:t xml:space="preserve"> text and instead refers to A.R.S. § 13-1421 in a comment to the 2012 amendments</w:t>
      </w:r>
      <w:r w:rsidR="00D10FA8">
        <w:rPr>
          <w:sz w:val="28"/>
          <w:szCs w:val="28"/>
        </w:rPr>
        <w:t xml:space="preserve">. </w:t>
      </w:r>
      <w:bookmarkStart w:id="1" w:name="_Hlk129082468"/>
      <w:bookmarkEnd w:id="0"/>
    </w:p>
    <w:p w14:paraId="1AF09A2F" w14:textId="21EC9C39" w:rsidR="00363ABB" w:rsidRDefault="00363ABB" w:rsidP="006B023A">
      <w:pPr>
        <w:autoSpaceDE w:val="0"/>
        <w:autoSpaceDN w:val="0"/>
        <w:adjustRightInd w:val="0"/>
        <w:spacing w:line="480" w:lineRule="auto"/>
        <w:ind w:firstLine="720"/>
        <w:jc w:val="both"/>
        <w:rPr>
          <w:sz w:val="28"/>
          <w:szCs w:val="28"/>
        </w:rPr>
      </w:pPr>
      <w:r>
        <w:rPr>
          <w:sz w:val="28"/>
          <w:szCs w:val="28"/>
        </w:rPr>
        <w:t>We propose the following:</w:t>
      </w:r>
      <w:bookmarkEnd w:id="1"/>
    </w:p>
    <w:p w14:paraId="442326B7" w14:textId="42AB85C5" w:rsidR="00363ABB" w:rsidRPr="00FE244A" w:rsidRDefault="00B803E5" w:rsidP="00B803E5">
      <w:pPr>
        <w:tabs>
          <w:tab w:val="left" w:pos="720"/>
        </w:tabs>
        <w:autoSpaceDE w:val="0"/>
        <w:autoSpaceDN w:val="0"/>
        <w:adjustRightInd w:val="0"/>
        <w:rPr>
          <w:b/>
          <w:bCs/>
          <w:sz w:val="28"/>
          <w:szCs w:val="28"/>
        </w:rPr>
      </w:pPr>
      <w:r w:rsidRPr="00B803E5">
        <w:rPr>
          <w:b/>
          <w:bCs/>
          <w:sz w:val="28"/>
          <w:szCs w:val="28"/>
        </w:rPr>
        <w:t xml:space="preserve">Rule 412. The Victim’s Sexual Behavior or Predisposition </w:t>
      </w:r>
      <w:r w:rsidRPr="00FE244A">
        <w:rPr>
          <w:b/>
          <w:bCs/>
          <w:sz w:val="28"/>
          <w:szCs w:val="28"/>
        </w:rPr>
        <w:t>in Non-Criminal Cases</w:t>
      </w:r>
    </w:p>
    <w:p w14:paraId="18CD0FFC" w14:textId="5F69B822" w:rsidR="00363ABB" w:rsidRPr="00FE244A" w:rsidRDefault="0093423A" w:rsidP="00363ABB">
      <w:pPr>
        <w:pStyle w:val="ListParagraph"/>
        <w:numPr>
          <w:ilvl w:val="0"/>
          <w:numId w:val="14"/>
        </w:numPr>
        <w:tabs>
          <w:tab w:val="left" w:pos="720"/>
        </w:tabs>
        <w:autoSpaceDE w:val="0"/>
        <w:autoSpaceDN w:val="0"/>
        <w:adjustRightInd w:val="0"/>
        <w:jc w:val="both"/>
        <w:rPr>
          <w:sz w:val="28"/>
          <w:szCs w:val="28"/>
        </w:rPr>
      </w:pPr>
      <w:r>
        <w:rPr>
          <w:b/>
          <w:bCs/>
          <w:sz w:val="28"/>
          <w:szCs w:val="28"/>
        </w:rPr>
        <w:t xml:space="preserve"> </w:t>
      </w:r>
      <w:r w:rsidR="00363ABB" w:rsidRPr="00FE244A">
        <w:rPr>
          <w:b/>
          <w:bCs/>
          <w:sz w:val="28"/>
          <w:szCs w:val="28"/>
        </w:rPr>
        <w:t xml:space="preserve">Prohibited Uses. </w:t>
      </w:r>
      <w:r w:rsidR="00363ABB" w:rsidRPr="00FE244A">
        <w:rPr>
          <w:sz w:val="28"/>
          <w:szCs w:val="28"/>
        </w:rPr>
        <w:t>In proceedings involving alleged sexual misconduct where A.R.S. § 13-1421 does not apply, the following evidence is not admissible:</w:t>
      </w:r>
    </w:p>
    <w:p w14:paraId="0107FB3A" w14:textId="02CE9324" w:rsidR="00363ABB" w:rsidRPr="00FE244A" w:rsidRDefault="00363ABB" w:rsidP="00363ABB">
      <w:pPr>
        <w:pStyle w:val="ListParagraph"/>
        <w:numPr>
          <w:ilvl w:val="0"/>
          <w:numId w:val="16"/>
        </w:numPr>
        <w:tabs>
          <w:tab w:val="left" w:pos="720"/>
        </w:tabs>
        <w:autoSpaceDE w:val="0"/>
        <w:autoSpaceDN w:val="0"/>
        <w:adjustRightInd w:val="0"/>
        <w:jc w:val="both"/>
        <w:rPr>
          <w:sz w:val="28"/>
          <w:szCs w:val="28"/>
        </w:rPr>
      </w:pPr>
      <w:r w:rsidRPr="00FE244A">
        <w:rPr>
          <w:sz w:val="28"/>
          <w:szCs w:val="28"/>
        </w:rPr>
        <w:t>evidence offered to prove that a victim engaged in other sexual behavior; or</w:t>
      </w:r>
    </w:p>
    <w:p w14:paraId="5601EFF3" w14:textId="0DE7B88B" w:rsidR="00363ABB" w:rsidRPr="00AC563F" w:rsidRDefault="00363ABB" w:rsidP="00AC563F">
      <w:pPr>
        <w:pStyle w:val="ListParagraph"/>
        <w:numPr>
          <w:ilvl w:val="0"/>
          <w:numId w:val="16"/>
        </w:numPr>
        <w:tabs>
          <w:tab w:val="left" w:pos="720"/>
        </w:tabs>
        <w:autoSpaceDE w:val="0"/>
        <w:autoSpaceDN w:val="0"/>
        <w:adjustRightInd w:val="0"/>
        <w:spacing w:after="120"/>
        <w:jc w:val="both"/>
        <w:rPr>
          <w:sz w:val="28"/>
          <w:szCs w:val="28"/>
        </w:rPr>
      </w:pPr>
      <w:r w:rsidRPr="00FE244A">
        <w:rPr>
          <w:sz w:val="28"/>
          <w:szCs w:val="28"/>
        </w:rPr>
        <w:t>evidence offered to prove a victim’s sexual predisposition.</w:t>
      </w:r>
    </w:p>
    <w:p w14:paraId="1CDCF3D2" w14:textId="5A829A63" w:rsidR="00363ABB" w:rsidRPr="00FE244A" w:rsidRDefault="0093423A" w:rsidP="00363ABB">
      <w:pPr>
        <w:pStyle w:val="ListParagraph"/>
        <w:numPr>
          <w:ilvl w:val="0"/>
          <w:numId w:val="14"/>
        </w:numPr>
        <w:tabs>
          <w:tab w:val="left" w:pos="720"/>
        </w:tabs>
        <w:autoSpaceDE w:val="0"/>
        <w:autoSpaceDN w:val="0"/>
        <w:adjustRightInd w:val="0"/>
        <w:jc w:val="both"/>
        <w:rPr>
          <w:sz w:val="28"/>
          <w:szCs w:val="28"/>
        </w:rPr>
      </w:pPr>
      <w:r>
        <w:rPr>
          <w:b/>
          <w:bCs/>
          <w:sz w:val="28"/>
          <w:szCs w:val="28"/>
        </w:rPr>
        <w:t xml:space="preserve"> </w:t>
      </w:r>
      <w:r w:rsidR="00363ABB" w:rsidRPr="00FE244A">
        <w:rPr>
          <w:b/>
          <w:bCs/>
          <w:sz w:val="28"/>
          <w:szCs w:val="28"/>
        </w:rPr>
        <w:t>Exceptions.</w:t>
      </w:r>
      <w:r w:rsidR="00363ABB" w:rsidRPr="00FE244A">
        <w:rPr>
          <w:sz w:val="28"/>
          <w:szCs w:val="28"/>
        </w:rPr>
        <w:t xml:space="preserve"> The court may admit evidence offered to prove a victim’s sexual behavior or sexual predisposition if its probative value substantially outweighs the danger of harm to any victim and of unfair prejudice to any party. The court may admit evidence of a victim’s reputation only if the victim has placed it in controversy. </w:t>
      </w:r>
    </w:p>
    <w:p w14:paraId="1B5F1D33" w14:textId="7BDD121F" w:rsidR="00363ABB" w:rsidRDefault="00363ABB" w:rsidP="00363ABB">
      <w:pPr>
        <w:tabs>
          <w:tab w:val="left" w:pos="720"/>
        </w:tabs>
        <w:autoSpaceDE w:val="0"/>
        <w:autoSpaceDN w:val="0"/>
        <w:adjustRightInd w:val="0"/>
        <w:jc w:val="both"/>
        <w:rPr>
          <w:sz w:val="28"/>
          <w:szCs w:val="28"/>
          <w:u w:val="single"/>
        </w:rPr>
      </w:pPr>
    </w:p>
    <w:p w14:paraId="425D3718" w14:textId="7C5CBA17" w:rsidR="001B1426" w:rsidRDefault="003C2264" w:rsidP="003C2264">
      <w:pPr>
        <w:tabs>
          <w:tab w:val="left" w:pos="720"/>
        </w:tabs>
        <w:autoSpaceDE w:val="0"/>
        <w:autoSpaceDN w:val="0"/>
        <w:adjustRightInd w:val="0"/>
        <w:spacing w:line="480" w:lineRule="auto"/>
        <w:jc w:val="both"/>
        <w:rPr>
          <w:sz w:val="28"/>
          <w:szCs w:val="28"/>
        </w:rPr>
      </w:pPr>
      <w:r>
        <w:rPr>
          <w:sz w:val="28"/>
          <w:szCs w:val="28"/>
        </w:rPr>
        <w:tab/>
      </w:r>
      <w:r w:rsidR="00363ABB">
        <w:rPr>
          <w:sz w:val="28"/>
          <w:szCs w:val="28"/>
        </w:rPr>
        <w:t xml:space="preserve">The proposed rule </w:t>
      </w:r>
      <w:r w:rsidR="00485F4A">
        <w:rPr>
          <w:sz w:val="28"/>
          <w:szCs w:val="28"/>
        </w:rPr>
        <w:t xml:space="preserve">follows the </w:t>
      </w:r>
      <w:r w:rsidR="001B1426">
        <w:rPr>
          <w:sz w:val="28"/>
          <w:szCs w:val="28"/>
        </w:rPr>
        <w:t xml:space="preserve">substantive provisions of the </w:t>
      </w:r>
      <w:r w:rsidR="00722100">
        <w:rPr>
          <w:sz w:val="28"/>
          <w:szCs w:val="28"/>
        </w:rPr>
        <w:t>Federal Rule of Evidence 412</w:t>
      </w:r>
      <w:r w:rsidR="001B1426">
        <w:rPr>
          <w:sz w:val="28"/>
          <w:szCs w:val="28"/>
        </w:rPr>
        <w:t xml:space="preserve">, but includes a couple of differences that are worth highlighting: </w:t>
      </w:r>
    </w:p>
    <w:p w14:paraId="1A1A7D6B" w14:textId="2CC76EBF" w:rsidR="00485F4A" w:rsidRPr="00B803E5" w:rsidRDefault="003C2264" w:rsidP="003C2264">
      <w:pPr>
        <w:pStyle w:val="ListParagraph"/>
        <w:numPr>
          <w:ilvl w:val="0"/>
          <w:numId w:val="17"/>
        </w:numPr>
        <w:tabs>
          <w:tab w:val="left" w:pos="720"/>
        </w:tabs>
        <w:autoSpaceDE w:val="0"/>
        <w:autoSpaceDN w:val="0"/>
        <w:adjustRightInd w:val="0"/>
        <w:spacing w:line="480" w:lineRule="auto"/>
        <w:jc w:val="both"/>
        <w:rPr>
          <w:sz w:val="28"/>
          <w:szCs w:val="28"/>
        </w:rPr>
      </w:pPr>
      <w:r w:rsidRPr="00B803E5">
        <w:rPr>
          <w:sz w:val="28"/>
          <w:szCs w:val="28"/>
        </w:rPr>
        <w:lastRenderedPageBreak/>
        <w:t xml:space="preserve">Arizona’s title </w:t>
      </w:r>
      <w:r w:rsidR="00485F4A" w:rsidRPr="00B803E5">
        <w:rPr>
          <w:sz w:val="28"/>
          <w:szCs w:val="28"/>
        </w:rPr>
        <w:t xml:space="preserve">and scope </w:t>
      </w:r>
      <w:r w:rsidRPr="00B803E5">
        <w:rPr>
          <w:sz w:val="28"/>
          <w:szCs w:val="28"/>
        </w:rPr>
        <w:t xml:space="preserve">differs from the </w:t>
      </w:r>
      <w:r w:rsidR="00485F4A" w:rsidRPr="00B803E5">
        <w:rPr>
          <w:sz w:val="28"/>
          <w:szCs w:val="28"/>
        </w:rPr>
        <w:t xml:space="preserve">Federal Rule </w:t>
      </w:r>
      <w:r w:rsidRPr="00B803E5">
        <w:rPr>
          <w:sz w:val="28"/>
          <w:szCs w:val="28"/>
        </w:rPr>
        <w:t xml:space="preserve">because </w:t>
      </w:r>
      <w:r w:rsidR="00485F4A" w:rsidRPr="00B803E5">
        <w:rPr>
          <w:sz w:val="28"/>
          <w:szCs w:val="28"/>
        </w:rPr>
        <w:t>Arizona has a criminal rape-shield statute, so the Arizona Rule need not</w:t>
      </w:r>
      <w:r w:rsidR="005F5894" w:rsidRPr="00B803E5">
        <w:rPr>
          <w:sz w:val="28"/>
          <w:szCs w:val="28"/>
        </w:rPr>
        <w:t>, and should not,</w:t>
      </w:r>
      <w:r w:rsidR="00485F4A" w:rsidRPr="00B803E5">
        <w:rPr>
          <w:sz w:val="28"/>
          <w:szCs w:val="28"/>
        </w:rPr>
        <w:t xml:space="preserve"> cover criminal proceedings. </w:t>
      </w:r>
    </w:p>
    <w:p w14:paraId="0568707F" w14:textId="3D011BC0" w:rsidR="003C2264" w:rsidRDefault="001B1426" w:rsidP="003C2264">
      <w:pPr>
        <w:pStyle w:val="ListParagraph"/>
        <w:numPr>
          <w:ilvl w:val="0"/>
          <w:numId w:val="17"/>
        </w:numPr>
        <w:tabs>
          <w:tab w:val="left" w:pos="720"/>
        </w:tabs>
        <w:autoSpaceDE w:val="0"/>
        <w:autoSpaceDN w:val="0"/>
        <w:adjustRightInd w:val="0"/>
        <w:spacing w:line="480" w:lineRule="auto"/>
        <w:jc w:val="both"/>
        <w:rPr>
          <w:sz w:val="28"/>
          <w:szCs w:val="28"/>
        </w:rPr>
      </w:pPr>
      <w:r>
        <w:rPr>
          <w:sz w:val="28"/>
          <w:szCs w:val="28"/>
        </w:rPr>
        <w:t xml:space="preserve">More specifically, the Arizona Rule is designed to apply </w:t>
      </w:r>
      <w:r w:rsidR="003C2264">
        <w:rPr>
          <w:sz w:val="28"/>
          <w:szCs w:val="28"/>
        </w:rPr>
        <w:t xml:space="preserve">in cases where </w:t>
      </w:r>
      <w:r>
        <w:rPr>
          <w:sz w:val="28"/>
          <w:szCs w:val="28"/>
        </w:rPr>
        <w:t xml:space="preserve">the criminal statute, </w:t>
      </w:r>
      <w:r w:rsidR="003C2264">
        <w:rPr>
          <w:sz w:val="28"/>
          <w:szCs w:val="28"/>
        </w:rPr>
        <w:t>A.R.S. § 13-1421</w:t>
      </w:r>
      <w:r>
        <w:rPr>
          <w:sz w:val="28"/>
          <w:szCs w:val="28"/>
        </w:rPr>
        <w:t>,</w:t>
      </w:r>
      <w:r w:rsidR="003C2264">
        <w:rPr>
          <w:sz w:val="28"/>
          <w:szCs w:val="28"/>
        </w:rPr>
        <w:t xml:space="preserve"> does not apply</w:t>
      </w:r>
      <w:r w:rsidR="00722100">
        <w:rPr>
          <w:sz w:val="28"/>
          <w:szCs w:val="28"/>
        </w:rPr>
        <w:t xml:space="preserve">. That certainly means civil cases. </w:t>
      </w:r>
      <w:r w:rsidR="003C2264">
        <w:rPr>
          <w:sz w:val="28"/>
          <w:szCs w:val="28"/>
        </w:rPr>
        <w:t xml:space="preserve">But there may be other proceedings, such as non-delinquency juvenile proceedings, where the </w:t>
      </w:r>
      <w:r w:rsidR="005F5894">
        <w:rPr>
          <w:sz w:val="28"/>
          <w:szCs w:val="28"/>
        </w:rPr>
        <w:t xml:space="preserve">criminal statute does not apply and, thus, the </w:t>
      </w:r>
      <w:r w:rsidR="003C2264">
        <w:rPr>
          <w:sz w:val="28"/>
          <w:szCs w:val="28"/>
        </w:rPr>
        <w:t xml:space="preserve">Arizona </w:t>
      </w:r>
      <w:r w:rsidR="0041390C">
        <w:rPr>
          <w:sz w:val="28"/>
          <w:szCs w:val="28"/>
        </w:rPr>
        <w:t>r</w:t>
      </w:r>
      <w:r w:rsidR="003C2264">
        <w:rPr>
          <w:sz w:val="28"/>
          <w:szCs w:val="28"/>
        </w:rPr>
        <w:t xml:space="preserve">ule </w:t>
      </w:r>
      <w:r>
        <w:rPr>
          <w:sz w:val="28"/>
          <w:szCs w:val="28"/>
        </w:rPr>
        <w:t>should</w:t>
      </w:r>
      <w:r w:rsidR="00722100">
        <w:rPr>
          <w:sz w:val="28"/>
          <w:szCs w:val="28"/>
        </w:rPr>
        <w:t xml:space="preserve"> fill in the gap</w:t>
      </w:r>
      <w:r w:rsidR="003C2264">
        <w:rPr>
          <w:sz w:val="28"/>
          <w:szCs w:val="28"/>
        </w:rPr>
        <w:t>. Thus, we do not use the more restrictive “civil proceedings” language</w:t>
      </w:r>
      <w:r w:rsidR="00485F4A">
        <w:rPr>
          <w:sz w:val="28"/>
          <w:szCs w:val="28"/>
        </w:rPr>
        <w:t xml:space="preserve"> </w:t>
      </w:r>
      <w:r w:rsidR="005F5894">
        <w:rPr>
          <w:sz w:val="28"/>
          <w:szCs w:val="28"/>
        </w:rPr>
        <w:t xml:space="preserve">from the Federal Rule </w:t>
      </w:r>
      <w:r w:rsidR="00485F4A">
        <w:rPr>
          <w:sz w:val="28"/>
          <w:szCs w:val="28"/>
        </w:rPr>
        <w:t>and instead remind the reader that A.R.S. §</w:t>
      </w:r>
      <w:r>
        <w:rPr>
          <w:sz w:val="28"/>
          <w:szCs w:val="28"/>
        </w:rPr>
        <w:t> </w:t>
      </w:r>
      <w:r w:rsidR="00485F4A">
        <w:rPr>
          <w:sz w:val="28"/>
          <w:szCs w:val="28"/>
        </w:rPr>
        <w:t xml:space="preserve">13-1421 will apply in </w:t>
      </w:r>
      <w:r w:rsidR="0015408D">
        <w:rPr>
          <w:sz w:val="28"/>
          <w:szCs w:val="28"/>
        </w:rPr>
        <w:t>criminal</w:t>
      </w:r>
      <w:r w:rsidR="00485F4A">
        <w:rPr>
          <w:sz w:val="28"/>
          <w:szCs w:val="28"/>
        </w:rPr>
        <w:t xml:space="preserve"> cases, and Arizona Rule 412 </w:t>
      </w:r>
      <w:r w:rsidR="0015408D">
        <w:rPr>
          <w:sz w:val="28"/>
          <w:szCs w:val="28"/>
        </w:rPr>
        <w:t xml:space="preserve">applies in the </w:t>
      </w:r>
      <w:r w:rsidR="00485F4A">
        <w:rPr>
          <w:sz w:val="28"/>
          <w:szCs w:val="28"/>
        </w:rPr>
        <w:t xml:space="preserve">remainder. </w:t>
      </w:r>
    </w:p>
    <w:p w14:paraId="628DC07D" w14:textId="0E71FEFF" w:rsidR="003C2264" w:rsidRDefault="003C2264" w:rsidP="003C2264">
      <w:pPr>
        <w:pStyle w:val="ListParagraph"/>
        <w:numPr>
          <w:ilvl w:val="0"/>
          <w:numId w:val="17"/>
        </w:numPr>
        <w:tabs>
          <w:tab w:val="left" w:pos="720"/>
        </w:tabs>
        <w:autoSpaceDE w:val="0"/>
        <w:autoSpaceDN w:val="0"/>
        <w:adjustRightInd w:val="0"/>
        <w:spacing w:line="480" w:lineRule="auto"/>
        <w:jc w:val="both"/>
        <w:rPr>
          <w:sz w:val="28"/>
          <w:szCs w:val="28"/>
        </w:rPr>
      </w:pPr>
      <w:r>
        <w:rPr>
          <w:sz w:val="28"/>
          <w:szCs w:val="28"/>
        </w:rPr>
        <w:t xml:space="preserve">Arizona’s subsection lettering and numbering </w:t>
      </w:r>
      <w:r w:rsidR="00485F4A">
        <w:rPr>
          <w:sz w:val="28"/>
          <w:szCs w:val="28"/>
        </w:rPr>
        <w:t xml:space="preserve">differ in minor ways </w:t>
      </w:r>
      <w:r>
        <w:rPr>
          <w:sz w:val="28"/>
          <w:szCs w:val="28"/>
        </w:rPr>
        <w:t>from the Federal Rules, largely because</w:t>
      </w:r>
      <w:r w:rsidR="0041390C">
        <w:rPr>
          <w:sz w:val="28"/>
          <w:szCs w:val="28"/>
        </w:rPr>
        <w:t xml:space="preserve"> proposed</w:t>
      </w:r>
      <w:r>
        <w:rPr>
          <w:sz w:val="28"/>
          <w:szCs w:val="28"/>
        </w:rPr>
        <w:t xml:space="preserve"> </w:t>
      </w:r>
      <w:r w:rsidR="001B1426">
        <w:rPr>
          <w:sz w:val="28"/>
          <w:szCs w:val="28"/>
        </w:rPr>
        <w:t xml:space="preserve">Arizona Rule 412 </w:t>
      </w:r>
      <w:r>
        <w:rPr>
          <w:sz w:val="28"/>
          <w:szCs w:val="28"/>
        </w:rPr>
        <w:t xml:space="preserve">does not cover criminal cases. </w:t>
      </w:r>
    </w:p>
    <w:p w14:paraId="1A685EF0" w14:textId="2503ECDE" w:rsidR="003C2264" w:rsidRPr="00B803E5" w:rsidRDefault="003C2264" w:rsidP="003C2264">
      <w:pPr>
        <w:pStyle w:val="ListParagraph"/>
        <w:numPr>
          <w:ilvl w:val="0"/>
          <w:numId w:val="17"/>
        </w:numPr>
        <w:tabs>
          <w:tab w:val="left" w:pos="720"/>
        </w:tabs>
        <w:autoSpaceDE w:val="0"/>
        <w:autoSpaceDN w:val="0"/>
        <w:adjustRightInd w:val="0"/>
        <w:spacing w:line="480" w:lineRule="auto"/>
        <w:jc w:val="both"/>
        <w:rPr>
          <w:sz w:val="28"/>
          <w:szCs w:val="28"/>
        </w:rPr>
      </w:pPr>
      <w:r w:rsidRPr="00B803E5">
        <w:rPr>
          <w:sz w:val="28"/>
          <w:szCs w:val="28"/>
        </w:rPr>
        <w:t xml:space="preserve">Finally, Arizona’s rule does not include the procedures to determine admissibility. </w:t>
      </w:r>
      <w:r w:rsidRPr="00B803E5">
        <w:rPr>
          <w:i/>
          <w:iCs/>
          <w:sz w:val="28"/>
          <w:szCs w:val="28"/>
        </w:rPr>
        <w:t xml:space="preserve">See </w:t>
      </w:r>
      <w:r w:rsidRPr="00B803E5">
        <w:rPr>
          <w:sz w:val="28"/>
          <w:szCs w:val="28"/>
        </w:rPr>
        <w:t xml:space="preserve">Fed. R. Evid. 412(c) (subtitled, “Procedure to Determine Admissibility”). These sorts of timing and notification issues </w:t>
      </w:r>
      <w:r w:rsidR="001B1426" w:rsidRPr="00B803E5">
        <w:rPr>
          <w:sz w:val="28"/>
          <w:szCs w:val="28"/>
        </w:rPr>
        <w:t xml:space="preserve">may </w:t>
      </w:r>
      <w:r w:rsidRPr="00B803E5">
        <w:rPr>
          <w:sz w:val="28"/>
          <w:szCs w:val="28"/>
        </w:rPr>
        <w:t>be set by individual judges in consultation with parties</w:t>
      </w:r>
      <w:r w:rsidR="0041390C" w:rsidRPr="00B803E5">
        <w:rPr>
          <w:sz w:val="28"/>
          <w:szCs w:val="28"/>
        </w:rPr>
        <w:t>, and this Committee tends to consistently recommend that procedural rules not be</w:t>
      </w:r>
      <w:r w:rsidR="00B803E5" w:rsidRPr="00B803E5">
        <w:rPr>
          <w:sz w:val="28"/>
          <w:szCs w:val="28"/>
        </w:rPr>
        <w:t xml:space="preserve"> melded into the evidentiary rules absent compelling reason</w:t>
      </w:r>
      <w:r w:rsidRPr="00B803E5">
        <w:rPr>
          <w:sz w:val="28"/>
          <w:szCs w:val="28"/>
        </w:rPr>
        <w:t xml:space="preserve">. </w:t>
      </w:r>
    </w:p>
    <w:p w14:paraId="5C746986" w14:textId="1A9656F2" w:rsidR="003C2264" w:rsidRDefault="0041390C" w:rsidP="003C2264">
      <w:pPr>
        <w:autoSpaceDE w:val="0"/>
        <w:autoSpaceDN w:val="0"/>
        <w:adjustRightInd w:val="0"/>
        <w:spacing w:line="480" w:lineRule="auto"/>
        <w:ind w:firstLine="720"/>
        <w:jc w:val="both"/>
        <w:rPr>
          <w:sz w:val="28"/>
          <w:szCs w:val="28"/>
        </w:rPr>
      </w:pPr>
      <w:r>
        <w:rPr>
          <w:sz w:val="28"/>
          <w:szCs w:val="28"/>
        </w:rPr>
        <w:lastRenderedPageBreak/>
        <w:t>Unanimously,</w:t>
      </w:r>
      <w:r w:rsidR="003C2264">
        <w:rPr>
          <w:sz w:val="28"/>
          <w:szCs w:val="28"/>
        </w:rPr>
        <w:t xml:space="preserve"> the Committee also recommends the following brief comment to the 2025 amendment: </w:t>
      </w:r>
      <w:r w:rsidR="00741E03">
        <w:rPr>
          <w:sz w:val="28"/>
          <w:szCs w:val="28"/>
        </w:rPr>
        <w:t xml:space="preserve">“Rule 412 was </w:t>
      </w:r>
      <w:r w:rsidR="00AA76E5">
        <w:rPr>
          <w:sz w:val="28"/>
          <w:szCs w:val="28"/>
        </w:rPr>
        <w:t>adopted</w:t>
      </w:r>
      <w:r w:rsidR="00741E03">
        <w:rPr>
          <w:sz w:val="28"/>
          <w:szCs w:val="28"/>
        </w:rPr>
        <w:t xml:space="preserve"> effective January 1, 2025, to conform to Federal Rule of Evidence 412 in cases where A.R.S. § 13-1421 (Evidence relating to victim’s chastity; pretrial hearing) does not apply.”</w:t>
      </w:r>
    </w:p>
    <w:p w14:paraId="4BE565C8" w14:textId="3001CF60" w:rsidR="00C41CA7" w:rsidRDefault="00C41CA7" w:rsidP="0008673B">
      <w:pPr>
        <w:keepNext/>
        <w:jc w:val="center"/>
        <w:rPr>
          <w:b/>
          <w:sz w:val="28"/>
          <w:szCs w:val="28"/>
        </w:rPr>
      </w:pPr>
      <w:r w:rsidRPr="00B256DE">
        <w:rPr>
          <w:b/>
          <w:sz w:val="28"/>
          <w:szCs w:val="28"/>
        </w:rPr>
        <w:t>CONCLUSION</w:t>
      </w:r>
    </w:p>
    <w:p w14:paraId="507D5E41" w14:textId="77777777" w:rsidR="0008673B" w:rsidRPr="00B256DE" w:rsidRDefault="0008673B" w:rsidP="0008673B">
      <w:pPr>
        <w:keepNext/>
        <w:jc w:val="center"/>
        <w:rPr>
          <w:b/>
          <w:sz w:val="28"/>
          <w:szCs w:val="28"/>
        </w:rPr>
      </w:pPr>
    </w:p>
    <w:p w14:paraId="3A7E7B07" w14:textId="240631C7" w:rsidR="00C41CA7" w:rsidRPr="0042727A" w:rsidRDefault="00363ABB" w:rsidP="0042727A">
      <w:pPr>
        <w:autoSpaceDE w:val="0"/>
        <w:autoSpaceDN w:val="0"/>
        <w:adjustRightInd w:val="0"/>
        <w:spacing w:line="480" w:lineRule="auto"/>
        <w:ind w:firstLine="720"/>
        <w:jc w:val="both"/>
        <w:rPr>
          <w:sz w:val="28"/>
          <w:szCs w:val="28"/>
        </w:rPr>
      </w:pPr>
      <w:r w:rsidRPr="0027191B">
        <w:rPr>
          <w:sz w:val="28"/>
          <w:szCs w:val="28"/>
        </w:rPr>
        <w:t>The federal</w:t>
      </w:r>
      <w:r w:rsidR="0008673B">
        <w:rPr>
          <w:sz w:val="28"/>
          <w:szCs w:val="28"/>
        </w:rPr>
        <w:t xml:space="preserve"> rules have had a</w:t>
      </w:r>
      <w:r w:rsidRPr="0027191B">
        <w:rPr>
          <w:sz w:val="28"/>
          <w:szCs w:val="28"/>
        </w:rPr>
        <w:t xml:space="preserve"> civil rape-shield rule for</w:t>
      </w:r>
      <w:r w:rsidR="00B803E5">
        <w:rPr>
          <w:sz w:val="28"/>
          <w:szCs w:val="28"/>
        </w:rPr>
        <w:t xml:space="preserve"> thirty</w:t>
      </w:r>
      <w:r w:rsidRPr="0027191B">
        <w:rPr>
          <w:sz w:val="28"/>
          <w:szCs w:val="28"/>
        </w:rPr>
        <w:t xml:space="preserve"> years</w:t>
      </w:r>
      <w:r w:rsidR="00485F4A">
        <w:rPr>
          <w:sz w:val="28"/>
          <w:szCs w:val="28"/>
        </w:rPr>
        <w:t xml:space="preserve">. It is time for Arizona to adopt </w:t>
      </w:r>
      <w:r w:rsidR="0008673B">
        <w:rPr>
          <w:sz w:val="28"/>
          <w:szCs w:val="28"/>
        </w:rPr>
        <w:t>those</w:t>
      </w:r>
      <w:r w:rsidR="00485F4A">
        <w:rPr>
          <w:sz w:val="28"/>
          <w:szCs w:val="28"/>
        </w:rPr>
        <w:t xml:space="preserve"> protections</w:t>
      </w:r>
      <w:r w:rsidR="00B803E5">
        <w:rPr>
          <w:sz w:val="28"/>
          <w:szCs w:val="28"/>
        </w:rPr>
        <w:t>,</w:t>
      </w:r>
      <w:r w:rsidR="00485F4A">
        <w:rPr>
          <w:sz w:val="28"/>
          <w:szCs w:val="28"/>
        </w:rPr>
        <w:t xml:space="preserve"> too.</w:t>
      </w:r>
      <w:r w:rsidR="0042727A">
        <w:rPr>
          <w:sz w:val="28"/>
          <w:szCs w:val="28"/>
        </w:rPr>
        <w:t xml:space="preserve"> </w:t>
      </w:r>
      <w:r w:rsidR="00485F4A">
        <w:rPr>
          <w:bCs/>
          <w:sz w:val="28"/>
          <w:szCs w:val="28"/>
        </w:rPr>
        <w:t xml:space="preserve">The Committee </w:t>
      </w:r>
      <w:r w:rsidR="00C41CA7" w:rsidRPr="00B256DE">
        <w:rPr>
          <w:bCs/>
          <w:sz w:val="28"/>
          <w:szCs w:val="28"/>
        </w:rPr>
        <w:t>respectfully reques</w:t>
      </w:r>
      <w:r w:rsidR="00B3367B" w:rsidRPr="00B256DE">
        <w:rPr>
          <w:bCs/>
          <w:sz w:val="28"/>
          <w:szCs w:val="28"/>
        </w:rPr>
        <w:t>t</w:t>
      </w:r>
      <w:r w:rsidR="0073636D">
        <w:rPr>
          <w:bCs/>
          <w:sz w:val="28"/>
          <w:szCs w:val="28"/>
        </w:rPr>
        <w:t>s</w:t>
      </w:r>
      <w:r w:rsidR="00B3367B" w:rsidRPr="00B256DE">
        <w:rPr>
          <w:bCs/>
          <w:sz w:val="28"/>
          <w:szCs w:val="28"/>
        </w:rPr>
        <w:t xml:space="preserve"> that the Court consider this P</w:t>
      </w:r>
      <w:r w:rsidR="00C41CA7" w:rsidRPr="00B256DE">
        <w:rPr>
          <w:bCs/>
          <w:sz w:val="28"/>
          <w:szCs w:val="28"/>
        </w:rPr>
        <w:t xml:space="preserve">etition and </w:t>
      </w:r>
      <w:r w:rsidR="00DF3F66">
        <w:rPr>
          <w:bCs/>
          <w:sz w:val="28"/>
          <w:szCs w:val="28"/>
        </w:rPr>
        <w:t xml:space="preserve">its </w:t>
      </w:r>
      <w:r w:rsidR="00C41CA7" w:rsidRPr="00B256DE">
        <w:rPr>
          <w:bCs/>
          <w:sz w:val="28"/>
          <w:szCs w:val="28"/>
        </w:rPr>
        <w:t>proposed rule</w:t>
      </w:r>
      <w:r w:rsidR="00D27B00" w:rsidRPr="00B256DE">
        <w:rPr>
          <w:bCs/>
          <w:sz w:val="28"/>
          <w:szCs w:val="28"/>
        </w:rPr>
        <w:t xml:space="preserve"> change</w:t>
      </w:r>
      <w:r w:rsidR="00DF3F66">
        <w:rPr>
          <w:bCs/>
          <w:sz w:val="28"/>
          <w:szCs w:val="28"/>
        </w:rPr>
        <w:t>s</w:t>
      </w:r>
      <w:r w:rsidR="00C41CA7" w:rsidRPr="00B256DE">
        <w:rPr>
          <w:bCs/>
          <w:sz w:val="28"/>
          <w:szCs w:val="28"/>
        </w:rPr>
        <w:t xml:space="preserve"> at its earliest convenience. </w:t>
      </w:r>
      <w:r w:rsidR="00485F4A">
        <w:rPr>
          <w:bCs/>
          <w:sz w:val="28"/>
          <w:szCs w:val="28"/>
        </w:rPr>
        <w:t>The Committee</w:t>
      </w:r>
      <w:r w:rsidR="00B3367B" w:rsidRPr="00B256DE">
        <w:rPr>
          <w:bCs/>
          <w:sz w:val="28"/>
          <w:szCs w:val="28"/>
        </w:rPr>
        <w:t xml:space="preserve"> additionally request</w:t>
      </w:r>
      <w:r w:rsidR="0073636D">
        <w:rPr>
          <w:bCs/>
          <w:sz w:val="28"/>
          <w:szCs w:val="28"/>
        </w:rPr>
        <w:t>s</w:t>
      </w:r>
      <w:r w:rsidR="00B3367B" w:rsidRPr="00B256DE">
        <w:rPr>
          <w:bCs/>
          <w:sz w:val="28"/>
          <w:szCs w:val="28"/>
        </w:rPr>
        <w:t xml:space="preserve"> that the P</w:t>
      </w:r>
      <w:r w:rsidR="00C41CA7" w:rsidRPr="00B256DE">
        <w:rPr>
          <w:bCs/>
          <w:sz w:val="28"/>
          <w:szCs w:val="28"/>
        </w:rPr>
        <w:t xml:space="preserve">etition be circulated for public comment </w:t>
      </w:r>
      <w:r w:rsidR="0091039C" w:rsidRPr="00B256DE">
        <w:rPr>
          <w:bCs/>
          <w:sz w:val="28"/>
          <w:szCs w:val="28"/>
        </w:rPr>
        <w:t xml:space="preserve">until </w:t>
      </w:r>
      <w:r w:rsidR="00CB085A" w:rsidRPr="00B256DE">
        <w:rPr>
          <w:bCs/>
          <w:sz w:val="28"/>
          <w:szCs w:val="28"/>
        </w:rPr>
        <w:t>May 1</w:t>
      </w:r>
      <w:r w:rsidR="0091039C" w:rsidRPr="00B256DE">
        <w:rPr>
          <w:bCs/>
          <w:sz w:val="28"/>
          <w:szCs w:val="28"/>
        </w:rPr>
        <w:t>, 20</w:t>
      </w:r>
      <w:r w:rsidR="007E44D6" w:rsidRPr="00B256DE">
        <w:rPr>
          <w:bCs/>
          <w:sz w:val="28"/>
          <w:szCs w:val="28"/>
        </w:rPr>
        <w:t>2</w:t>
      </w:r>
      <w:r w:rsidR="00741E03">
        <w:rPr>
          <w:bCs/>
          <w:sz w:val="28"/>
          <w:szCs w:val="28"/>
        </w:rPr>
        <w:t>4</w:t>
      </w:r>
      <w:r w:rsidR="00D27B00" w:rsidRPr="00B256DE">
        <w:rPr>
          <w:bCs/>
          <w:sz w:val="28"/>
          <w:szCs w:val="28"/>
        </w:rPr>
        <w:t>,</w:t>
      </w:r>
      <w:r w:rsidR="00C41CA7" w:rsidRPr="00B256DE">
        <w:rPr>
          <w:bCs/>
          <w:sz w:val="28"/>
          <w:szCs w:val="28"/>
        </w:rPr>
        <w:t xml:space="preserve"> and that the </w:t>
      </w:r>
      <w:r w:rsidR="000E7EE1" w:rsidRPr="00B256DE">
        <w:rPr>
          <w:bCs/>
          <w:sz w:val="28"/>
          <w:szCs w:val="28"/>
        </w:rPr>
        <w:t>C</w:t>
      </w:r>
      <w:r w:rsidR="00C41CA7" w:rsidRPr="00B256DE">
        <w:rPr>
          <w:bCs/>
          <w:sz w:val="28"/>
          <w:szCs w:val="28"/>
        </w:rPr>
        <w:t>ourt adopt the proposed r</w:t>
      </w:r>
      <w:r w:rsidR="00DF54BF" w:rsidRPr="00B256DE">
        <w:rPr>
          <w:bCs/>
          <w:sz w:val="28"/>
          <w:szCs w:val="28"/>
        </w:rPr>
        <w:t>ule</w:t>
      </w:r>
      <w:r w:rsidR="007E3B02" w:rsidRPr="00B256DE">
        <w:rPr>
          <w:bCs/>
          <w:sz w:val="28"/>
          <w:szCs w:val="28"/>
        </w:rPr>
        <w:t xml:space="preserve"> as presented</w:t>
      </w:r>
      <w:r w:rsidR="00B12BA8" w:rsidRPr="00B256DE">
        <w:rPr>
          <w:bCs/>
          <w:sz w:val="28"/>
          <w:szCs w:val="28"/>
        </w:rPr>
        <w:t>,</w:t>
      </w:r>
      <w:r w:rsidR="00C41CA7" w:rsidRPr="00B256DE">
        <w:rPr>
          <w:bCs/>
          <w:sz w:val="28"/>
          <w:szCs w:val="28"/>
        </w:rPr>
        <w:t xml:space="preserve"> or as modified in light of comments received from the public</w:t>
      </w:r>
      <w:r w:rsidR="00CB085A" w:rsidRPr="00B256DE">
        <w:rPr>
          <w:bCs/>
          <w:sz w:val="28"/>
          <w:szCs w:val="28"/>
        </w:rPr>
        <w:t xml:space="preserve"> and any replies</w:t>
      </w:r>
      <w:r w:rsidR="00C41CA7" w:rsidRPr="00B256DE">
        <w:rPr>
          <w:bCs/>
          <w:sz w:val="28"/>
          <w:szCs w:val="28"/>
        </w:rPr>
        <w:t>, with an effective date of January 1, 20</w:t>
      </w:r>
      <w:r w:rsidR="00EB028F" w:rsidRPr="00B256DE">
        <w:rPr>
          <w:bCs/>
          <w:sz w:val="28"/>
          <w:szCs w:val="28"/>
        </w:rPr>
        <w:t>2</w:t>
      </w:r>
      <w:r w:rsidR="00741E03">
        <w:rPr>
          <w:bCs/>
          <w:sz w:val="28"/>
          <w:szCs w:val="28"/>
        </w:rPr>
        <w:t>5</w:t>
      </w:r>
      <w:r w:rsidR="00C41CA7" w:rsidRPr="00B256DE">
        <w:rPr>
          <w:bCs/>
          <w:sz w:val="28"/>
          <w:szCs w:val="28"/>
        </w:rPr>
        <w:t>.</w:t>
      </w:r>
    </w:p>
    <w:p w14:paraId="13CD3151" w14:textId="1A2C5519" w:rsidR="00BF4500" w:rsidRDefault="00BF4500" w:rsidP="00BF4500">
      <w:pPr>
        <w:jc w:val="both"/>
        <w:rPr>
          <w:sz w:val="28"/>
          <w:szCs w:val="28"/>
        </w:rPr>
      </w:pPr>
      <w:r>
        <w:rPr>
          <w:sz w:val="28"/>
          <w:szCs w:val="28"/>
        </w:rPr>
        <w:t xml:space="preserve">DATED this </w:t>
      </w:r>
      <w:r w:rsidR="00B803E5">
        <w:rPr>
          <w:sz w:val="28"/>
          <w:szCs w:val="28"/>
        </w:rPr>
        <w:t>9th</w:t>
      </w:r>
      <w:r>
        <w:rPr>
          <w:sz w:val="28"/>
          <w:szCs w:val="28"/>
        </w:rPr>
        <w:t xml:space="preserve"> day of January, 202</w:t>
      </w:r>
      <w:r w:rsidR="00741E03">
        <w:rPr>
          <w:sz w:val="28"/>
          <w:szCs w:val="28"/>
        </w:rPr>
        <w:t>4</w:t>
      </w:r>
      <w:r>
        <w:rPr>
          <w:sz w:val="28"/>
          <w:szCs w:val="28"/>
        </w:rPr>
        <w:t>.</w:t>
      </w:r>
    </w:p>
    <w:p w14:paraId="41E9B835" w14:textId="77777777" w:rsidR="00BF4500" w:rsidRDefault="00BF4500" w:rsidP="00BF4500">
      <w:pPr>
        <w:spacing w:before="120"/>
        <w:jc w:val="both"/>
        <w:rPr>
          <w:sz w:val="28"/>
          <w:szCs w:val="28"/>
        </w:rPr>
      </w:pPr>
      <w:r>
        <w:rPr>
          <w:sz w:val="28"/>
          <w:szCs w:val="28"/>
        </w:rPr>
        <w:tab/>
      </w:r>
      <w:r>
        <w:rPr>
          <w:sz w:val="28"/>
          <w:szCs w:val="28"/>
        </w:rPr>
        <w:tab/>
      </w:r>
      <w:r>
        <w:rPr>
          <w:sz w:val="28"/>
          <w:szCs w:val="28"/>
        </w:rPr>
        <w:tab/>
      </w:r>
      <w:r>
        <w:rPr>
          <w:sz w:val="28"/>
          <w:szCs w:val="28"/>
        </w:rPr>
        <w:tab/>
      </w:r>
      <w:r>
        <w:rPr>
          <w:i/>
          <w:sz w:val="28"/>
          <w:szCs w:val="28"/>
        </w:rPr>
        <w:t>_/s/ Sara J. Agne_____</w:t>
      </w:r>
      <w:r>
        <w:rPr>
          <w:sz w:val="28"/>
          <w:szCs w:val="28"/>
        </w:rPr>
        <w:t>__________</w:t>
      </w:r>
    </w:p>
    <w:p w14:paraId="1D2AE09E" w14:textId="2684240A" w:rsidR="00BF4500" w:rsidRDefault="00BF4500" w:rsidP="00B803E5">
      <w:pPr>
        <w:spacing w:after="120"/>
        <w:jc w:val="both"/>
        <w:rPr>
          <w:sz w:val="28"/>
          <w:szCs w:val="28"/>
        </w:rPr>
      </w:pPr>
      <w:r>
        <w:rPr>
          <w:sz w:val="28"/>
          <w:szCs w:val="28"/>
        </w:rPr>
        <w:tab/>
      </w:r>
      <w:r>
        <w:rPr>
          <w:sz w:val="28"/>
          <w:szCs w:val="28"/>
        </w:rPr>
        <w:tab/>
      </w:r>
      <w:r>
        <w:rPr>
          <w:sz w:val="28"/>
          <w:szCs w:val="28"/>
        </w:rPr>
        <w:tab/>
      </w:r>
      <w:r>
        <w:rPr>
          <w:sz w:val="28"/>
          <w:szCs w:val="28"/>
        </w:rPr>
        <w:tab/>
        <w:t>Sara J. Agne</w:t>
      </w:r>
      <w:r w:rsidR="00B803E5">
        <w:rPr>
          <w:sz w:val="28"/>
          <w:szCs w:val="28"/>
        </w:rPr>
        <w:t xml:space="preserve">, </w:t>
      </w:r>
      <w:r>
        <w:rPr>
          <w:sz w:val="28"/>
          <w:szCs w:val="28"/>
        </w:rPr>
        <w:t>Co-Chair</w:t>
      </w:r>
    </w:p>
    <w:p w14:paraId="10F7CE11" w14:textId="77777777" w:rsidR="00BF4500" w:rsidRDefault="00BF4500" w:rsidP="00BF4500">
      <w:pPr>
        <w:jc w:val="both"/>
        <w:rPr>
          <w:sz w:val="28"/>
          <w:szCs w:val="28"/>
        </w:rPr>
      </w:pPr>
      <w:r>
        <w:rPr>
          <w:sz w:val="28"/>
          <w:szCs w:val="28"/>
        </w:rPr>
        <w:t xml:space="preserve">                                         _</w:t>
      </w:r>
      <w:r>
        <w:rPr>
          <w:i/>
          <w:iCs/>
          <w:sz w:val="28"/>
          <w:szCs w:val="28"/>
        </w:rPr>
        <w:t>/s/ Maria Elena Cruz w/ permission</w:t>
      </w:r>
      <w:r>
        <w:rPr>
          <w:sz w:val="28"/>
          <w:szCs w:val="28"/>
        </w:rPr>
        <w:t>______</w:t>
      </w:r>
    </w:p>
    <w:p w14:paraId="0DA90C4A" w14:textId="77777777" w:rsidR="00BF4500" w:rsidRDefault="00BF4500" w:rsidP="00BF4500">
      <w:pPr>
        <w:jc w:val="both"/>
        <w:rPr>
          <w:sz w:val="28"/>
          <w:szCs w:val="28"/>
        </w:rPr>
      </w:pPr>
      <w:r>
        <w:rPr>
          <w:sz w:val="28"/>
          <w:szCs w:val="28"/>
        </w:rPr>
        <w:t xml:space="preserve">                                         Maria Elena Cruz</w:t>
      </w:r>
    </w:p>
    <w:p w14:paraId="42356FC3" w14:textId="29492982" w:rsidR="0041229A" w:rsidRPr="00B256DE" w:rsidRDefault="00BF4500" w:rsidP="00BF4500">
      <w:pPr>
        <w:spacing w:line="480" w:lineRule="auto"/>
        <w:jc w:val="both"/>
        <w:rPr>
          <w:sz w:val="28"/>
          <w:szCs w:val="28"/>
        </w:rPr>
      </w:pPr>
      <w:r>
        <w:rPr>
          <w:sz w:val="28"/>
          <w:szCs w:val="28"/>
        </w:rPr>
        <w:t xml:space="preserve">                                         Co-Chair, Advisory Committee on Rules of Evidence</w:t>
      </w:r>
    </w:p>
    <w:p w14:paraId="170D6130" w14:textId="77777777" w:rsidR="00716C66" w:rsidRPr="00B256DE" w:rsidRDefault="00716C66">
      <w:pPr>
        <w:rPr>
          <w:sz w:val="28"/>
          <w:szCs w:val="28"/>
        </w:rPr>
      </w:pPr>
      <w:r w:rsidRPr="00B256DE">
        <w:rPr>
          <w:sz w:val="28"/>
          <w:szCs w:val="28"/>
        </w:rPr>
        <w:br w:type="page"/>
      </w:r>
    </w:p>
    <w:p w14:paraId="71675BE8" w14:textId="2ABD6A9E" w:rsidR="0091039C" w:rsidRDefault="0091039C" w:rsidP="00BF4500">
      <w:pPr>
        <w:widowControl w:val="0"/>
        <w:autoSpaceDE w:val="0"/>
        <w:autoSpaceDN w:val="0"/>
        <w:adjustRightInd w:val="0"/>
        <w:jc w:val="center"/>
        <w:rPr>
          <w:b/>
          <w:bCs/>
          <w:sz w:val="28"/>
          <w:szCs w:val="28"/>
        </w:rPr>
      </w:pPr>
      <w:r w:rsidRPr="00B256DE">
        <w:rPr>
          <w:b/>
          <w:bCs/>
          <w:sz w:val="28"/>
          <w:szCs w:val="28"/>
        </w:rPr>
        <w:lastRenderedPageBreak/>
        <w:t>ATTACHMENT</w:t>
      </w:r>
    </w:p>
    <w:p w14:paraId="2CB81EA7" w14:textId="6A2AFAF8" w:rsidR="00BF4500" w:rsidRDefault="00BF4500" w:rsidP="00BF4500">
      <w:pPr>
        <w:widowControl w:val="0"/>
        <w:autoSpaceDE w:val="0"/>
        <w:autoSpaceDN w:val="0"/>
        <w:adjustRightInd w:val="0"/>
        <w:jc w:val="center"/>
        <w:rPr>
          <w:b/>
          <w:bCs/>
          <w:sz w:val="28"/>
          <w:szCs w:val="28"/>
        </w:rPr>
      </w:pPr>
    </w:p>
    <w:p w14:paraId="0DEAF674" w14:textId="2C3770B4" w:rsidR="00BF4500" w:rsidRPr="00714F7E" w:rsidRDefault="00714F7E" w:rsidP="00BF4500">
      <w:pPr>
        <w:widowControl w:val="0"/>
        <w:autoSpaceDE w:val="0"/>
        <w:autoSpaceDN w:val="0"/>
        <w:adjustRightInd w:val="0"/>
        <w:jc w:val="center"/>
        <w:rPr>
          <w:sz w:val="28"/>
          <w:szCs w:val="28"/>
          <w:u w:val="single"/>
        </w:rPr>
      </w:pPr>
      <w:r w:rsidRPr="00714F7E">
        <w:rPr>
          <w:b/>
          <w:bCs/>
          <w:sz w:val="28"/>
          <w:szCs w:val="28"/>
          <w:u w:val="single"/>
        </w:rPr>
        <w:t xml:space="preserve">Proposed </w:t>
      </w:r>
      <w:r w:rsidR="00BF4500" w:rsidRPr="00714F7E">
        <w:rPr>
          <w:b/>
          <w:bCs/>
          <w:sz w:val="28"/>
          <w:szCs w:val="28"/>
          <w:u w:val="single"/>
        </w:rPr>
        <w:t>A</w:t>
      </w:r>
      <w:r>
        <w:rPr>
          <w:b/>
          <w:bCs/>
          <w:sz w:val="28"/>
          <w:szCs w:val="28"/>
          <w:u w:val="single"/>
        </w:rPr>
        <w:t>rizona Rule of Evidence</w:t>
      </w:r>
      <w:r w:rsidR="00BF4500" w:rsidRPr="00714F7E">
        <w:rPr>
          <w:b/>
          <w:bCs/>
          <w:sz w:val="28"/>
          <w:szCs w:val="28"/>
          <w:u w:val="single"/>
        </w:rPr>
        <w:t xml:space="preserve"> </w:t>
      </w:r>
      <w:r w:rsidR="00741E03" w:rsidRPr="00714F7E">
        <w:rPr>
          <w:b/>
          <w:bCs/>
          <w:sz w:val="28"/>
          <w:szCs w:val="28"/>
          <w:u w:val="single"/>
        </w:rPr>
        <w:t>412</w:t>
      </w:r>
    </w:p>
    <w:p w14:paraId="61DEEEA2" w14:textId="33DCC79D" w:rsidR="00FF3ADB" w:rsidRDefault="00FF3ADB" w:rsidP="00FF3ADB">
      <w:pPr>
        <w:autoSpaceDE w:val="0"/>
        <w:autoSpaceDN w:val="0"/>
        <w:adjustRightInd w:val="0"/>
        <w:rPr>
          <w:sz w:val="28"/>
          <w:szCs w:val="28"/>
        </w:rPr>
      </w:pPr>
    </w:p>
    <w:p w14:paraId="37E2982B" w14:textId="76118FBF" w:rsidR="00714F7E" w:rsidRPr="00714F7E" w:rsidRDefault="00714F7E" w:rsidP="00714F7E">
      <w:pPr>
        <w:autoSpaceDE w:val="0"/>
        <w:autoSpaceDN w:val="0"/>
        <w:adjustRightInd w:val="0"/>
        <w:jc w:val="center"/>
        <w:rPr>
          <w:b/>
          <w:bCs/>
          <w:strike/>
          <w:sz w:val="28"/>
          <w:szCs w:val="28"/>
        </w:rPr>
      </w:pPr>
      <w:r w:rsidRPr="00714F7E">
        <w:rPr>
          <w:b/>
          <w:bCs/>
          <w:strike/>
          <w:sz w:val="28"/>
          <w:szCs w:val="28"/>
        </w:rPr>
        <w:t>Rule 412. Sex-Offense Cases: The Victim’s Sexual Behavior or Predisposition</w:t>
      </w:r>
    </w:p>
    <w:p w14:paraId="1AC492BE" w14:textId="023E3C59" w:rsidR="00714F7E" w:rsidRPr="00714F7E" w:rsidRDefault="00714F7E" w:rsidP="00714F7E">
      <w:pPr>
        <w:autoSpaceDE w:val="0"/>
        <w:autoSpaceDN w:val="0"/>
        <w:adjustRightInd w:val="0"/>
        <w:jc w:val="center"/>
        <w:rPr>
          <w:strike/>
          <w:sz w:val="28"/>
          <w:szCs w:val="28"/>
        </w:rPr>
      </w:pPr>
    </w:p>
    <w:p w14:paraId="289DD416" w14:textId="43F4367E" w:rsidR="00714F7E" w:rsidRPr="00714F7E" w:rsidRDefault="00714F7E" w:rsidP="00714F7E">
      <w:pPr>
        <w:autoSpaceDE w:val="0"/>
        <w:autoSpaceDN w:val="0"/>
        <w:adjustRightInd w:val="0"/>
        <w:jc w:val="center"/>
        <w:rPr>
          <w:strike/>
          <w:sz w:val="28"/>
          <w:szCs w:val="28"/>
        </w:rPr>
      </w:pPr>
      <w:r w:rsidRPr="00714F7E">
        <w:rPr>
          <w:strike/>
          <w:sz w:val="28"/>
          <w:szCs w:val="28"/>
        </w:rPr>
        <w:t>&lt;Not adopted.&gt;</w:t>
      </w:r>
    </w:p>
    <w:p w14:paraId="05B52340" w14:textId="11160B3F" w:rsidR="00714F7E" w:rsidRDefault="00714F7E" w:rsidP="00FF3ADB">
      <w:pPr>
        <w:autoSpaceDE w:val="0"/>
        <w:autoSpaceDN w:val="0"/>
        <w:adjustRightInd w:val="0"/>
        <w:rPr>
          <w:sz w:val="28"/>
          <w:szCs w:val="28"/>
        </w:rPr>
      </w:pPr>
    </w:p>
    <w:p w14:paraId="0C848E7E" w14:textId="2AB3DD9F" w:rsidR="00E66A0A" w:rsidRPr="00714F7E" w:rsidRDefault="00E66A0A" w:rsidP="00714F7E">
      <w:pPr>
        <w:tabs>
          <w:tab w:val="left" w:pos="720"/>
        </w:tabs>
        <w:autoSpaceDE w:val="0"/>
        <w:autoSpaceDN w:val="0"/>
        <w:adjustRightInd w:val="0"/>
        <w:spacing w:before="120"/>
        <w:jc w:val="both"/>
        <w:rPr>
          <w:b/>
          <w:bCs/>
          <w:sz w:val="28"/>
          <w:szCs w:val="28"/>
        </w:rPr>
      </w:pPr>
      <w:r w:rsidRPr="00714F7E">
        <w:rPr>
          <w:b/>
          <w:bCs/>
          <w:sz w:val="28"/>
          <w:szCs w:val="28"/>
        </w:rPr>
        <w:t xml:space="preserve">Rule </w:t>
      </w:r>
      <w:r w:rsidR="00741E03" w:rsidRPr="00714F7E">
        <w:rPr>
          <w:b/>
          <w:bCs/>
          <w:sz w:val="28"/>
          <w:szCs w:val="28"/>
        </w:rPr>
        <w:t>412</w:t>
      </w:r>
      <w:r w:rsidR="00714F7E" w:rsidRPr="00714F7E">
        <w:rPr>
          <w:b/>
          <w:bCs/>
          <w:sz w:val="28"/>
          <w:szCs w:val="28"/>
        </w:rPr>
        <w:t xml:space="preserve">. </w:t>
      </w:r>
      <w:r w:rsidR="00B803E5" w:rsidRPr="00714F7E">
        <w:rPr>
          <w:b/>
          <w:bCs/>
          <w:sz w:val="28"/>
          <w:szCs w:val="28"/>
        </w:rPr>
        <w:t>The Victim’s Sexual Behavior or Predisposition in Non-Criminal Cases</w:t>
      </w:r>
    </w:p>
    <w:p w14:paraId="5D335B0C" w14:textId="6B6B8750" w:rsidR="00741E03" w:rsidRPr="00714F7E" w:rsidRDefault="00E74D0B" w:rsidP="00714F7E">
      <w:pPr>
        <w:pStyle w:val="ListParagraph"/>
        <w:numPr>
          <w:ilvl w:val="0"/>
          <w:numId w:val="18"/>
        </w:numPr>
        <w:tabs>
          <w:tab w:val="left" w:pos="720"/>
        </w:tabs>
        <w:autoSpaceDE w:val="0"/>
        <w:autoSpaceDN w:val="0"/>
        <w:adjustRightInd w:val="0"/>
        <w:spacing w:before="120"/>
        <w:jc w:val="both"/>
        <w:rPr>
          <w:sz w:val="28"/>
          <w:szCs w:val="28"/>
        </w:rPr>
      </w:pPr>
      <w:r w:rsidRPr="00714F7E">
        <w:rPr>
          <w:b/>
          <w:bCs/>
          <w:sz w:val="28"/>
          <w:szCs w:val="28"/>
        </w:rPr>
        <w:t xml:space="preserve"> </w:t>
      </w:r>
      <w:r w:rsidR="00741E03" w:rsidRPr="00714F7E">
        <w:rPr>
          <w:b/>
          <w:bCs/>
          <w:sz w:val="28"/>
          <w:szCs w:val="28"/>
        </w:rPr>
        <w:t xml:space="preserve">Prohibited Uses. </w:t>
      </w:r>
      <w:r w:rsidR="00741E03" w:rsidRPr="00714F7E">
        <w:rPr>
          <w:sz w:val="28"/>
          <w:szCs w:val="28"/>
        </w:rPr>
        <w:t>In proceedings involving alleged sexual misconduct where A.R.S. § 13-1421 does not apply, the following evidence is not admissible:</w:t>
      </w:r>
    </w:p>
    <w:p w14:paraId="1638D618" w14:textId="77777777" w:rsidR="00741E03" w:rsidRPr="00714F7E" w:rsidRDefault="00741E03" w:rsidP="00714F7E">
      <w:pPr>
        <w:pStyle w:val="ListParagraph"/>
        <w:numPr>
          <w:ilvl w:val="0"/>
          <w:numId w:val="19"/>
        </w:numPr>
        <w:tabs>
          <w:tab w:val="left" w:pos="720"/>
        </w:tabs>
        <w:autoSpaceDE w:val="0"/>
        <w:autoSpaceDN w:val="0"/>
        <w:adjustRightInd w:val="0"/>
        <w:spacing w:before="120"/>
        <w:jc w:val="both"/>
        <w:rPr>
          <w:sz w:val="28"/>
          <w:szCs w:val="28"/>
        </w:rPr>
      </w:pPr>
      <w:r w:rsidRPr="00714F7E">
        <w:rPr>
          <w:sz w:val="28"/>
          <w:szCs w:val="28"/>
        </w:rPr>
        <w:t>evidence offered to prove that a victim engaged in other sexual behavior; or</w:t>
      </w:r>
    </w:p>
    <w:p w14:paraId="1D7A1E6D" w14:textId="77777777" w:rsidR="00741E03" w:rsidRPr="00714F7E" w:rsidRDefault="00741E03" w:rsidP="00714F7E">
      <w:pPr>
        <w:pStyle w:val="ListParagraph"/>
        <w:numPr>
          <w:ilvl w:val="0"/>
          <w:numId w:val="19"/>
        </w:numPr>
        <w:tabs>
          <w:tab w:val="left" w:pos="720"/>
        </w:tabs>
        <w:autoSpaceDE w:val="0"/>
        <w:autoSpaceDN w:val="0"/>
        <w:adjustRightInd w:val="0"/>
        <w:spacing w:before="120"/>
        <w:jc w:val="both"/>
        <w:rPr>
          <w:sz w:val="28"/>
          <w:szCs w:val="28"/>
        </w:rPr>
      </w:pPr>
      <w:r w:rsidRPr="00714F7E">
        <w:rPr>
          <w:sz w:val="28"/>
          <w:szCs w:val="28"/>
        </w:rPr>
        <w:t>evidence offered to prove a victim’s sexual predisposition.</w:t>
      </w:r>
    </w:p>
    <w:p w14:paraId="77BF269C" w14:textId="6D803B30" w:rsidR="00741E03" w:rsidRPr="00714F7E" w:rsidRDefault="00E74D0B" w:rsidP="00714F7E">
      <w:pPr>
        <w:pStyle w:val="ListParagraph"/>
        <w:numPr>
          <w:ilvl w:val="0"/>
          <w:numId w:val="18"/>
        </w:numPr>
        <w:tabs>
          <w:tab w:val="left" w:pos="720"/>
        </w:tabs>
        <w:autoSpaceDE w:val="0"/>
        <w:autoSpaceDN w:val="0"/>
        <w:adjustRightInd w:val="0"/>
        <w:spacing w:before="120"/>
        <w:jc w:val="both"/>
        <w:rPr>
          <w:sz w:val="28"/>
          <w:szCs w:val="28"/>
        </w:rPr>
      </w:pPr>
      <w:r w:rsidRPr="00714F7E">
        <w:rPr>
          <w:b/>
          <w:bCs/>
          <w:sz w:val="28"/>
          <w:szCs w:val="28"/>
        </w:rPr>
        <w:t xml:space="preserve"> </w:t>
      </w:r>
      <w:r w:rsidR="00741E03" w:rsidRPr="00714F7E">
        <w:rPr>
          <w:b/>
          <w:bCs/>
          <w:sz w:val="28"/>
          <w:szCs w:val="28"/>
        </w:rPr>
        <w:t>Exceptions.</w:t>
      </w:r>
      <w:r w:rsidR="00741E03" w:rsidRPr="00714F7E">
        <w:rPr>
          <w:sz w:val="28"/>
          <w:szCs w:val="28"/>
        </w:rPr>
        <w:t xml:space="preserve"> The court may admit evidence offered to prove a victim’s sexual behavior or sexual predisposition if its probative value substantially outweighs the danger of harm to any victim and of unfair prejudice to any party. The court may admit evidence of a victim’s reputation only if the victim has placed it in controversy. </w:t>
      </w:r>
    </w:p>
    <w:p w14:paraId="6F590157" w14:textId="77777777" w:rsidR="00714F7E" w:rsidRDefault="00714F7E" w:rsidP="00714F7E">
      <w:pPr>
        <w:autoSpaceDE w:val="0"/>
        <w:autoSpaceDN w:val="0"/>
        <w:adjustRightInd w:val="0"/>
        <w:spacing w:before="120"/>
        <w:jc w:val="center"/>
        <w:rPr>
          <w:b/>
          <w:bCs/>
          <w:sz w:val="28"/>
          <w:szCs w:val="28"/>
        </w:rPr>
      </w:pPr>
    </w:p>
    <w:p w14:paraId="028AAA3E" w14:textId="02075BCA" w:rsidR="00062089" w:rsidRPr="00714F7E" w:rsidRDefault="00BF4500" w:rsidP="00714F7E">
      <w:pPr>
        <w:autoSpaceDE w:val="0"/>
        <w:autoSpaceDN w:val="0"/>
        <w:adjustRightInd w:val="0"/>
        <w:spacing w:before="120"/>
        <w:jc w:val="center"/>
        <w:rPr>
          <w:b/>
          <w:bCs/>
          <w:sz w:val="28"/>
          <w:szCs w:val="28"/>
        </w:rPr>
      </w:pPr>
      <w:r w:rsidRPr="00714F7E">
        <w:rPr>
          <w:b/>
          <w:bCs/>
          <w:sz w:val="28"/>
          <w:szCs w:val="28"/>
        </w:rPr>
        <w:t>COMMENT TO 202</w:t>
      </w:r>
      <w:r w:rsidR="00741E03" w:rsidRPr="00714F7E">
        <w:rPr>
          <w:b/>
          <w:bCs/>
          <w:sz w:val="28"/>
          <w:szCs w:val="28"/>
        </w:rPr>
        <w:t>5</w:t>
      </w:r>
      <w:r w:rsidRPr="00714F7E">
        <w:rPr>
          <w:b/>
          <w:bCs/>
          <w:sz w:val="28"/>
          <w:szCs w:val="28"/>
        </w:rPr>
        <w:t xml:space="preserve"> AMENDMENT</w:t>
      </w:r>
    </w:p>
    <w:p w14:paraId="5D62DCF7" w14:textId="274425A1" w:rsidR="00741E03" w:rsidRPr="00714F7E" w:rsidRDefault="00B803E5" w:rsidP="00714F7E">
      <w:pPr>
        <w:autoSpaceDE w:val="0"/>
        <w:autoSpaceDN w:val="0"/>
        <w:adjustRightInd w:val="0"/>
        <w:spacing w:before="120"/>
        <w:ind w:firstLine="720"/>
        <w:jc w:val="both"/>
        <w:rPr>
          <w:sz w:val="28"/>
          <w:szCs w:val="28"/>
        </w:rPr>
      </w:pPr>
      <w:r w:rsidRPr="00714F7E">
        <w:rPr>
          <w:sz w:val="28"/>
          <w:szCs w:val="28"/>
        </w:rPr>
        <w:t>R</w:t>
      </w:r>
      <w:r w:rsidR="00741E03" w:rsidRPr="00714F7E">
        <w:rPr>
          <w:sz w:val="28"/>
          <w:szCs w:val="28"/>
        </w:rPr>
        <w:t xml:space="preserve">ule 412 was </w:t>
      </w:r>
      <w:r w:rsidR="00AA76E5" w:rsidRPr="00714F7E">
        <w:rPr>
          <w:sz w:val="28"/>
          <w:szCs w:val="28"/>
        </w:rPr>
        <w:t>adopted</w:t>
      </w:r>
      <w:r w:rsidR="00741E03" w:rsidRPr="00714F7E">
        <w:rPr>
          <w:sz w:val="28"/>
          <w:szCs w:val="28"/>
        </w:rPr>
        <w:t xml:space="preserve"> effective January 1, 2025, to conform to Federal Rule of Evidence 412 in cases where A.R.S. § 13-1421 (Evidence relating to victim’s chastity; pretrial hearing) does not apply.</w:t>
      </w:r>
    </w:p>
    <w:p w14:paraId="370877B6" w14:textId="34C3DD94" w:rsidR="004D5499" w:rsidRPr="00714F7E" w:rsidRDefault="004D5499" w:rsidP="00062089">
      <w:pPr>
        <w:autoSpaceDE w:val="0"/>
        <w:autoSpaceDN w:val="0"/>
        <w:adjustRightInd w:val="0"/>
        <w:rPr>
          <w:sz w:val="28"/>
          <w:szCs w:val="28"/>
        </w:rPr>
      </w:pPr>
    </w:p>
    <w:sectPr w:rsidR="004D5499" w:rsidRPr="00714F7E"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CD28" w14:textId="77777777" w:rsidR="00045350" w:rsidRDefault="00045350">
      <w:r>
        <w:separator/>
      </w:r>
    </w:p>
  </w:endnote>
  <w:endnote w:type="continuationSeparator" w:id="0">
    <w:p w14:paraId="0E246356" w14:textId="77777777" w:rsidR="00045350" w:rsidRDefault="0004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21DF" w14:textId="77777777" w:rsidR="00045350" w:rsidRDefault="00045350">
      <w:r>
        <w:separator/>
      </w:r>
    </w:p>
  </w:footnote>
  <w:footnote w:type="continuationSeparator" w:id="0">
    <w:p w14:paraId="295F9886" w14:textId="77777777" w:rsidR="00045350" w:rsidRDefault="0004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519F"/>
    <w:multiLevelType w:val="hybridMultilevel"/>
    <w:tmpl w:val="BC0CC1F4"/>
    <w:lvl w:ilvl="0" w:tplc="FFFFFFFF">
      <w:start w:val="1"/>
      <w:numFmt w:val="lowerLetter"/>
      <w:lvlText w:val="(%1)"/>
      <w:lvlJc w:val="left"/>
      <w:pPr>
        <w:ind w:left="1440" w:hanging="360"/>
      </w:pPr>
      <w:rPr>
        <w:rFonts w:ascii="Times New Roman" w:eastAsia="Times New Roman" w:hAnsi="Times New Roman" w:cs="Times New Roman"/>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6" w15:restartNumberingAfterBreak="0">
    <w:nsid w:val="3C746A31"/>
    <w:multiLevelType w:val="hybridMultilevel"/>
    <w:tmpl w:val="139A5682"/>
    <w:lvl w:ilvl="0" w:tplc="4CCA4680">
      <w:start w:val="1"/>
      <w:numFmt w:val="decimal"/>
      <w:lvlText w:val="(%1)"/>
      <w:lvlJc w:val="left"/>
      <w:pPr>
        <w:ind w:left="1800" w:hanging="360"/>
      </w:pPr>
      <w:rPr>
        <w:rFonts w:hint="default"/>
        <w:b/>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B57954"/>
    <w:multiLevelType w:val="hybridMultilevel"/>
    <w:tmpl w:val="BC0CC1F4"/>
    <w:lvl w:ilvl="0" w:tplc="3580B988">
      <w:start w:val="1"/>
      <w:numFmt w:val="lowerLetter"/>
      <w:lvlText w:val="(%1)"/>
      <w:lvlJc w:val="left"/>
      <w:pPr>
        <w:ind w:left="1440" w:hanging="360"/>
      </w:pPr>
      <w:rPr>
        <w:rFonts w:ascii="Times New Roman" w:eastAsia="Times New Roman" w:hAnsi="Times New Roman"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18784A"/>
    <w:multiLevelType w:val="hybridMultilevel"/>
    <w:tmpl w:val="9B1616D8"/>
    <w:lvl w:ilvl="0" w:tplc="C83AF650">
      <w:start w:val="1"/>
      <w:numFmt w:val="decimal"/>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7"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35C69"/>
    <w:multiLevelType w:val="hybridMultilevel"/>
    <w:tmpl w:val="F25E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214115">
    <w:abstractNumId w:val="5"/>
  </w:num>
  <w:num w:numId="2" w16cid:durableId="1568417226">
    <w:abstractNumId w:val="11"/>
  </w:num>
  <w:num w:numId="3" w16cid:durableId="2051610167">
    <w:abstractNumId w:val="14"/>
  </w:num>
  <w:num w:numId="4" w16cid:durableId="369376283">
    <w:abstractNumId w:val="2"/>
  </w:num>
  <w:num w:numId="5" w16cid:durableId="298651291">
    <w:abstractNumId w:val="16"/>
  </w:num>
  <w:num w:numId="6" w16cid:durableId="688945696">
    <w:abstractNumId w:val="12"/>
  </w:num>
  <w:num w:numId="7" w16cid:durableId="1363241320">
    <w:abstractNumId w:val="7"/>
  </w:num>
  <w:num w:numId="8" w16cid:durableId="2060586680">
    <w:abstractNumId w:val="10"/>
  </w:num>
  <w:num w:numId="9" w16cid:durableId="795833575">
    <w:abstractNumId w:val="9"/>
  </w:num>
  <w:num w:numId="10" w16cid:durableId="145047591">
    <w:abstractNumId w:val="17"/>
  </w:num>
  <w:num w:numId="11" w16cid:durableId="92556548">
    <w:abstractNumId w:val="3"/>
  </w:num>
  <w:num w:numId="12" w16cid:durableId="256138753">
    <w:abstractNumId w:val="8"/>
  </w:num>
  <w:num w:numId="13" w16cid:durableId="821579209">
    <w:abstractNumId w:val="4"/>
  </w:num>
  <w:num w:numId="14" w16cid:durableId="1490901515">
    <w:abstractNumId w:val="13"/>
  </w:num>
  <w:num w:numId="15" w16cid:durableId="1294286961">
    <w:abstractNumId w:val="1"/>
  </w:num>
  <w:num w:numId="16" w16cid:durableId="1174881598">
    <w:abstractNumId w:val="15"/>
  </w:num>
  <w:num w:numId="17" w16cid:durableId="1012607174">
    <w:abstractNumId w:val="18"/>
  </w:num>
  <w:num w:numId="18" w16cid:durableId="2117023372">
    <w:abstractNumId w:val="0"/>
  </w:num>
  <w:num w:numId="19" w16cid:durableId="813185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4F13"/>
    <w:rsid w:val="00016835"/>
    <w:rsid w:val="0002547F"/>
    <w:rsid w:val="000409A2"/>
    <w:rsid w:val="00041FC5"/>
    <w:rsid w:val="0004337F"/>
    <w:rsid w:val="00045350"/>
    <w:rsid w:val="000476BF"/>
    <w:rsid w:val="00062089"/>
    <w:rsid w:val="00063A90"/>
    <w:rsid w:val="00064955"/>
    <w:rsid w:val="00070435"/>
    <w:rsid w:val="0008673B"/>
    <w:rsid w:val="00094B58"/>
    <w:rsid w:val="000A717F"/>
    <w:rsid w:val="000B2CEB"/>
    <w:rsid w:val="000B659A"/>
    <w:rsid w:val="000B7448"/>
    <w:rsid w:val="000C5CB0"/>
    <w:rsid w:val="000E37DB"/>
    <w:rsid w:val="000E3B3A"/>
    <w:rsid w:val="000E640E"/>
    <w:rsid w:val="000E7EE1"/>
    <w:rsid w:val="000F73BB"/>
    <w:rsid w:val="00101F9C"/>
    <w:rsid w:val="00112975"/>
    <w:rsid w:val="00114090"/>
    <w:rsid w:val="00120C0B"/>
    <w:rsid w:val="001239F6"/>
    <w:rsid w:val="00130FC7"/>
    <w:rsid w:val="00135C63"/>
    <w:rsid w:val="00136E3E"/>
    <w:rsid w:val="001451DE"/>
    <w:rsid w:val="001464F3"/>
    <w:rsid w:val="0015408D"/>
    <w:rsid w:val="001551BA"/>
    <w:rsid w:val="00194284"/>
    <w:rsid w:val="00194E85"/>
    <w:rsid w:val="001966BD"/>
    <w:rsid w:val="001A3658"/>
    <w:rsid w:val="001A7EF9"/>
    <w:rsid w:val="001B030F"/>
    <w:rsid w:val="001B1426"/>
    <w:rsid w:val="001B6095"/>
    <w:rsid w:val="001C49BB"/>
    <w:rsid w:val="001C7389"/>
    <w:rsid w:val="001E0228"/>
    <w:rsid w:val="001E171A"/>
    <w:rsid w:val="001E46BA"/>
    <w:rsid w:val="001E5139"/>
    <w:rsid w:val="001F3F71"/>
    <w:rsid w:val="0020422E"/>
    <w:rsid w:val="00204415"/>
    <w:rsid w:val="00204848"/>
    <w:rsid w:val="00206EE6"/>
    <w:rsid w:val="002166E4"/>
    <w:rsid w:val="00246E9A"/>
    <w:rsid w:val="00251D2C"/>
    <w:rsid w:val="002545BD"/>
    <w:rsid w:val="00254E37"/>
    <w:rsid w:val="0027191B"/>
    <w:rsid w:val="00272AD8"/>
    <w:rsid w:val="0028442C"/>
    <w:rsid w:val="00286573"/>
    <w:rsid w:val="00291B34"/>
    <w:rsid w:val="0029218E"/>
    <w:rsid w:val="00294568"/>
    <w:rsid w:val="002954B2"/>
    <w:rsid w:val="002967EB"/>
    <w:rsid w:val="0029769D"/>
    <w:rsid w:val="002A3826"/>
    <w:rsid w:val="002A62C5"/>
    <w:rsid w:val="002C260D"/>
    <w:rsid w:val="002D22D6"/>
    <w:rsid w:val="002D5B9B"/>
    <w:rsid w:val="002E475E"/>
    <w:rsid w:val="0030696F"/>
    <w:rsid w:val="0031002A"/>
    <w:rsid w:val="00311D4B"/>
    <w:rsid w:val="00316C1C"/>
    <w:rsid w:val="00321B38"/>
    <w:rsid w:val="00327FF9"/>
    <w:rsid w:val="00335AF8"/>
    <w:rsid w:val="00352D09"/>
    <w:rsid w:val="00363ABB"/>
    <w:rsid w:val="003815A3"/>
    <w:rsid w:val="00381690"/>
    <w:rsid w:val="00382EE8"/>
    <w:rsid w:val="00384804"/>
    <w:rsid w:val="00384D36"/>
    <w:rsid w:val="00395568"/>
    <w:rsid w:val="003A171B"/>
    <w:rsid w:val="003A5F66"/>
    <w:rsid w:val="003B73EF"/>
    <w:rsid w:val="003C2264"/>
    <w:rsid w:val="003C307E"/>
    <w:rsid w:val="003C429B"/>
    <w:rsid w:val="003C7139"/>
    <w:rsid w:val="003D73E0"/>
    <w:rsid w:val="003F21F0"/>
    <w:rsid w:val="004057D7"/>
    <w:rsid w:val="00407011"/>
    <w:rsid w:val="0041229A"/>
    <w:rsid w:val="0041390C"/>
    <w:rsid w:val="00415027"/>
    <w:rsid w:val="0042727A"/>
    <w:rsid w:val="00430699"/>
    <w:rsid w:val="00432A28"/>
    <w:rsid w:val="00434DBF"/>
    <w:rsid w:val="004401D5"/>
    <w:rsid w:val="004462DA"/>
    <w:rsid w:val="00450A4A"/>
    <w:rsid w:val="00452A0D"/>
    <w:rsid w:val="00452E32"/>
    <w:rsid w:val="0046620F"/>
    <w:rsid w:val="00466D75"/>
    <w:rsid w:val="00474870"/>
    <w:rsid w:val="00475773"/>
    <w:rsid w:val="004825C5"/>
    <w:rsid w:val="00485F4A"/>
    <w:rsid w:val="00494527"/>
    <w:rsid w:val="004A330A"/>
    <w:rsid w:val="004D5214"/>
    <w:rsid w:val="004D5499"/>
    <w:rsid w:val="004F26BF"/>
    <w:rsid w:val="004F57C6"/>
    <w:rsid w:val="00516E1B"/>
    <w:rsid w:val="00516E35"/>
    <w:rsid w:val="00544249"/>
    <w:rsid w:val="00562710"/>
    <w:rsid w:val="0057310B"/>
    <w:rsid w:val="005A7BDB"/>
    <w:rsid w:val="005C08D4"/>
    <w:rsid w:val="005C470C"/>
    <w:rsid w:val="005C7C06"/>
    <w:rsid w:val="005D03AF"/>
    <w:rsid w:val="005D2313"/>
    <w:rsid w:val="005F11EA"/>
    <w:rsid w:val="005F16D3"/>
    <w:rsid w:val="005F3D17"/>
    <w:rsid w:val="005F5894"/>
    <w:rsid w:val="005F7BBA"/>
    <w:rsid w:val="006007F5"/>
    <w:rsid w:val="00600D63"/>
    <w:rsid w:val="0060188F"/>
    <w:rsid w:val="006052DE"/>
    <w:rsid w:val="00605591"/>
    <w:rsid w:val="006072CC"/>
    <w:rsid w:val="0061354D"/>
    <w:rsid w:val="0061656B"/>
    <w:rsid w:val="00623CFC"/>
    <w:rsid w:val="006356D7"/>
    <w:rsid w:val="00642063"/>
    <w:rsid w:val="00656710"/>
    <w:rsid w:val="00657E55"/>
    <w:rsid w:val="00660C0F"/>
    <w:rsid w:val="00672F03"/>
    <w:rsid w:val="00681559"/>
    <w:rsid w:val="00694022"/>
    <w:rsid w:val="00695322"/>
    <w:rsid w:val="006A2979"/>
    <w:rsid w:val="006A51FD"/>
    <w:rsid w:val="006B023A"/>
    <w:rsid w:val="006B4552"/>
    <w:rsid w:val="006D5FFA"/>
    <w:rsid w:val="006E3663"/>
    <w:rsid w:val="006F60FA"/>
    <w:rsid w:val="007070B0"/>
    <w:rsid w:val="00712033"/>
    <w:rsid w:val="00714F7E"/>
    <w:rsid w:val="00716C66"/>
    <w:rsid w:val="00722100"/>
    <w:rsid w:val="00726D5D"/>
    <w:rsid w:val="0073636D"/>
    <w:rsid w:val="007406F1"/>
    <w:rsid w:val="00741E03"/>
    <w:rsid w:val="00742558"/>
    <w:rsid w:val="00753937"/>
    <w:rsid w:val="00763789"/>
    <w:rsid w:val="007640C5"/>
    <w:rsid w:val="00784B77"/>
    <w:rsid w:val="00785F30"/>
    <w:rsid w:val="00793E22"/>
    <w:rsid w:val="007A4A1D"/>
    <w:rsid w:val="007B3A55"/>
    <w:rsid w:val="007D5D7A"/>
    <w:rsid w:val="007E3B02"/>
    <w:rsid w:val="007E44D6"/>
    <w:rsid w:val="007F7F7B"/>
    <w:rsid w:val="008110D0"/>
    <w:rsid w:val="00814FA8"/>
    <w:rsid w:val="008248E9"/>
    <w:rsid w:val="00833F02"/>
    <w:rsid w:val="00851A26"/>
    <w:rsid w:val="00851AF9"/>
    <w:rsid w:val="00874930"/>
    <w:rsid w:val="0088177D"/>
    <w:rsid w:val="008908F0"/>
    <w:rsid w:val="00892F9D"/>
    <w:rsid w:val="00893543"/>
    <w:rsid w:val="008A18F8"/>
    <w:rsid w:val="008B227A"/>
    <w:rsid w:val="008B5A58"/>
    <w:rsid w:val="008C75AD"/>
    <w:rsid w:val="008D3E3D"/>
    <w:rsid w:val="008E7E85"/>
    <w:rsid w:val="008F26A1"/>
    <w:rsid w:val="008F5ED6"/>
    <w:rsid w:val="008F7375"/>
    <w:rsid w:val="00903404"/>
    <w:rsid w:val="0091039C"/>
    <w:rsid w:val="009107A9"/>
    <w:rsid w:val="00910A20"/>
    <w:rsid w:val="00910CC0"/>
    <w:rsid w:val="00911252"/>
    <w:rsid w:val="00932BE0"/>
    <w:rsid w:val="0093423A"/>
    <w:rsid w:val="00937D74"/>
    <w:rsid w:val="00946825"/>
    <w:rsid w:val="00955820"/>
    <w:rsid w:val="009667CB"/>
    <w:rsid w:val="00976F01"/>
    <w:rsid w:val="0099102F"/>
    <w:rsid w:val="00994665"/>
    <w:rsid w:val="009A2705"/>
    <w:rsid w:val="009B0D47"/>
    <w:rsid w:val="009B0EBD"/>
    <w:rsid w:val="009B3E3D"/>
    <w:rsid w:val="009C3B71"/>
    <w:rsid w:val="009D0FBC"/>
    <w:rsid w:val="009D231B"/>
    <w:rsid w:val="009F5930"/>
    <w:rsid w:val="00A01980"/>
    <w:rsid w:val="00A05FD7"/>
    <w:rsid w:val="00A125DB"/>
    <w:rsid w:val="00A22B07"/>
    <w:rsid w:val="00A25376"/>
    <w:rsid w:val="00A32156"/>
    <w:rsid w:val="00A34B57"/>
    <w:rsid w:val="00A4013E"/>
    <w:rsid w:val="00A530BF"/>
    <w:rsid w:val="00A56423"/>
    <w:rsid w:val="00A607C7"/>
    <w:rsid w:val="00A61FF5"/>
    <w:rsid w:val="00A656F0"/>
    <w:rsid w:val="00A73AC8"/>
    <w:rsid w:val="00A77D0B"/>
    <w:rsid w:val="00A81C59"/>
    <w:rsid w:val="00A828FF"/>
    <w:rsid w:val="00A929EB"/>
    <w:rsid w:val="00A92B06"/>
    <w:rsid w:val="00A95F0F"/>
    <w:rsid w:val="00AA6BB9"/>
    <w:rsid w:val="00AA76E5"/>
    <w:rsid w:val="00AA79B3"/>
    <w:rsid w:val="00AB3C45"/>
    <w:rsid w:val="00AC563F"/>
    <w:rsid w:val="00AF3BF5"/>
    <w:rsid w:val="00B021F3"/>
    <w:rsid w:val="00B11672"/>
    <w:rsid w:val="00B12BA8"/>
    <w:rsid w:val="00B23469"/>
    <w:rsid w:val="00B24DFF"/>
    <w:rsid w:val="00B256DE"/>
    <w:rsid w:val="00B3367B"/>
    <w:rsid w:val="00B35AAC"/>
    <w:rsid w:val="00B376AE"/>
    <w:rsid w:val="00B41FF0"/>
    <w:rsid w:val="00B46592"/>
    <w:rsid w:val="00B64E18"/>
    <w:rsid w:val="00B80328"/>
    <w:rsid w:val="00B803E5"/>
    <w:rsid w:val="00B8061E"/>
    <w:rsid w:val="00B91E14"/>
    <w:rsid w:val="00B91FCC"/>
    <w:rsid w:val="00B9308D"/>
    <w:rsid w:val="00B93C99"/>
    <w:rsid w:val="00BA0D86"/>
    <w:rsid w:val="00BA340C"/>
    <w:rsid w:val="00BC3783"/>
    <w:rsid w:val="00BD1C33"/>
    <w:rsid w:val="00BD373E"/>
    <w:rsid w:val="00BD3B93"/>
    <w:rsid w:val="00BE2F8C"/>
    <w:rsid w:val="00BF4500"/>
    <w:rsid w:val="00C00376"/>
    <w:rsid w:val="00C04654"/>
    <w:rsid w:val="00C06B90"/>
    <w:rsid w:val="00C0704A"/>
    <w:rsid w:val="00C10B4D"/>
    <w:rsid w:val="00C120DF"/>
    <w:rsid w:val="00C121E4"/>
    <w:rsid w:val="00C20483"/>
    <w:rsid w:val="00C25222"/>
    <w:rsid w:val="00C41CA7"/>
    <w:rsid w:val="00C85D57"/>
    <w:rsid w:val="00C87389"/>
    <w:rsid w:val="00C90839"/>
    <w:rsid w:val="00CB05DC"/>
    <w:rsid w:val="00CB085A"/>
    <w:rsid w:val="00CB69C5"/>
    <w:rsid w:val="00CC0A43"/>
    <w:rsid w:val="00CF6BC5"/>
    <w:rsid w:val="00D00830"/>
    <w:rsid w:val="00D10FA8"/>
    <w:rsid w:val="00D25ED1"/>
    <w:rsid w:val="00D27B00"/>
    <w:rsid w:val="00D27E20"/>
    <w:rsid w:val="00D34176"/>
    <w:rsid w:val="00D52EB6"/>
    <w:rsid w:val="00D52FE5"/>
    <w:rsid w:val="00D63A59"/>
    <w:rsid w:val="00D706E2"/>
    <w:rsid w:val="00D72696"/>
    <w:rsid w:val="00D8417E"/>
    <w:rsid w:val="00D87F80"/>
    <w:rsid w:val="00D90C79"/>
    <w:rsid w:val="00D930DA"/>
    <w:rsid w:val="00D94362"/>
    <w:rsid w:val="00DB06C6"/>
    <w:rsid w:val="00DB5CF9"/>
    <w:rsid w:val="00DC4A55"/>
    <w:rsid w:val="00DC5878"/>
    <w:rsid w:val="00DD540B"/>
    <w:rsid w:val="00DE1B0D"/>
    <w:rsid w:val="00DE575B"/>
    <w:rsid w:val="00DE6792"/>
    <w:rsid w:val="00DF2BB5"/>
    <w:rsid w:val="00DF3F66"/>
    <w:rsid w:val="00DF4491"/>
    <w:rsid w:val="00DF4649"/>
    <w:rsid w:val="00DF54BF"/>
    <w:rsid w:val="00DF7E61"/>
    <w:rsid w:val="00E0019F"/>
    <w:rsid w:val="00E01020"/>
    <w:rsid w:val="00E03BB6"/>
    <w:rsid w:val="00E03DC7"/>
    <w:rsid w:val="00E05418"/>
    <w:rsid w:val="00E06AFB"/>
    <w:rsid w:val="00E10DBA"/>
    <w:rsid w:val="00E318D6"/>
    <w:rsid w:val="00E32482"/>
    <w:rsid w:val="00E66A0A"/>
    <w:rsid w:val="00E66AFE"/>
    <w:rsid w:val="00E74D0B"/>
    <w:rsid w:val="00E7723D"/>
    <w:rsid w:val="00E8448E"/>
    <w:rsid w:val="00E930DA"/>
    <w:rsid w:val="00EA14C0"/>
    <w:rsid w:val="00EB028F"/>
    <w:rsid w:val="00ED04A5"/>
    <w:rsid w:val="00ED5A3B"/>
    <w:rsid w:val="00EE0A66"/>
    <w:rsid w:val="00EE0B76"/>
    <w:rsid w:val="00EE2BC2"/>
    <w:rsid w:val="00EE40B0"/>
    <w:rsid w:val="00EE40CC"/>
    <w:rsid w:val="00EE4124"/>
    <w:rsid w:val="00EE4847"/>
    <w:rsid w:val="00EE4D4F"/>
    <w:rsid w:val="00EF190C"/>
    <w:rsid w:val="00F03FDF"/>
    <w:rsid w:val="00F15D8F"/>
    <w:rsid w:val="00F26FFD"/>
    <w:rsid w:val="00F27BF6"/>
    <w:rsid w:val="00F31320"/>
    <w:rsid w:val="00F3179C"/>
    <w:rsid w:val="00F321B7"/>
    <w:rsid w:val="00F32380"/>
    <w:rsid w:val="00F33F76"/>
    <w:rsid w:val="00F37275"/>
    <w:rsid w:val="00F40359"/>
    <w:rsid w:val="00F4386D"/>
    <w:rsid w:val="00F44C05"/>
    <w:rsid w:val="00F51D92"/>
    <w:rsid w:val="00F618AD"/>
    <w:rsid w:val="00F73E2A"/>
    <w:rsid w:val="00F82A57"/>
    <w:rsid w:val="00F94293"/>
    <w:rsid w:val="00FA20F3"/>
    <w:rsid w:val="00FC0B07"/>
    <w:rsid w:val="00FC3573"/>
    <w:rsid w:val="00FC3BAC"/>
    <w:rsid w:val="00FE096C"/>
    <w:rsid w:val="00FE244A"/>
    <w:rsid w:val="00FE5750"/>
    <w:rsid w:val="00FE7840"/>
    <w:rsid w:val="00FF2B36"/>
    <w:rsid w:val="00FF304D"/>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customStyle="1" w:styleId="unlinked-ref">
    <w:name w:val="unlinked-ref"/>
    <w:basedOn w:val="DefaultParagraphFont"/>
    <w:rsid w:val="00A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1850</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11928</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11</cp:revision>
  <cp:lastPrinted>2022-09-09T15:57:00Z</cp:lastPrinted>
  <dcterms:created xsi:type="dcterms:W3CDTF">2023-11-28T17:53:00Z</dcterms:created>
  <dcterms:modified xsi:type="dcterms:W3CDTF">2024-01-10T00:27:00Z</dcterms:modified>
</cp:coreProperties>
</file>