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EFFD36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175E7C9A" w:rsidR="00A74317" w:rsidRDefault="000A2030"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70E78866"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1</w:t>
            </w:r>
            <w:r w:rsidR="00A73B82">
              <w:rPr>
                <w:rFonts w:ascii="Times New Roman" w:hAnsi="Times New Roman"/>
                <w:sz w:val="28"/>
                <w:szCs w:val="28"/>
              </w:rPr>
              <w:t>0</w:t>
            </w:r>
            <w:r w:rsidR="00D05ECB">
              <w:rPr>
                <w:rFonts w:ascii="Times New Roman" w:hAnsi="Times New Roman"/>
                <w:sz w:val="28"/>
                <w:szCs w:val="28"/>
              </w:rPr>
              <w:t>.2</w:t>
            </w:r>
            <w:r w:rsidR="00A73B82">
              <w:rPr>
                <w:rFonts w:ascii="Times New Roman" w:hAnsi="Times New Roman"/>
                <w:sz w:val="28"/>
                <w:szCs w:val="28"/>
              </w:rPr>
              <w:t>(a)</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02E15A5"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028D6AD6" w:rsidR="00DC38DE" w:rsidRPr="00F84E06" w:rsidRDefault="000B6489" w:rsidP="00C76BAA">
            <w:pPr>
              <w:pStyle w:val="SingleSpacing"/>
              <w:spacing w:line="240" w:lineRule="auto"/>
              <w:rPr>
                <w:rFonts w:ascii="Times New Roman" w:hAnsi="Times New Roman"/>
                <w:b/>
                <w:i/>
                <w:sz w:val="28"/>
                <w:szCs w:val="28"/>
              </w:rPr>
            </w:pPr>
            <w:r>
              <w:rPr>
                <w:rFonts w:ascii="Times New Roman" w:hAnsi="Times New Roman"/>
                <w:b/>
                <w:sz w:val="28"/>
                <w:szCs w:val="28"/>
              </w:rPr>
              <w:t>P</w:t>
            </w:r>
            <w:r w:rsidR="003812FE">
              <w:rPr>
                <w:rFonts w:ascii="Times New Roman" w:hAnsi="Times New Roman"/>
                <w:b/>
                <w:sz w:val="28"/>
                <w:szCs w:val="28"/>
              </w:rPr>
              <w:t>etition to Amend Arizona Rule of Criminal Procedure</w:t>
            </w:r>
            <w:r w:rsidR="00FB58D4">
              <w:rPr>
                <w:rFonts w:ascii="Times New Roman" w:hAnsi="Times New Roman"/>
                <w:b/>
                <w:sz w:val="28"/>
                <w:szCs w:val="28"/>
              </w:rPr>
              <w:t xml:space="preserve"> </w:t>
            </w:r>
            <w:r w:rsidR="00D01B23">
              <w:rPr>
                <w:rFonts w:ascii="Times New Roman" w:hAnsi="Times New Roman"/>
                <w:b/>
                <w:sz w:val="28"/>
                <w:szCs w:val="28"/>
              </w:rPr>
              <w:t>10</w:t>
            </w:r>
            <w:r w:rsidR="00FB58D4">
              <w:rPr>
                <w:rFonts w:ascii="Times New Roman" w:hAnsi="Times New Roman"/>
                <w:b/>
                <w:sz w:val="28"/>
                <w:szCs w:val="28"/>
              </w:rPr>
              <w:t>.2</w:t>
            </w:r>
            <w:r w:rsidR="003812FE">
              <w:rPr>
                <w:rFonts w:ascii="Times New Roman" w:hAnsi="Times New Roman"/>
                <w:b/>
                <w:sz w:val="28"/>
                <w:szCs w:val="28"/>
              </w:rPr>
              <w:t>(a)</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3CB3F03D" w14:textId="7A6082AD" w:rsidR="00E84051"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xml:space="preserve">, </w:t>
      </w:r>
      <w:r w:rsidR="00FE41E3">
        <w:rPr>
          <w:rFonts w:ascii="Times New Roman" w:hAnsi="Times New Roman"/>
          <w:sz w:val="28"/>
          <w:szCs w:val="28"/>
        </w:rPr>
        <w:t>Petitio</w:t>
      </w:r>
      <w:r w:rsidR="000B6489">
        <w:rPr>
          <w:rFonts w:ascii="Times New Roman" w:hAnsi="Times New Roman"/>
          <w:sz w:val="28"/>
          <w:szCs w:val="28"/>
        </w:rPr>
        <w:t>ner</w:t>
      </w:r>
      <w:r w:rsidRPr="0014499B">
        <w:rPr>
          <w:rFonts w:ascii="Times New Roman" w:hAnsi="Times New Roman"/>
          <w:sz w:val="28"/>
          <w:szCs w:val="28"/>
        </w:rPr>
        <w:t xml:space="preserve"> hereby submits the 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w:t>
      </w:r>
      <w:r w:rsidR="00283A7C">
        <w:rPr>
          <w:rFonts w:ascii="Times New Roman" w:hAnsi="Times New Roman"/>
          <w:sz w:val="28"/>
          <w:szCs w:val="28"/>
        </w:rPr>
        <w:t>Arizona Rule of Criminal Procedure 1</w:t>
      </w:r>
      <w:r w:rsidR="00A73B82">
        <w:rPr>
          <w:rFonts w:ascii="Times New Roman" w:hAnsi="Times New Roman"/>
          <w:sz w:val="28"/>
          <w:szCs w:val="28"/>
        </w:rPr>
        <w:t>0</w:t>
      </w:r>
      <w:r w:rsidR="00283A7C">
        <w:rPr>
          <w:rFonts w:ascii="Times New Roman" w:hAnsi="Times New Roman"/>
          <w:sz w:val="28"/>
          <w:szCs w:val="28"/>
        </w:rPr>
        <w:t xml:space="preserve">.2(a), as specified in the </w:t>
      </w:r>
      <w:r w:rsidR="00316064">
        <w:rPr>
          <w:rFonts w:ascii="Times New Roman" w:hAnsi="Times New Roman"/>
          <w:sz w:val="28"/>
          <w:szCs w:val="28"/>
        </w:rPr>
        <w:t>Attachment</w:t>
      </w:r>
      <w:r w:rsidR="00A74317">
        <w:rPr>
          <w:rFonts w:ascii="Times New Roman" w:hAnsi="Times New Roman"/>
          <w:sz w:val="28"/>
          <w:szCs w:val="28"/>
        </w:rPr>
        <w:t>.</w:t>
      </w:r>
      <w:r w:rsidR="00264A6D">
        <w:rPr>
          <w:rFonts w:ascii="Times New Roman" w:hAnsi="Times New Roman"/>
          <w:sz w:val="28"/>
          <w:szCs w:val="28"/>
        </w:rPr>
        <w:t xml:space="preserve"> The purpose of this</w:t>
      </w:r>
      <w:r w:rsidR="00642CC1">
        <w:rPr>
          <w:rFonts w:ascii="Times New Roman" w:hAnsi="Times New Roman"/>
          <w:sz w:val="28"/>
          <w:szCs w:val="28"/>
        </w:rPr>
        <w:t xml:space="preserve"> proposed</w:t>
      </w:r>
      <w:r w:rsidR="00264A6D">
        <w:rPr>
          <w:rFonts w:ascii="Times New Roman" w:hAnsi="Times New Roman"/>
          <w:sz w:val="28"/>
          <w:szCs w:val="28"/>
        </w:rPr>
        <w:t xml:space="preserve"> </w:t>
      </w:r>
      <w:r w:rsidR="00642CC1">
        <w:rPr>
          <w:rFonts w:ascii="Times New Roman" w:hAnsi="Times New Roman"/>
          <w:sz w:val="28"/>
          <w:szCs w:val="28"/>
        </w:rPr>
        <w:t>change is to</w:t>
      </w:r>
      <w:r w:rsidR="00E84051">
        <w:rPr>
          <w:rFonts w:ascii="Times New Roman" w:hAnsi="Times New Roman"/>
          <w:sz w:val="28"/>
          <w:szCs w:val="28"/>
        </w:rPr>
        <w:t xml:space="preserve"> fix an anomaly in the Rule whereby the State’s exclusive control over dismissing and refiling a new case has given it unequal and unfair power to changes of judge as a matter of right.</w:t>
      </w:r>
    </w:p>
    <w:p w14:paraId="19975C44" w14:textId="14AE5E59" w:rsidR="00284416" w:rsidRDefault="00284416" w:rsidP="00CD0255">
      <w:pPr>
        <w:spacing w:line="480" w:lineRule="auto"/>
        <w:ind w:firstLine="720"/>
        <w:jc w:val="both"/>
        <w:rPr>
          <w:rFonts w:ascii="Times New Roman" w:hAnsi="Times New Roman"/>
          <w:sz w:val="28"/>
          <w:szCs w:val="28"/>
        </w:rPr>
      </w:pPr>
      <w:r w:rsidRPr="00284416">
        <w:rPr>
          <w:rFonts w:ascii="Times New Roman" w:hAnsi="Times New Roman"/>
          <w:sz w:val="28"/>
          <w:szCs w:val="28"/>
        </w:rPr>
        <w:t>Generally, procedural time limits begin anew when a</w:t>
      </w:r>
      <w:r>
        <w:rPr>
          <w:rFonts w:ascii="Times New Roman" w:hAnsi="Times New Roman"/>
          <w:sz w:val="28"/>
          <w:szCs w:val="28"/>
        </w:rPr>
        <w:t xml:space="preserve"> </w:t>
      </w:r>
      <w:r w:rsidRPr="00284416">
        <w:rPr>
          <w:rFonts w:ascii="Times New Roman" w:hAnsi="Times New Roman"/>
          <w:sz w:val="28"/>
          <w:szCs w:val="28"/>
        </w:rPr>
        <w:t>new indictment is issued after a dismissal of a previous case even if the indictment is</w:t>
      </w:r>
      <w:r>
        <w:rPr>
          <w:rFonts w:ascii="Times New Roman" w:hAnsi="Times New Roman"/>
          <w:sz w:val="28"/>
          <w:szCs w:val="28"/>
        </w:rPr>
        <w:t xml:space="preserve"> </w:t>
      </w:r>
      <w:r w:rsidRPr="00284416">
        <w:rPr>
          <w:rFonts w:ascii="Times New Roman" w:hAnsi="Times New Roman"/>
          <w:sz w:val="28"/>
          <w:szCs w:val="28"/>
        </w:rPr>
        <w:t xml:space="preserve">based on the same conduct. </w:t>
      </w:r>
      <w:r w:rsidRPr="005E162E">
        <w:rPr>
          <w:rFonts w:ascii="Times New Roman" w:hAnsi="Times New Roman"/>
          <w:i/>
          <w:iCs/>
          <w:sz w:val="28"/>
          <w:szCs w:val="28"/>
        </w:rPr>
        <w:t>Godoy v. Hantman</w:t>
      </w:r>
      <w:r w:rsidRPr="00284416">
        <w:rPr>
          <w:rFonts w:ascii="Times New Roman" w:hAnsi="Times New Roman"/>
          <w:sz w:val="28"/>
          <w:szCs w:val="28"/>
        </w:rPr>
        <w:t>, 205 Ariz. 104,</w:t>
      </w:r>
      <w:r w:rsidR="005E162E">
        <w:rPr>
          <w:rFonts w:ascii="Times New Roman" w:hAnsi="Times New Roman"/>
          <w:sz w:val="28"/>
          <w:szCs w:val="28"/>
        </w:rPr>
        <w:t xml:space="preserve"> 106</w:t>
      </w:r>
      <w:r w:rsidRPr="00284416">
        <w:rPr>
          <w:rFonts w:ascii="Times New Roman" w:hAnsi="Times New Roman"/>
          <w:sz w:val="28"/>
          <w:szCs w:val="28"/>
        </w:rPr>
        <w:t xml:space="preserve"> ¶ 7 (2003). In </w:t>
      </w:r>
      <w:r w:rsidR="005E162E" w:rsidRPr="005E162E">
        <w:rPr>
          <w:rFonts w:ascii="Times New Roman" w:hAnsi="Times New Roman"/>
          <w:i/>
          <w:iCs/>
          <w:sz w:val="28"/>
          <w:szCs w:val="28"/>
        </w:rPr>
        <w:t>Godoy</w:t>
      </w:r>
      <w:r w:rsidRPr="00284416">
        <w:rPr>
          <w:rFonts w:ascii="Times New Roman" w:hAnsi="Times New Roman"/>
          <w:sz w:val="28"/>
          <w:szCs w:val="28"/>
        </w:rPr>
        <w:t>,</w:t>
      </w:r>
      <w:r>
        <w:rPr>
          <w:rFonts w:ascii="Times New Roman" w:hAnsi="Times New Roman"/>
          <w:sz w:val="28"/>
          <w:szCs w:val="28"/>
        </w:rPr>
        <w:t xml:space="preserve"> </w:t>
      </w:r>
      <w:r w:rsidRPr="00284416">
        <w:rPr>
          <w:rFonts w:ascii="Times New Roman" w:hAnsi="Times New Roman"/>
          <w:sz w:val="28"/>
          <w:szCs w:val="28"/>
        </w:rPr>
        <w:t>the defendant moved for a new finding of probable cause and the judge remanded the</w:t>
      </w:r>
      <w:r>
        <w:rPr>
          <w:rFonts w:ascii="Times New Roman" w:hAnsi="Times New Roman"/>
          <w:sz w:val="28"/>
          <w:szCs w:val="28"/>
        </w:rPr>
        <w:t xml:space="preserve"> </w:t>
      </w:r>
      <w:r w:rsidRPr="00284416">
        <w:rPr>
          <w:rFonts w:ascii="Times New Roman" w:hAnsi="Times New Roman"/>
          <w:sz w:val="28"/>
          <w:szCs w:val="28"/>
        </w:rPr>
        <w:t>case</w:t>
      </w:r>
      <w:r w:rsidR="005E162E">
        <w:rPr>
          <w:rFonts w:ascii="Times New Roman" w:hAnsi="Times New Roman"/>
          <w:sz w:val="28"/>
          <w:szCs w:val="28"/>
        </w:rPr>
        <w:t xml:space="preserve">; when the State failed to present the case to a new grand jury within 15 days, the judge </w:t>
      </w:r>
      <w:r w:rsidR="005E162E">
        <w:rPr>
          <w:rFonts w:ascii="Times New Roman" w:hAnsi="Times New Roman"/>
          <w:sz w:val="28"/>
          <w:szCs w:val="28"/>
        </w:rPr>
        <w:lastRenderedPageBreak/>
        <w:t>dismissed the case without prejudice</w:t>
      </w:r>
      <w:r w:rsidRPr="00284416">
        <w:rPr>
          <w:rFonts w:ascii="Times New Roman" w:hAnsi="Times New Roman"/>
          <w:sz w:val="28"/>
          <w:szCs w:val="28"/>
        </w:rPr>
        <w:t xml:space="preserve">. </w:t>
      </w:r>
      <w:r w:rsidRPr="005E162E">
        <w:rPr>
          <w:rFonts w:ascii="Times New Roman" w:hAnsi="Times New Roman"/>
          <w:i/>
          <w:iCs/>
          <w:sz w:val="28"/>
          <w:szCs w:val="28"/>
        </w:rPr>
        <w:t>Id</w:t>
      </w:r>
      <w:r w:rsidRPr="00284416">
        <w:rPr>
          <w:rFonts w:ascii="Times New Roman" w:hAnsi="Times New Roman"/>
          <w:sz w:val="28"/>
          <w:szCs w:val="28"/>
        </w:rPr>
        <w:t>. at</w:t>
      </w:r>
      <w:r w:rsidR="005E162E">
        <w:rPr>
          <w:rFonts w:ascii="Times New Roman" w:hAnsi="Times New Roman"/>
          <w:sz w:val="28"/>
          <w:szCs w:val="28"/>
        </w:rPr>
        <w:t xml:space="preserve"> 105</w:t>
      </w:r>
      <w:r w:rsidRPr="00284416">
        <w:rPr>
          <w:rFonts w:ascii="Times New Roman" w:hAnsi="Times New Roman"/>
          <w:sz w:val="28"/>
          <w:szCs w:val="28"/>
        </w:rPr>
        <w:t xml:space="preserve"> ¶ 3. </w:t>
      </w:r>
      <w:r w:rsidR="005E162E">
        <w:rPr>
          <w:rFonts w:ascii="Times New Roman" w:hAnsi="Times New Roman"/>
          <w:sz w:val="28"/>
          <w:szCs w:val="28"/>
        </w:rPr>
        <w:t>T</w:t>
      </w:r>
      <w:r w:rsidRPr="00284416">
        <w:rPr>
          <w:rFonts w:ascii="Times New Roman" w:hAnsi="Times New Roman"/>
          <w:sz w:val="28"/>
          <w:szCs w:val="28"/>
        </w:rPr>
        <w:t xml:space="preserve">he </w:t>
      </w:r>
      <w:r w:rsidR="005E162E">
        <w:rPr>
          <w:rFonts w:ascii="Times New Roman" w:hAnsi="Times New Roman"/>
          <w:sz w:val="28"/>
          <w:szCs w:val="28"/>
        </w:rPr>
        <w:t>S</w:t>
      </w:r>
      <w:r w:rsidRPr="00284416">
        <w:rPr>
          <w:rFonts w:ascii="Times New Roman" w:hAnsi="Times New Roman"/>
          <w:sz w:val="28"/>
          <w:szCs w:val="28"/>
        </w:rPr>
        <w:t>tate refiled the same charges at a later</w:t>
      </w:r>
      <w:r>
        <w:rPr>
          <w:rFonts w:ascii="Times New Roman" w:hAnsi="Times New Roman"/>
          <w:sz w:val="28"/>
          <w:szCs w:val="28"/>
        </w:rPr>
        <w:t xml:space="preserve"> </w:t>
      </w:r>
      <w:r w:rsidRPr="00284416">
        <w:rPr>
          <w:rFonts w:ascii="Times New Roman" w:hAnsi="Times New Roman"/>
          <w:sz w:val="28"/>
          <w:szCs w:val="28"/>
        </w:rPr>
        <w:t xml:space="preserve">date and the new indictment was assigned to the same judge. </w:t>
      </w:r>
      <w:r w:rsidRPr="005E162E">
        <w:rPr>
          <w:rFonts w:ascii="Times New Roman" w:hAnsi="Times New Roman"/>
          <w:i/>
          <w:iCs/>
          <w:sz w:val="28"/>
          <w:szCs w:val="28"/>
        </w:rPr>
        <w:t>Id</w:t>
      </w:r>
      <w:r w:rsidRPr="00284416">
        <w:rPr>
          <w:rFonts w:ascii="Times New Roman" w:hAnsi="Times New Roman"/>
          <w:sz w:val="28"/>
          <w:szCs w:val="28"/>
        </w:rPr>
        <w:t xml:space="preserve">. at </w:t>
      </w:r>
      <w:r w:rsidR="005E162E">
        <w:rPr>
          <w:rFonts w:ascii="Times New Roman" w:hAnsi="Times New Roman"/>
          <w:sz w:val="28"/>
          <w:szCs w:val="28"/>
        </w:rPr>
        <w:t xml:space="preserve">105-06 </w:t>
      </w:r>
      <w:r w:rsidRPr="00284416">
        <w:rPr>
          <w:rFonts w:ascii="Times New Roman" w:hAnsi="Times New Roman"/>
          <w:sz w:val="28"/>
          <w:szCs w:val="28"/>
        </w:rPr>
        <w:t xml:space="preserve">¶ 4. The </w:t>
      </w:r>
      <w:r w:rsidR="00837FEF">
        <w:rPr>
          <w:rFonts w:ascii="Times New Roman" w:hAnsi="Times New Roman"/>
          <w:sz w:val="28"/>
          <w:szCs w:val="28"/>
        </w:rPr>
        <w:t>S</w:t>
      </w:r>
      <w:r w:rsidRPr="00284416">
        <w:rPr>
          <w:rFonts w:ascii="Times New Roman" w:hAnsi="Times New Roman"/>
          <w:sz w:val="28"/>
          <w:szCs w:val="28"/>
        </w:rPr>
        <w:t>tate filed for</w:t>
      </w:r>
      <w:r>
        <w:rPr>
          <w:rFonts w:ascii="Times New Roman" w:hAnsi="Times New Roman"/>
          <w:sz w:val="28"/>
          <w:szCs w:val="28"/>
        </w:rPr>
        <w:t xml:space="preserve"> </w:t>
      </w:r>
      <w:r w:rsidRPr="00284416">
        <w:rPr>
          <w:rFonts w:ascii="Times New Roman" w:hAnsi="Times New Roman"/>
          <w:sz w:val="28"/>
          <w:szCs w:val="28"/>
        </w:rPr>
        <w:t xml:space="preserve">a change of judge, which was granted, over the defendant’s objection. </w:t>
      </w:r>
      <w:r w:rsidR="005E162E" w:rsidRPr="005E162E">
        <w:rPr>
          <w:rFonts w:ascii="Times New Roman" w:hAnsi="Times New Roman"/>
          <w:i/>
          <w:iCs/>
          <w:sz w:val="28"/>
          <w:szCs w:val="28"/>
        </w:rPr>
        <w:t>Id</w:t>
      </w:r>
      <w:r w:rsidR="005E162E" w:rsidRPr="00284416">
        <w:rPr>
          <w:rFonts w:ascii="Times New Roman" w:hAnsi="Times New Roman"/>
          <w:sz w:val="28"/>
          <w:szCs w:val="28"/>
        </w:rPr>
        <w:t>. at</w:t>
      </w:r>
      <w:r w:rsidR="005E162E">
        <w:rPr>
          <w:rFonts w:ascii="Times New Roman" w:hAnsi="Times New Roman"/>
          <w:sz w:val="28"/>
          <w:szCs w:val="28"/>
        </w:rPr>
        <w:t xml:space="preserve"> 106 ¶ 4</w:t>
      </w:r>
      <w:r w:rsidRPr="00284416">
        <w:rPr>
          <w:rFonts w:ascii="Times New Roman" w:hAnsi="Times New Roman"/>
          <w:sz w:val="28"/>
          <w:szCs w:val="28"/>
        </w:rPr>
        <w:t xml:space="preserve">. </w:t>
      </w:r>
      <w:r w:rsidR="00837FEF">
        <w:rPr>
          <w:rFonts w:ascii="Times New Roman" w:hAnsi="Times New Roman"/>
          <w:sz w:val="28"/>
          <w:szCs w:val="28"/>
        </w:rPr>
        <w:t>T</w:t>
      </w:r>
      <w:r w:rsidRPr="00284416">
        <w:rPr>
          <w:rFonts w:ascii="Times New Roman" w:hAnsi="Times New Roman"/>
          <w:sz w:val="28"/>
          <w:szCs w:val="28"/>
        </w:rPr>
        <w:t>he</w:t>
      </w:r>
      <w:r>
        <w:rPr>
          <w:rFonts w:ascii="Times New Roman" w:hAnsi="Times New Roman"/>
          <w:sz w:val="28"/>
          <w:szCs w:val="28"/>
        </w:rPr>
        <w:t xml:space="preserve"> </w:t>
      </w:r>
      <w:r w:rsidRPr="00284416">
        <w:rPr>
          <w:rFonts w:ascii="Times New Roman" w:hAnsi="Times New Roman"/>
          <w:sz w:val="28"/>
          <w:szCs w:val="28"/>
        </w:rPr>
        <w:t>notice</w:t>
      </w:r>
      <w:r w:rsidR="00837FEF">
        <w:rPr>
          <w:rFonts w:ascii="Times New Roman" w:hAnsi="Times New Roman"/>
          <w:sz w:val="28"/>
          <w:szCs w:val="28"/>
        </w:rPr>
        <w:t>’</w:t>
      </w:r>
      <w:r w:rsidRPr="00284416">
        <w:rPr>
          <w:rFonts w:ascii="Times New Roman" w:hAnsi="Times New Roman"/>
          <w:sz w:val="28"/>
          <w:szCs w:val="28"/>
        </w:rPr>
        <w:t>s timel</w:t>
      </w:r>
      <w:r w:rsidR="00837FEF">
        <w:rPr>
          <w:rFonts w:ascii="Times New Roman" w:hAnsi="Times New Roman"/>
          <w:sz w:val="28"/>
          <w:szCs w:val="28"/>
        </w:rPr>
        <w:t>iness</w:t>
      </w:r>
      <w:r w:rsidRPr="00284416">
        <w:rPr>
          <w:rFonts w:ascii="Times New Roman" w:hAnsi="Times New Roman"/>
          <w:sz w:val="28"/>
          <w:szCs w:val="28"/>
        </w:rPr>
        <w:t xml:space="preserve"> </w:t>
      </w:r>
      <w:r w:rsidR="00837FEF">
        <w:rPr>
          <w:rFonts w:ascii="Times New Roman" w:hAnsi="Times New Roman"/>
          <w:sz w:val="28"/>
          <w:szCs w:val="28"/>
        </w:rPr>
        <w:t>depended</w:t>
      </w:r>
      <w:r w:rsidRPr="00284416">
        <w:rPr>
          <w:rFonts w:ascii="Times New Roman" w:hAnsi="Times New Roman"/>
          <w:sz w:val="28"/>
          <w:szCs w:val="28"/>
        </w:rPr>
        <w:t xml:space="preserve"> on whether the new indictment was essentially a continuation of</w:t>
      </w:r>
      <w:r>
        <w:rPr>
          <w:rFonts w:ascii="Times New Roman" w:hAnsi="Times New Roman"/>
          <w:sz w:val="28"/>
          <w:szCs w:val="28"/>
        </w:rPr>
        <w:t xml:space="preserve"> </w:t>
      </w:r>
      <w:r w:rsidRPr="00284416">
        <w:rPr>
          <w:rFonts w:ascii="Times New Roman" w:hAnsi="Times New Roman"/>
          <w:sz w:val="28"/>
          <w:szCs w:val="28"/>
        </w:rPr>
        <w:t>the previous case or whether it constituted a new action, where procedural rights begin</w:t>
      </w:r>
      <w:r>
        <w:rPr>
          <w:rFonts w:ascii="Times New Roman" w:hAnsi="Times New Roman"/>
          <w:sz w:val="28"/>
          <w:szCs w:val="28"/>
        </w:rPr>
        <w:t xml:space="preserve"> </w:t>
      </w:r>
      <w:r w:rsidRPr="00284416">
        <w:rPr>
          <w:rFonts w:ascii="Times New Roman" w:hAnsi="Times New Roman"/>
          <w:sz w:val="28"/>
          <w:szCs w:val="28"/>
        </w:rPr>
        <w:t xml:space="preserve">anew. </w:t>
      </w:r>
      <w:r w:rsidRPr="005E162E">
        <w:rPr>
          <w:rFonts w:ascii="Times New Roman" w:hAnsi="Times New Roman"/>
          <w:i/>
          <w:iCs/>
          <w:sz w:val="28"/>
          <w:szCs w:val="28"/>
        </w:rPr>
        <w:t>Id</w:t>
      </w:r>
      <w:r w:rsidRPr="00284416">
        <w:rPr>
          <w:rFonts w:ascii="Times New Roman" w:hAnsi="Times New Roman"/>
          <w:sz w:val="28"/>
          <w:szCs w:val="28"/>
        </w:rPr>
        <w:t>. ¶ 6. Th</w:t>
      </w:r>
      <w:r w:rsidR="005E162E">
        <w:rPr>
          <w:rFonts w:ascii="Times New Roman" w:hAnsi="Times New Roman"/>
          <w:sz w:val="28"/>
          <w:szCs w:val="28"/>
        </w:rPr>
        <w:t>is</w:t>
      </w:r>
      <w:r w:rsidRPr="00284416">
        <w:rPr>
          <w:rFonts w:ascii="Times New Roman" w:hAnsi="Times New Roman"/>
          <w:sz w:val="28"/>
          <w:szCs w:val="28"/>
        </w:rPr>
        <w:t xml:space="preserve"> Court determin</w:t>
      </w:r>
      <w:r w:rsidR="005E162E">
        <w:rPr>
          <w:rFonts w:ascii="Times New Roman" w:hAnsi="Times New Roman"/>
          <w:sz w:val="28"/>
          <w:szCs w:val="28"/>
        </w:rPr>
        <w:t>ed</w:t>
      </w:r>
      <w:r w:rsidRPr="00284416">
        <w:rPr>
          <w:rFonts w:ascii="Times New Roman" w:hAnsi="Times New Roman"/>
          <w:sz w:val="28"/>
          <w:szCs w:val="28"/>
        </w:rPr>
        <w:t xml:space="preserve"> that</w:t>
      </w:r>
      <w:r w:rsidR="005E162E">
        <w:rPr>
          <w:rFonts w:ascii="Times New Roman" w:hAnsi="Times New Roman"/>
          <w:sz w:val="28"/>
          <w:szCs w:val="28"/>
        </w:rPr>
        <w:t xml:space="preserve"> since</w:t>
      </w:r>
      <w:r w:rsidRPr="00284416">
        <w:rPr>
          <w:rFonts w:ascii="Times New Roman" w:hAnsi="Times New Roman"/>
          <w:sz w:val="28"/>
          <w:szCs w:val="28"/>
        </w:rPr>
        <w:t xml:space="preserve"> the previous case had</w:t>
      </w:r>
      <w:r>
        <w:rPr>
          <w:rFonts w:ascii="Times New Roman" w:hAnsi="Times New Roman"/>
          <w:sz w:val="28"/>
          <w:szCs w:val="28"/>
        </w:rPr>
        <w:t xml:space="preserve"> </w:t>
      </w:r>
      <w:r w:rsidRPr="00284416">
        <w:rPr>
          <w:rFonts w:ascii="Times New Roman" w:hAnsi="Times New Roman"/>
          <w:sz w:val="28"/>
          <w:szCs w:val="28"/>
        </w:rPr>
        <w:t>been ordered dismissed without prejudice, the new indictment was not a</w:t>
      </w:r>
      <w:r>
        <w:rPr>
          <w:rFonts w:ascii="Times New Roman" w:hAnsi="Times New Roman"/>
          <w:sz w:val="28"/>
          <w:szCs w:val="28"/>
        </w:rPr>
        <w:t xml:space="preserve"> </w:t>
      </w:r>
      <w:r w:rsidRPr="00284416">
        <w:rPr>
          <w:rFonts w:ascii="Times New Roman" w:hAnsi="Times New Roman"/>
          <w:sz w:val="28"/>
          <w:szCs w:val="28"/>
        </w:rPr>
        <w:t xml:space="preserve">continuation, but rather </w:t>
      </w:r>
      <w:r w:rsidR="005E162E">
        <w:rPr>
          <w:rFonts w:ascii="Times New Roman" w:hAnsi="Times New Roman"/>
          <w:sz w:val="28"/>
          <w:szCs w:val="28"/>
        </w:rPr>
        <w:t>a</w:t>
      </w:r>
      <w:r w:rsidRPr="00284416">
        <w:rPr>
          <w:rFonts w:ascii="Times New Roman" w:hAnsi="Times New Roman"/>
          <w:sz w:val="28"/>
          <w:szCs w:val="28"/>
        </w:rPr>
        <w:t xml:space="preserve"> new matter</w:t>
      </w:r>
      <w:r w:rsidR="005E162E">
        <w:rPr>
          <w:rFonts w:ascii="Times New Roman" w:hAnsi="Times New Roman"/>
          <w:sz w:val="28"/>
          <w:szCs w:val="28"/>
        </w:rPr>
        <w:t>: “</w:t>
      </w:r>
      <w:r w:rsidR="005E162E" w:rsidRPr="005E162E">
        <w:rPr>
          <w:rFonts w:ascii="Times New Roman" w:hAnsi="Times New Roman"/>
          <w:sz w:val="28"/>
          <w:szCs w:val="28"/>
        </w:rPr>
        <w:t>Participating in proceedings in a previous case does not waive a party</w:t>
      </w:r>
      <w:r w:rsidR="005E162E">
        <w:rPr>
          <w:rFonts w:ascii="Times New Roman" w:hAnsi="Times New Roman"/>
          <w:sz w:val="28"/>
          <w:szCs w:val="28"/>
        </w:rPr>
        <w:t>’</w:t>
      </w:r>
      <w:r w:rsidR="005E162E" w:rsidRPr="005E162E">
        <w:rPr>
          <w:rFonts w:ascii="Times New Roman" w:hAnsi="Times New Roman"/>
          <w:sz w:val="28"/>
          <w:szCs w:val="28"/>
        </w:rPr>
        <w:t>s right to a change of judge in a new action.</w:t>
      </w:r>
      <w:r w:rsidR="005E162E">
        <w:rPr>
          <w:rFonts w:ascii="Times New Roman" w:hAnsi="Times New Roman"/>
          <w:sz w:val="28"/>
          <w:szCs w:val="28"/>
        </w:rPr>
        <w:t>”</w:t>
      </w:r>
      <w:r w:rsidRPr="00284416">
        <w:rPr>
          <w:rFonts w:ascii="Times New Roman" w:hAnsi="Times New Roman"/>
          <w:sz w:val="28"/>
          <w:szCs w:val="28"/>
        </w:rPr>
        <w:t xml:space="preserve"> </w:t>
      </w:r>
      <w:r w:rsidRPr="005E162E">
        <w:rPr>
          <w:rFonts w:ascii="Times New Roman" w:hAnsi="Times New Roman"/>
          <w:i/>
          <w:iCs/>
          <w:sz w:val="28"/>
          <w:szCs w:val="28"/>
        </w:rPr>
        <w:t>Id</w:t>
      </w:r>
      <w:r w:rsidRPr="00284416">
        <w:rPr>
          <w:rFonts w:ascii="Times New Roman" w:hAnsi="Times New Roman"/>
          <w:sz w:val="28"/>
          <w:szCs w:val="28"/>
        </w:rPr>
        <w:t>. at</w:t>
      </w:r>
      <w:r w:rsidR="005E162E">
        <w:rPr>
          <w:rFonts w:ascii="Times New Roman" w:hAnsi="Times New Roman"/>
          <w:sz w:val="28"/>
          <w:szCs w:val="28"/>
        </w:rPr>
        <w:t xml:space="preserve"> 106-07</w:t>
      </w:r>
      <w:r w:rsidRPr="00284416">
        <w:rPr>
          <w:rFonts w:ascii="Times New Roman" w:hAnsi="Times New Roman"/>
          <w:sz w:val="28"/>
          <w:szCs w:val="28"/>
        </w:rPr>
        <w:t xml:space="preserve"> ¶</w:t>
      </w:r>
      <w:r w:rsidR="005E162E">
        <w:rPr>
          <w:rFonts w:ascii="Times New Roman" w:hAnsi="Times New Roman"/>
          <w:sz w:val="28"/>
          <w:szCs w:val="28"/>
        </w:rPr>
        <w:t>¶</w:t>
      </w:r>
      <w:r>
        <w:rPr>
          <w:rFonts w:ascii="Times New Roman" w:hAnsi="Times New Roman"/>
          <w:sz w:val="28"/>
          <w:szCs w:val="28"/>
        </w:rPr>
        <w:t xml:space="preserve"> </w:t>
      </w:r>
      <w:r w:rsidRPr="00284416">
        <w:rPr>
          <w:rFonts w:ascii="Times New Roman" w:hAnsi="Times New Roman"/>
          <w:sz w:val="28"/>
          <w:szCs w:val="28"/>
        </w:rPr>
        <w:t>8-9.</w:t>
      </w:r>
    </w:p>
    <w:p w14:paraId="57D4B478" w14:textId="77777777" w:rsidR="00CD0255" w:rsidRDefault="005E162E" w:rsidP="005E162E">
      <w:pPr>
        <w:spacing w:line="480" w:lineRule="auto"/>
        <w:ind w:firstLine="720"/>
        <w:jc w:val="both"/>
        <w:rPr>
          <w:rFonts w:ascii="Times New Roman" w:hAnsi="Times New Roman"/>
          <w:sz w:val="28"/>
          <w:szCs w:val="28"/>
        </w:rPr>
      </w:pPr>
      <w:r w:rsidRPr="005E162E">
        <w:rPr>
          <w:rFonts w:ascii="Times New Roman" w:hAnsi="Times New Roman"/>
          <w:sz w:val="28"/>
          <w:szCs w:val="28"/>
        </w:rPr>
        <w:t xml:space="preserve">Conversely, in </w:t>
      </w:r>
      <w:r w:rsidRPr="005E162E">
        <w:rPr>
          <w:rFonts w:ascii="Times New Roman" w:hAnsi="Times New Roman"/>
          <w:i/>
          <w:iCs/>
          <w:sz w:val="28"/>
          <w:szCs w:val="28"/>
        </w:rPr>
        <w:t>Woodington v. Browning</w:t>
      </w:r>
      <w:r w:rsidRPr="005E162E">
        <w:rPr>
          <w:rFonts w:ascii="Times New Roman" w:hAnsi="Times New Roman"/>
          <w:sz w:val="28"/>
          <w:szCs w:val="28"/>
        </w:rPr>
        <w:t>, a notice of change of judge was not</w:t>
      </w:r>
      <w:r>
        <w:rPr>
          <w:rFonts w:ascii="Times New Roman" w:hAnsi="Times New Roman"/>
          <w:sz w:val="28"/>
          <w:szCs w:val="28"/>
        </w:rPr>
        <w:t xml:space="preserve"> </w:t>
      </w:r>
      <w:r w:rsidRPr="005E162E">
        <w:rPr>
          <w:rFonts w:ascii="Times New Roman" w:hAnsi="Times New Roman"/>
          <w:sz w:val="28"/>
          <w:szCs w:val="28"/>
        </w:rPr>
        <w:t>permitted when the case was remanded to the grand jury for a redetermination of</w:t>
      </w:r>
      <w:r>
        <w:rPr>
          <w:rFonts w:ascii="Times New Roman" w:hAnsi="Times New Roman"/>
          <w:sz w:val="28"/>
          <w:szCs w:val="28"/>
        </w:rPr>
        <w:t xml:space="preserve"> </w:t>
      </w:r>
      <w:r w:rsidRPr="005E162E">
        <w:rPr>
          <w:rFonts w:ascii="Times New Roman" w:hAnsi="Times New Roman"/>
          <w:sz w:val="28"/>
          <w:szCs w:val="28"/>
        </w:rPr>
        <w:t>probable cause, pursuant to Rule 12.9</w:t>
      </w:r>
      <w:r>
        <w:rPr>
          <w:rFonts w:ascii="Times New Roman" w:hAnsi="Times New Roman"/>
          <w:sz w:val="28"/>
          <w:szCs w:val="28"/>
        </w:rPr>
        <w:t>,</w:t>
      </w:r>
      <w:r w:rsidRPr="005E162E">
        <w:rPr>
          <w:rFonts w:ascii="Times New Roman" w:hAnsi="Times New Roman"/>
          <w:sz w:val="28"/>
          <w:szCs w:val="28"/>
        </w:rPr>
        <w:t xml:space="preserve"> and a new indictment with the same cause number</w:t>
      </w:r>
      <w:r>
        <w:rPr>
          <w:rFonts w:ascii="Times New Roman" w:hAnsi="Times New Roman"/>
          <w:sz w:val="28"/>
          <w:szCs w:val="28"/>
        </w:rPr>
        <w:t xml:space="preserve"> </w:t>
      </w:r>
      <w:r w:rsidRPr="005E162E">
        <w:rPr>
          <w:rFonts w:ascii="Times New Roman" w:hAnsi="Times New Roman"/>
          <w:sz w:val="28"/>
          <w:szCs w:val="28"/>
        </w:rPr>
        <w:t xml:space="preserve">was issued. 240 Ariz. 288, </w:t>
      </w:r>
      <w:r>
        <w:rPr>
          <w:rFonts w:ascii="Times New Roman" w:hAnsi="Times New Roman"/>
          <w:sz w:val="28"/>
          <w:szCs w:val="28"/>
        </w:rPr>
        <w:t xml:space="preserve">289 </w:t>
      </w:r>
      <w:r w:rsidRPr="005E162E">
        <w:rPr>
          <w:rFonts w:ascii="Times New Roman" w:hAnsi="Times New Roman"/>
          <w:sz w:val="28"/>
          <w:szCs w:val="28"/>
        </w:rPr>
        <w:t>¶ 2 (App. 2016). The notice of change of judge was not timely,</w:t>
      </w:r>
      <w:r>
        <w:rPr>
          <w:rFonts w:ascii="Times New Roman" w:hAnsi="Times New Roman"/>
          <w:sz w:val="28"/>
          <w:szCs w:val="28"/>
        </w:rPr>
        <w:t xml:space="preserve"> </w:t>
      </w:r>
      <w:r w:rsidRPr="005E162E">
        <w:rPr>
          <w:rFonts w:ascii="Times New Roman" w:hAnsi="Times New Roman"/>
          <w:sz w:val="28"/>
          <w:szCs w:val="28"/>
        </w:rPr>
        <w:t xml:space="preserve">because the remanded case was a continuation of the previous case, and unlike in </w:t>
      </w:r>
      <w:r w:rsidRPr="009B090F">
        <w:rPr>
          <w:rFonts w:ascii="Times New Roman" w:hAnsi="Times New Roman"/>
          <w:i/>
          <w:iCs/>
          <w:sz w:val="28"/>
          <w:szCs w:val="28"/>
        </w:rPr>
        <w:t>Godoy</w:t>
      </w:r>
      <w:r w:rsidRPr="005E162E">
        <w:rPr>
          <w:rFonts w:ascii="Times New Roman" w:hAnsi="Times New Roman"/>
          <w:sz w:val="28"/>
          <w:szCs w:val="28"/>
        </w:rPr>
        <w:t>,</w:t>
      </w:r>
      <w:r>
        <w:rPr>
          <w:rFonts w:ascii="Times New Roman" w:hAnsi="Times New Roman"/>
          <w:sz w:val="28"/>
          <w:szCs w:val="28"/>
        </w:rPr>
        <w:t xml:space="preserve"> </w:t>
      </w:r>
      <w:r w:rsidRPr="005E162E">
        <w:rPr>
          <w:rFonts w:ascii="Times New Roman" w:hAnsi="Times New Roman"/>
          <w:sz w:val="28"/>
          <w:szCs w:val="28"/>
        </w:rPr>
        <w:t xml:space="preserve">the case had not been dismissed. </w:t>
      </w:r>
      <w:r w:rsidRPr="009B090F">
        <w:rPr>
          <w:rFonts w:ascii="Times New Roman" w:hAnsi="Times New Roman"/>
          <w:i/>
          <w:iCs/>
          <w:sz w:val="28"/>
          <w:szCs w:val="28"/>
        </w:rPr>
        <w:t>Id</w:t>
      </w:r>
      <w:r w:rsidRPr="005E162E">
        <w:rPr>
          <w:rFonts w:ascii="Times New Roman" w:hAnsi="Times New Roman"/>
          <w:sz w:val="28"/>
          <w:szCs w:val="28"/>
        </w:rPr>
        <w:t>. at</w:t>
      </w:r>
      <w:r w:rsidR="009B090F">
        <w:rPr>
          <w:rFonts w:ascii="Times New Roman" w:hAnsi="Times New Roman"/>
          <w:sz w:val="28"/>
          <w:szCs w:val="28"/>
        </w:rPr>
        <w:t xml:space="preserve"> 292</w:t>
      </w:r>
      <w:r w:rsidRPr="005E162E">
        <w:rPr>
          <w:rFonts w:ascii="Times New Roman" w:hAnsi="Times New Roman"/>
          <w:sz w:val="28"/>
          <w:szCs w:val="28"/>
        </w:rPr>
        <w:t xml:space="preserve"> ¶ 16.</w:t>
      </w:r>
    </w:p>
    <w:p w14:paraId="5319A538" w14:textId="0039E8AC" w:rsidR="00284416" w:rsidRDefault="002B7481" w:rsidP="005E162E">
      <w:pPr>
        <w:spacing w:line="480" w:lineRule="auto"/>
        <w:ind w:firstLine="720"/>
        <w:jc w:val="both"/>
        <w:rPr>
          <w:rFonts w:ascii="Times New Roman" w:hAnsi="Times New Roman"/>
          <w:sz w:val="28"/>
          <w:szCs w:val="28"/>
        </w:rPr>
      </w:pPr>
      <w:r>
        <w:rPr>
          <w:rFonts w:ascii="Times New Roman" w:hAnsi="Times New Roman"/>
          <w:sz w:val="28"/>
          <w:szCs w:val="28"/>
        </w:rPr>
        <w:t xml:space="preserve">This Court and the court of appeals have consistently held that the filing of a notice under Rule 10.2 is “summary and automatic,” and although the party exercising the peremptory change of judge must make the avowals </w:t>
      </w:r>
      <w:r w:rsidR="002D6A6A">
        <w:rPr>
          <w:rFonts w:ascii="Times New Roman" w:hAnsi="Times New Roman"/>
          <w:sz w:val="28"/>
          <w:szCs w:val="28"/>
        </w:rPr>
        <w:t>contained in the Rule, there is no recourse for abuse of the Rule except for professional discipline</w:t>
      </w:r>
      <w:r>
        <w:rPr>
          <w:rFonts w:ascii="Times New Roman" w:hAnsi="Times New Roman"/>
          <w:sz w:val="28"/>
          <w:szCs w:val="28"/>
        </w:rPr>
        <w:t xml:space="preserve">. </w:t>
      </w:r>
      <w:r w:rsidR="002D6A6A" w:rsidRPr="002D6A6A">
        <w:rPr>
          <w:rFonts w:ascii="Times New Roman" w:hAnsi="Times New Roman"/>
          <w:i/>
          <w:iCs/>
          <w:sz w:val="28"/>
          <w:szCs w:val="28"/>
        </w:rPr>
        <w:lastRenderedPageBreak/>
        <w:t xml:space="preserve">State v. City </w:t>
      </w:r>
      <w:r w:rsidR="002D6A6A">
        <w:rPr>
          <w:rFonts w:ascii="Times New Roman" w:hAnsi="Times New Roman"/>
          <w:i/>
          <w:iCs/>
          <w:sz w:val="28"/>
          <w:szCs w:val="28"/>
        </w:rPr>
        <w:t xml:space="preserve">Court </w:t>
      </w:r>
      <w:r w:rsidR="002D6A6A" w:rsidRPr="002D6A6A">
        <w:rPr>
          <w:rFonts w:ascii="Times New Roman" w:hAnsi="Times New Roman"/>
          <w:i/>
          <w:iCs/>
          <w:sz w:val="28"/>
          <w:szCs w:val="28"/>
        </w:rPr>
        <w:t xml:space="preserve">of </w:t>
      </w:r>
      <w:r w:rsidR="00837FEF" w:rsidRPr="002D6A6A">
        <w:rPr>
          <w:rFonts w:ascii="Times New Roman" w:hAnsi="Times New Roman"/>
          <w:i/>
          <w:iCs/>
          <w:sz w:val="28"/>
          <w:szCs w:val="28"/>
        </w:rPr>
        <w:t xml:space="preserve">City </w:t>
      </w:r>
      <w:r w:rsidR="00837FEF">
        <w:rPr>
          <w:rFonts w:ascii="Times New Roman" w:hAnsi="Times New Roman"/>
          <w:i/>
          <w:iCs/>
          <w:sz w:val="28"/>
          <w:szCs w:val="28"/>
        </w:rPr>
        <w:t xml:space="preserve">of </w:t>
      </w:r>
      <w:r w:rsidR="002D6A6A" w:rsidRPr="002D6A6A">
        <w:rPr>
          <w:rFonts w:ascii="Times New Roman" w:hAnsi="Times New Roman"/>
          <w:i/>
          <w:iCs/>
          <w:sz w:val="28"/>
          <w:szCs w:val="28"/>
        </w:rPr>
        <w:t>Tucson</w:t>
      </w:r>
      <w:r w:rsidR="002D6A6A">
        <w:rPr>
          <w:rFonts w:ascii="Times New Roman" w:hAnsi="Times New Roman"/>
          <w:sz w:val="28"/>
          <w:szCs w:val="28"/>
        </w:rPr>
        <w:t>, 150 Ariz. 99, 102 (1986);</w:t>
      </w:r>
      <w:r w:rsidR="00252BB8">
        <w:rPr>
          <w:rFonts w:ascii="Times New Roman" w:hAnsi="Times New Roman"/>
          <w:sz w:val="28"/>
          <w:szCs w:val="28"/>
        </w:rPr>
        <w:t xml:space="preserve"> </w:t>
      </w:r>
      <w:r w:rsidR="00252BB8" w:rsidRPr="00252BB8">
        <w:rPr>
          <w:rFonts w:ascii="Times New Roman" w:hAnsi="Times New Roman"/>
          <w:i/>
          <w:iCs/>
          <w:sz w:val="28"/>
          <w:szCs w:val="28"/>
        </w:rPr>
        <w:t>Bergeron ex rel. Perez v. O’Neil</w:t>
      </w:r>
      <w:r w:rsidR="00252BB8">
        <w:rPr>
          <w:rFonts w:ascii="Times New Roman" w:hAnsi="Times New Roman"/>
          <w:sz w:val="28"/>
          <w:szCs w:val="28"/>
        </w:rPr>
        <w:t>, 205 Ariz. 640</w:t>
      </w:r>
      <w:r w:rsidR="002D6A6A">
        <w:rPr>
          <w:rFonts w:ascii="Times New Roman" w:hAnsi="Times New Roman"/>
          <w:sz w:val="28"/>
          <w:szCs w:val="28"/>
        </w:rPr>
        <w:t>, 647-48 ¶¶ 19-21</w:t>
      </w:r>
      <w:r w:rsidR="00252BB8">
        <w:rPr>
          <w:rFonts w:ascii="Times New Roman" w:hAnsi="Times New Roman"/>
          <w:sz w:val="28"/>
          <w:szCs w:val="28"/>
        </w:rPr>
        <w:t xml:space="preserve"> (App. 2003)</w:t>
      </w:r>
      <w:r w:rsidR="002D6A6A">
        <w:rPr>
          <w:rFonts w:ascii="Times New Roman" w:hAnsi="Times New Roman"/>
          <w:sz w:val="28"/>
          <w:szCs w:val="28"/>
        </w:rPr>
        <w:t>;</w:t>
      </w:r>
      <w:r w:rsidR="00CD0255">
        <w:rPr>
          <w:rFonts w:ascii="Times New Roman" w:hAnsi="Times New Roman"/>
          <w:sz w:val="28"/>
          <w:szCs w:val="28"/>
        </w:rPr>
        <w:t xml:space="preserve"> </w:t>
      </w:r>
      <w:r w:rsidR="00CD0255" w:rsidRPr="00CD0255">
        <w:rPr>
          <w:rFonts w:ascii="Times New Roman" w:hAnsi="Times New Roman"/>
          <w:i/>
          <w:iCs/>
          <w:sz w:val="28"/>
          <w:szCs w:val="28"/>
        </w:rPr>
        <w:t>Gilbert Prosecutor’s Office v. Foster</w:t>
      </w:r>
      <w:r w:rsidR="00CD0255">
        <w:rPr>
          <w:rFonts w:ascii="Times New Roman" w:hAnsi="Times New Roman"/>
          <w:sz w:val="28"/>
          <w:szCs w:val="28"/>
        </w:rPr>
        <w:t>, 245 Ariz. 15</w:t>
      </w:r>
      <w:r w:rsidR="002D6A6A">
        <w:rPr>
          <w:rFonts w:ascii="Times New Roman" w:hAnsi="Times New Roman"/>
          <w:sz w:val="28"/>
          <w:szCs w:val="28"/>
        </w:rPr>
        <w:t>, 18 ¶ 11</w:t>
      </w:r>
      <w:r w:rsidR="00CD0255">
        <w:rPr>
          <w:rFonts w:ascii="Times New Roman" w:hAnsi="Times New Roman"/>
          <w:sz w:val="28"/>
          <w:szCs w:val="28"/>
        </w:rPr>
        <w:t xml:space="preserve"> (App. 2018)</w:t>
      </w:r>
      <w:r w:rsidR="002D6A6A">
        <w:rPr>
          <w:rFonts w:ascii="Times New Roman" w:hAnsi="Times New Roman"/>
          <w:sz w:val="28"/>
          <w:szCs w:val="28"/>
        </w:rPr>
        <w:t>.</w:t>
      </w:r>
      <w:r w:rsidR="00097D48">
        <w:rPr>
          <w:rFonts w:ascii="Times New Roman" w:hAnsi="Times New Roman"/>
          <w:sz w:val="28"/>
          <w:szCs w:val="28"/>
        </w:rPr>
        <w:t xml:space="preserve"> Despite these cases and State Bar Ethics Opinion 93-13</w:t>
      </w:r>
      <w:r w:rsidR="003353C5">
        <w:rPr>
          <w:rFonts w:ascii="Times New Roman" w:hAnsi="Times New Roman"/>
          <w:sz w:val="28"/>
          <w:szCs w:val="28"/>
        </w:rPr>
        <w:t xml:space="preserve"> stating that abuse of the rule is cause for discipline</w:t>
      </w:r>
      <w:r w:rsidR="00097D48">
        <w:rPr>
          <w:rFonts w:ascii="Times New Roman" w:hAnsi="Times New Roman"/>
          <w:sz w:val="28"/>
          <w:szCs w:val="28"/>
        </w:rPr>
        <w:t xml:space="preserve">, </w:t>
      </w:r>
      <w:r w:rsidR="003353C5">
        <w:rPr>
          <w:rFonts w:ascii="Times New Roman" w:hAnsi="Times New Roman"/>
          <w:sz w:val="28"/>
          <w:szCs w:val="28"/>
        </w:rPr>
        <w:t xml:space="preserve">attorneys and judges typically will not file a bar charge for misuse of Rule 10.2. </w:t>
      </w:r>
      <w:r w:rsidR="00614C0B">
        <w:rPr>
          <w:rFonts w:ascii="Times New Roman" w:hAnsi="Times New Roman"/>
          <w:sz w:val="28"/>
          <w:szCs w:val="28"/>
        </w:rPr>
        <w:t>Even if someone did file a bar charge, this practice does not readily fall within any of the prohibited purposes in Rule 10.2(b)(2), and thus it is doubtful that the State Bar would be able to find misconduct.</w:t>
      </w:r>
    </w:p>
    <w:p w14:paraId="3C624C1D" w14:textId="72C89ACF" w:rsidR="003353C5" w:rsidRDefault="003353C5" w:rsidP="005E162E">
      <w:pPr>
        <w:spacing w:line="480" w:lineRule="auto"/>
        <w:ind w:firstLine="720"/>
        <w:jc w:val="both"/>
        <w:rPr>
          <w:rFonts w:ascii="Times New Roman" w:hAnsi="Times New Roman"/>
          <w:sz w:val="28"/>
          <w:szCs w:val="28"/>
        </w:rPr>
      </w:pPr>
      <w:r>
        <w:rPr>
          <w:rFonts w:ascii="Times New Roman" w:hAnsi="Times New Roman"/>
          <w:sz w:val="28"/>
          <w:szCs w:val="28"/>
        </w:rPr>
        <w:t xml:space="preserve">In criminal cases, </w:t>
      </w:r>
      <w:r w:rsidR="006858CA">
        <w:rPr>
          <w:rFonts w:ascii="Times New Roman" w:hAnsi="Times New Roman"/>
          <w:sz w:val="28"/>
          <w:szCs w:val="28"/>
        </w:rPr>
        <w:t>this results in</w:t>
      </w:r>
      <w:r>
        <w:rPr>
          <w:rFonts w:ascii="Times New Roman" w:hAnsi="Times New Roman"/>
          <w:sz w:val="28"/>
          <w:szCs w:val="28"/>
        </w:rPr>
        <w:t xml:space="preserve"> an imbalance between prosecutors and defendants. The State has complete control over the decision whether to dismiss and refile charges against a defendant</w:t>
      </w:r>
      <w:r w:rsidR="000A2030">
        <w:rPr>
          <w:rFonts w:ascii="Times New Roman" w:hAnsi="Times New Roman"/>
          <w:sz w:val="28"/>
          <w:szCs w:val="28"/>
        </w:rPr>
        <w:t>, thus giving</w:t>
      </w:r>
      <w:r>
        <w:rPr>
          <w:rFonts w:ascii="Times New Roman" w:hAnsi="Times New Roman"/>
          <w:sz w:val="28"/>
          <w:szCs w:val="28"/>
        </w:rPr>
        <w:t xml:space="preserve"> the State </w:t>
      </w:r>
      <w:r w:rsidR="000A2030">
        <w:rPr>
          <w:rFonts w:ascii="Times New Roman" w:hAnsi="Times New Roman"/>
          <w:sz w:val="28"/>
          <w:szCs w:val="28"/>
        </w:rPr>
        <w:t>the</w:t>
      </w:r>
      <w:r>
        <w:rPr>
          <w:rFonts w:ascii="Times New Roman" w:hAnsi="Times New Roman"/>
          <w:sz w:val="28"/>
          <w:szCs w:val="28"/>
        </w:rPr>
        <w:t xml:space="preserve"> cho</w:t>
      </w:r>
      <w:r w:rsidR="000A2030">
        <w:rPr>
          <w:rFonts w:ascii="Times New Roman" w:hAnsi="Times New Roman"/>
          <w:sz w:val="28"/>
          <w:szCs w:val="28"/>
        </w:rPr>
        <w:t>ic</w:t>
      </w:r>
      <w:r>
        <w:rPr>
          <w:rFonts w:ascii="Times New Roman" w:hAnsi="Times New Roman"/>
          <w:sz w:val="28"/>
          <w:szCs w:val="28"/>
        </w:rPr>
        <w:t xml:space="preserve">e whether it wishes to maintain the existing case number or file under a new case number. </w:t>
      </w:r>
      <w:r w:rsidR="008D4E4D">
        <w:rPr>
          <w:rFonts w:ascii="Times New Roman" w:hAnsi="Times New Roman"/>
          <w:sz w:val="28"/>
          <w:szCs w:val="28"/>
        </w:rPr>
        <w:t xml:space="preserve">A prosecutor who has received adverse rulings in a case may </w:t>
      </w:r>
      <w:r w:rsidR="00D4044E">
        <w:rPr>
          <w:rFonts w:ascii="Times New Roman" w:hAnsi="Times New Roman"/>
          <w:sz w:val="28"/>
          <w:szCs w:val="28"/>
        </w:rPr>
        <w:t xml:space="preserve">decide to go back to the grand jury and seek a new indictment for the primary purpose of obtaining a new case number, a new arraignment, and a new opportunity to change the judge. Once there is a new case, the prior rulings have no force of law; the same judge would likely </w:t>
      </w:r>
      <w:r w:rsidR="000A2030">
        <w:rPr>
          <w:rFonts w:ascii="Times New Roman" w:hAnsi="Times New Roman"/>
          <w:sz w:val="28"/>
          <w:szCs w:val="28"/>
        </w:rPr>
        <w:t>stand</w:t>
      </w:r>
      <w:r w:rsidR="00D4044E">
        <w:rPr>
          <w:rFonts w:ascii="Times New Roman" w:hAnsi="Times New Roman"/>
          <w:sz w:val="28"/>
          <w:szCs w:val="28"/>
        </w:rPr>
        <w:t xml:space="preserve"> by the prior rulings, but a new judge would be obligated to consider all legal questions in the first instance without reference to the prior rulings. Furthermore, the prosecutor in this scenario takes no risk, because the prosecutor is not required to dismiss the </w:t>
      </w:r>
      <w:r w:rsidR="000A2030">
        <w:rPr>
          <w:rFonts w:ascii="Times New Roman" w:hAnsi="Times New Roman"/>
          <w:sz w:val="28"/>
          <w:szCs w:val="28"/>
        </w:rPr>
        <w:t>existing</w:t>
      </w:r>
      <w:r w:rsidR="00D4044E">
        <w:rPr>
          <w:rFonts w:ascii="Times New Roman" w:hAnsi="Times New Roman"/>
          <w:sz w:val="28"/>
          <w:szCs w:val="28"/>
        </w:rPr>
        <w:t xml:space="preserve"> case before seeking a new indictment; </w:t>
      </w:r>
      <w:r w:rsidR="00D4044E">
        <w:rPr>
          <w:rFonts w:ascii="Times New Roman" w:hAnsi="Times New Roman"/>
          <w:sz w:val="28"/>
          <w:szCs w:val="28"/>
        </w:rPr>
        <w:lastRenderedPageBreak/>
        <w:t xml:space="preserve">therefore, on the </w:t>
      </w:r>
      <w:r w:rsidR="004711E3">
        <w:rPr>
          <w:rFonts w:ascii="Times New Roman" w:hAnsi="Times New Roman"/>
          <w:sz w:val="28"/>
          <w:szCs w:val="28"/>
        </w:rPr>
        <w:t>off chance</w:t>
      </w:r>
      <w:r w:rsidR="00D4044E">
        <w:rPr>
          <w:rFonts w:ascii="Times New Roman" w:hAnsi="Times New Roman"/>
          <w:sz w:val="28"/>
          <w:szCs w:val="28"/>
        </w:rPr>
        <w:t xml:space="preserve"> that the new grand jury does not return a true bill, the prosecutor can stick with the existing case.</w:t>
      </w:r>
      <w:r w:rsidR="007232A9">
        <w:rPr>
          <w:rFonts w:ascii="Times New Roman" w:hAnsi="Times New Roman"/>
          <w:sz w:val="28"/>
          <w:szCs w:val="28"/>
        </w:rPr>
        <w:t xml:space="preserve"> </w:t>
      </w:r>
    </w:p>
    <w:p w14:paraId="32A9494F" w14:textId="38145F02" w:rsidR="004711E3" w:rsidRDefault="00DA0C86" w:rsidP="005E162E">
      <w:pPr>
        <w:spacing w:line="480" w:lineRule="auto"/>
        <w:ind w:firstLine="720"/>
        <w:jc w:val="both"/>
        <w:rPr>
          <w:rFonts w:ascii="Times New Roman" w:hAnsi="Times New Roman"/>
          <w:sz w:val="28"/>
          <w:szCs w:val="28"/>
        </w:rPr>
      </w:pPr>
      <w:r>
        <w:rPr>
          <w:rFonts w:ascii="Times New Roman" w:hAnsi="Times New Roman"/>
          <w:sz w:val="28"/>
          <w:szCs w:val="28"/>
        </w:rPr>
        <w:t xml:space="preserve">Unlike other past petitions, this petition does not seek to throw out the baby with the bathwater and repeal Rule 10.2. </w:t>
      </w:r>
      <w:r w:rsidRPr="00DA0C86">
        <w:rPr>
          <w:rFonts w:ascii="Times New Roman" w:hAnsi="Times New Roman"/>
          <w:i/>
          <w:iCs/>
          <w:sz w:val="28"/>
          <w:szCs w:val="28"/>
        </w:rPr>
        <w:t>See</w:t>
      </w:r>
      <w:r>
        <w:rPr>
          <w:rFonts w:ascii="Times New Roman" w:hAnsi="Times New Roman"/>
          <w:sz w:val="28"/>
          <w:szCs w:val="28"/>
        </w:rPr>
        <w:t xml:space="preserve"> </w:t>
      </w:r>
      <w:hyperlink r:id="rId12" w:history="1">
        <w:r w:rsidRPr="005A42FA">
          <w:rPr>
            <w:rStyle w:val="Hyperlink"/>
            <w:rFonts w:ascii="Times New Roman" w:hAnsi="Times New Roman"/>
            <w:sz w:val="28"/>
            <w:szCs w:val="28"/>
          </w:rPr>
          <w:t>R-21-0006</w:t>
        </w:r>
      </w:hyperlink>
      <w:r>
        <w:rPr>
          <w:rFonts w:ascii="Times New Roman" w:hAnsi="Times New Roman"/>
          <w:sz w:val="28"/>
          <w:szCs w:val="28"/>
        </w:rPr>
        <w:t xml:space="preserve"> (petition of Committee of Presiding Judges, denied August 24, 2021).</w:t>
      </w:r>
      <w:r w:rsidR="007232A9">
        <w:rPr>
          <w:rFonts w:ascii="Times New Roman" w:hAnsi="Times New Roman"/>
          <w:sz w:val="28"/>
          <w:szCs w:val="28"/>
        </w:rPr>
        <w:t xml:space="preserve"> Nor does it seek altogether to strip prosecutors of the right. </w:t>
      </w:r>
      <w:r w:rsidR="007232A9" w:rsidRPr="007232A9">
        <w:rPr>
          <w:rFonts w:ascii="Times New Roman" w:hAnsi="Times New Roman"/>
          <w:i/>
          <w:iCs/>
          <w:sz w:val="28"/>
          <w:szCs w:val="28"/>
        </w:rPr>
        <w:t xml:space="preserve">See City Court of </w:t>
      </w:r>
      <w:r w:rsidR="00837FEF">
        <w:rPr>
          <w:rFonts w:ascii="Times New Roman" w:hAnsi="Times New Roman"/>
          <w:i/>
          <w:iCs/>
          <w:sz w:val="28"/>
          <w:szCs w:val="28"/>
        </w:rPr>
        <w:t xml:space="preserve">City of </w:t>
      </w:r>
      <w:r w:rsidR="007232A9" w:rsidRPr="007232A9">
        <w:rPr>
          <w:rFonts w:ascii="Times New Roman" w:hAnsi="Times New Roman"/>
          <w:i/>
          <w:iCs/>
          <w:sz w:val="28"/>
          <w:szCs w:val="28"/>
        </w:rPr>
        <w:t>Tucson</w:t>
      </w:r>
      <w:r w:rsidR="007232A9">
        <w:rPr>
          <w:rFonts w:ascii="Times New Roman" w:hAnsi="Times New Roman"/>
          <w:sz w:val="28"/>
          <w:szCs w:val="28"/>
        </w:rPr>
        <w:t xml:space="preserve">, 150 Ariz. at 103-04 (“We </w:t>
      </w:r>
      <w:r w:rsidR="007232A9" w:rsidRPr="007232A9">
        <w:rPr>
          <w:rFonts w:ascii="Times New Roman" w:hAnsi="Times New Roman"/>
          <w:sz w:val="28"/>
          <w:szCs w:val="28"/>
        </w:rPr>
        <w:t>could, for example, grant the defendant a right to peremptory challenge of a judge and not give that same right to the prosecutor. Indeed, some states do give this right to the defendant only and not to the state.</w:t>
      </w:r>
      <w:r w:rsidR="007232A9" w:rsidRPr="007232A9">
        <w:t xml:space="preserve"> </w:t>
      </w:r>
      <w:r w:rsidR="007232A9" w:rsidRPr="007232A9">
        <w:rPr>
          <w:rFonts w:ascii="Times New Roman" w:hAnsi="Times New Roman"/>
          <w:sz w:val="28"/>
          <w:szCs w:val="28"/>
        </w:rPr>
        <w:t>We find no ethical, legal or constitutional problem in denying the right to peremptory challenge to the state while not applying it to the defense.”</w:t>
      </w:r>
      <w:r w:rsidR="007232A9">
        <w:rPr>
          <w:rFonts w:ascii="Times New Roman" w:hAnsi="Times New Roman"/>
          <w:sz w:val="28"/>
          <w:szCs w:val="28"/>
        </w:rPr>
        <w:t xml:space="preserve"> (citations omitted)). This change would not impact as many cases, presumably because most prosecutors, acting as ministers of justice, </w:t>
      </w:r>
      <w:r w:rsidR="00614C0B">
        <w:rPr>
          <w:rFonts w:ascii="Times New Roman" w:hAnsi="Times New Roman"/>
          <w:sz w:val="28"/>
          <w:szCs w:val="28"/>
        </w:rPr>
        <w:t>would</w:t>
      </w:r>
      <w:r w:rsidR="007232A9">
        <w:rPr>
          <w:rFonts w:ascii="Times New Roman" w:hAnsi="Times New Roman"/>
          <w:sz w:val="28"/>
          <w:szCs w:val="28"/>
        </w:rPr>
        <w:t xml:space="preserve"> not </w:t>
      </w:r>
      <w:r w:rsidR="00614C0B">
        <w:rPr>
          <w:rFonts w:ascii="Times New Roman" w:hAnsi="Times New Roman"/>
          <w:sz w:val="28"/>
          <w:szCs w:val="28"/>
        </w:rPr>
        <w:t>abuse the rule in such a manner.</w:t>
      </w:r>
    </w:p>
    <w:p w14:paraId="2D830560" w14:textId="4052211F" w:rsidR="003353C5" w:rsidRDefault="00D90267" w:rsidP="005E162E">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D90267">
        <w:rPr>
          <w:rFonts w:ascii="Times New Roman" w:hAnsi="Times New Roman"/>
          <w:i/>
          <w:iCs/>
          <w:sz w:val="28"/>
          <w:szCs w:val="28"/>
        </w:rPr>
        <w:t>State v. Morf</w:t>
      </w:r>
      <w:r>
        <w:rPr>
          <w:rFonts w:ascii="Times New Roman" w:hAnsi="Times New Roman"/>
          <w:sz w:val="28"/>
          <w:szCs w:val="28"/>
        </w:rPr>
        <w:t xml:space="preserve">, Pima County Superior Court No. CR-20210842-001, as trial was set to commence, the prosecutor requested a continuance, over the objection of the defendant, for the purpose of amending the original indictment. The trial court denied the request, but the court granted the defendant’s request for a mistrial when the prosecutor untimely disclosed voluminous phone downloads. When the court and defendant wished to reschedule the new trial for the following week, the prosecutor balked because he intended to go back to the grand jury to obtain a new </w:t>
      </w:r>
      <w:r>
        <w:rPr>
          <w:rFonts w:ascii="Times New Roman" w:hAnsi="Times New Roman"/>
          <w:sz w:val="28"/>
          <w:szCs w:val="28"/>
        </w:rPr>
        <w:lastRenderedPageBreak/>
        <w:t>indictment. Then, when he obtained the indictment under a new case number, No. CR-20232655-001, the prosecutor filed a notice of change of judge. Defense counsel objected</w:t>
      </w:r>
      <w:r w:rsidR="004F456D">
        <w:rPr>
          <w:rFonts w:ascii="Times New Roman" w:hAnsi="Times New Roman"/>
          <w:sz w:val="28"/>
          <w:szCs w:val="28"/>
        </w:rPr>
        <w:t xml:space="preserve">, but the presiding judge, following </w:t>
      </w:r>
      <w:r w:rsidR="004F456D" w:rsidRPr="004F456D">
        <w:rPr>
          <w:rFonts w:ascii="Times New Roman" w:hAnsi="Times New Roman"/>
          <w:i/>
          <w:iCs/>
          <w:sz w:val="28"/>
          <w:szCs w:val="28"/>
        </w:rPr>
        <w:t>Gilbert Prosecutor’s Office</w:t>
      </w:r>
      <w:r w:rsidR="004F456D">
        <w:rPr>
          <w:rFonts w:ascii="Times New Roman" w:hAnsi="Times New Roman"/>
          <w:sz w:val="28"/>
          <w:szCs w:val="28"/>
        </w:rPr>
        <w:t>, granted the change of judge. Had the prosecutor maintained the same case number, the change of judge would not have been possible. This is the kind of abuse that the Rule currently tolerates, but should not.</w:t>
      </w:r>
    </w:p>
    <w:p w14:paraId="4CF4444C" w14:textId="126CA60A" w:rsidR="00A41C4A" w:rsidRDefault="004F456D" w:rsidP="00284416">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Petitioner requests </w:t>
      </w:r>
      <w:r w:rsidR="00316064">
        <w:rPr>
          <w:rFonts w:ascii="Times New Roman" w:hAnsi="Times New Roman"/>
          <w:sz w:val="28"/>
          <w:szCs w:val="28"/>
        </w:rPr>
        <w:t xml:space="preserve">that this Court adopt the proposed change to </w:t>
      </w:r>
      <w:r>
        <w:rPr>
          <w:rFonts w:ascii="Times New Roman" w:hAnsi="Times New Roman"/>
          <w:sz w:val="28"/>
          <w:szCs w:val="28"/>
        </w:rPr>
        <w:t xml:space="preserve">Rule 10.2 </w:t>
      </w:r>
      <w:r w:rsidR="00316064">
        <w:rPr>
          <w:rFonts w:ascii="Times New Roman" w:hAnsi="Times New Roman"/>
          <w:sz w:val="28"/>
          <w:szCs w:val="28"/>
        </w:rPr>
        <w:t>as specified in the Attachment</w:t>
      </w:r>
      <w:r>
        <w:rPr>
          <w:rFonts w:ascii="Times New Roman" w:hAnsi="Times New Roman"/>
          <w:sz w:val="28"/>
          <w:szCs w:val="28"/>
        </w:rPr>
        <w:t>.</w:t>
      </w:r>
    </w:p>
    <w:p w14:paraId="268AB80E" w14:textId="37A793AA"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812FE">
        <w:rPr>
          <w:rFonts w:ascii="Times New Roman" w:hAnsi="Times New Roman"/>
          <w:sz w:val="28"/>
          <w:szCs w:val="28"/>
        </w:rPr>
        <w:t>January</w:t>
      </w:r>
      <w:r w:rsidR="002C660A">
        <w:rPr>
          <w:rFonts w:ascii="Times New Roman" w:hAnsi="Times New Roman"/>
          <w:sz w:val="28"/>
          <w:szCs w:val="28"/>
        </w:rPr>
        <w:t xml:space="preserve"> </w:t>
      </w:r>
      <w:r w:rsidR="00071B11">
        <w:rPr>
          <w:rFonts w:ascii="Times New Roman" w:hAnsi="Times New Roman"/>
          <w:sz w:val="28"/>
          <w:szCs w:val="28"/>
        </w:rPr>
        <w:t>10</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0AC96105" w14:textId="6FC52ADD" w:rsidR="00DD518B" w:rsidRDefault="00DD518B">
      <w:pPr>
        <w:spacing w:line="240" w:lineRule="auto"/>
        <w:rPr>
          <w:rFonts w:ascii="Times New Roman" w:hAnsi="Times New Roman"/>
          <w:sz w:val="28"/>
          <w:szCs w:val="28"/>
        </w:rPr>
      </w:pPr>
      <w:r>
        <w:rPr>
          <w:rFonts w:ascii="Times New Roman" w:hAnsi="Times New Roman"/>
          <w:sz w:val="28"/>
          <w:szCs w:val="28"/>
        </w:rPr>
        <w:br w:type="page"/>
      </w:r>
    </w:p>
    <w:p w14:paraId="10C42686" w14:textId="77777777" w:rsidR="00955806" w:rsidRPr="003A2C4F" w:rsidRDefault="00955806" w:rsidP="00955806">
      <w:pPr>
        <w:spacing w:line="240" w:lineRule="auto"/>
        <w:ind w:left="720" w:right="720"/>
        <w:jc w:val="center"/>
        <w:rPr>
          <w:rFonts w:ascii="Times New Roman" w:hAnsi="Times New Roman"/>
          <w:b/>
          <w:bCs/>
          <w:sz w:val="28"/>
          <w:szCs w:val="28"/>
        </w:rPr>
      </w:pPr>
      <w:bookmarkStart w:id="3" w:name="_Hlk155622735"/>
      <w:r w:rsidRPr="003A2C4F">
        <w:rPr>
          <w:rFonts w:ascii="Times New Roman" w:hAnsi="Times New Roman"/>
          <w:b/>
          <w:bCs/>
          <w:sz w:val="28"/>
          <w:szCs w:val="28"/>
        </w:rPr>
        <w:lastRenderedPageBreak/>
        <w:t>ATTACHMENT</w:t>
      </w:r>
      <w:r>
        <w:rPr>
          <w:rStyle w:val="FootnoteReference"/>
          <w:rFonts w:ascii="Times New Roman" w:hAnsi="Times New Roman"/>
          <w:b/>
          <w:bCs/>
          <w:sz w:val="28"/>
          <w:szCs w:val="28"/>
        </w:rPr>
        <w:footnoteReference w:id="1"/>
      </w:r>
    </w:p>
    <w:p w14:paraId="500697BA" w14:textId="77777777" w:rsidR="00955806" w:rsidRDefault="00955806" w:rsidP="00955806">
      <w:pPr>
        <w:spacing w:line="240" w:lineRule="auto"/>
        <w:ind w:left="720" w:right="720"/>
        <w:jc w:val="both"/>
        <w:rPr>
          <w:rFonts w:ascii="Times New Roman" w:hAnsi="Times New Roman"/>
          <w:sz w:val="28"/>
          <w:szCs w:val="28"/>
        </w:rPr>
      </w:pPr>
    </w:p>
    <w:bookmarkEnd w:id="3"/>
    <w:p w14:paraId="7A2D3847" w14:textId="40E900C3" w:rsidR="00DD518B" w:rsidRDefault="00DD518B" w:rsidP="00DD518B">
      <w:pPr>
        <w:spacing w:line="240" w:lineRule="auto"/>
        <w:ind w:left="720" w:right="720"/>
        <w:jc w:val="both"/>
        <w:rPr>
          <w:rFonts w:ascii="Times New Roman" w:hAnsi="Times New Roman"/>
          <w:sz w:val="28"/>
          <w:szCs w:val="28"/>
        </w:rPr>
      </w:pPr>
      <w:r>
        <w:rPr>
          <w:rFonts w:ascii="Times New Roman" w:hAnsi="Times New Roman"/>
          <w:sz w:val="28"/>
          <w:szCs w:val="28"/>
        </w:rPr>
        <w:t>Ariz. R. Crim. P. 1</w:t>
      </w:r>
      <w:r w:rsidR="00A73B82">
        <w:rPr>
          <w:rFonts w:ascii="Times New Roman" w:hAnsi="Times New Roman"/>
          <w:sz w:val="28"/>
          <w:szCs w:val="28"/>
        </w:rPr>
        <w:t>0</w:t>
      </w:r>
      <w:r>
        <w:rPr>
          <w:rFonts w:ascii="Times New Roman" w:hAnsi="Times New Roman"/>
          <w:sz w:val="28"/>
          <w:szCs w:val="28"/>
        </w:rPr>
        <w:t xml:space="preserve">.2. </w:t>
      </w:r>
      <w:r w:rsidR="00A73B82">
        <w:rPr>
          <w:rFonts w:ascii="Times New Roman" w:hAnsi="Times New Roman"/>
          <w:sz w:val="28"/>
          <w:szCs w:val="28"/>
        </w:rPr>
        <w:t>Change of Judge as a Matter of Right</w:t>
      </w:r>
      <w:r>
        <w:rPr>
          <w:rFonts w:ascii="Times New Roman" w:hAnsi="Times New Roman"/>
          <w:sz w:val="28"/>
          <w:szCs w:val="28"/>
        </w:rPr>
        <w:t>.</w:t>
      </w:r>
    </w:p>
    <w:p w14:paraId="33D4E55E" w14:textId="77777777" w:rsidR="00DD518B" w:rsidRDefault="00DD518B" w:rsidP="00DD518B">
      <w:pPr>
        <w:spacing w:line="240" w:lineRule="auto"/>
        <w:ind w:left="720" w:right="720"/>
        <w:jc w:val="both"/>
        <w:rPr>
          <w:rFonts w:ascii="Times New Roman" w:hAnsi="Times New Roman"/>
          <w:sz w:val="28"/>
          <w:szCs w:val="28"/>
        </w:rPr>
      </w:pPr>
    </w:p>
    <w:p w14:paraId="659A62DD" w14:textId="397FF2D0" w:rsidR="00331802" w:rsidRPr="00331802" w:rsidRDefault="00A73B82" w:rsidP="00331802">
      <w:pPr>
        <w:pStyle w:val="ListParagraph"/>
        <w:numPr>
          <w:ilvl w:val="0"/>
          <w:numId w:val="12"/>
        </w:numPr>
        <w:spacing w:line="240" w:lineRule="auto"/>
        <w:ind w:right="720"/>
        <w:jc w:val="both"/>
        <w:rPr>
          <w:rFonts w:ascii="Times New Roman" w:hAnsi="Times New Roman"/>
          <w:sz w:val="28"/>
          <w:szCs w:val="28"/>
        </w:rPr>
      </w:pPr>
      <w:r>
        <w:rPr>
          <w:rFonts w:ascii="Times New Roman" w:hAnsi="Times New Roman"/>
          <w:b/>
          <w:bCs/>
          <w:sz w:val="28"/>
          <w:szCs w:val="28"/>
        </w:rPr>
        <w:t>Entitlement</w:t>
      </w:r>
      <w:r w:rsidR="00DD518B" w:rsidRPr="00331802">
        <w:rPr>
          <w:rFonts w:ascii="Times New Roman" w:hAnsi="Times New Roman"/>
          <w:sz w:val="28"/>
          <w:szCs w:val="28"/>
        </w:rPr>
        <w:t xml:space="preserve">. </w:t>
      </w:r>
    </w:p>
    <w:p w14:paraId="6FA22C3C" w14:textId="3FB9CFD3" w:rsidR="00DD518B" w:rsidRDefault="00A73B82" w:rsidP="00B16084">
      <w:pPr>
        <w:pStyle w:val="ListParagraph"/>
        <w:numPr>
          <w:ilvl w:val="0"/>
          <w:numId w:val="13"/>
        </w:numPr>
        <w:spacing w:line="240" w:lineRule="auto"/>
        <w:ind w:left="1440" w:right="720"/>
        <w:jc w:val="both"/>
        <w:rPr>
          <w:rFonts w:ascii="Times New Roman" w:hAnsi="Times New Roman"/>
          <w:sz w:val="28"/>
          <w:szCs w:val="28"/>
        </w:rPr>
      </w:pPr>
      <w:r>
        <w:rPr>
          <w:rFonts w:ascii="Times New Roman" w:hAnsi="Times New Roman"/>
          <w:i/>
          <w:iCs/>
          <w:sz w:val="28"/>
          <w:szCs w:val="28"/>
        </w:rPr>
        <w:t>Generally</w:t>
      </w:r>
      <w:r w:rsidR="00331802">
        <w:rPr>
          <w:rFonts w:ascii="Times New Roman" w:hAnsi="Times New Roman"/>
          <w:sz w:val="28"/>
          <w:szCs w:val="28"/>
        </w:rPr>
        <w:t xml:space="preserve">. </w:t>
      </w:r>
      <w:r w:rsidRPr="00A73B82">
        <w:rPr>
          <w:rFonts w:ascii="Times New Roman" w:hAnsi="Times New Roman"/>
          <w:sz w:val="28"/>
          <w:szCs w:val="28"/>
        </w:rPr>
        <w:t>Each side in a criminal case is entitled to one change of judge as a matter of right. If two or more parties on a side have adverse or hostile interests, the presiding judge or that judge</w:t>
      </w:r>
      <w:r>
        <w:rPr>
          <w:rFonts w:ascii="Times New Roman" w:hAnsi="Times New Roman"/>
          <w:sz w:val="28"/>
          <w:szCs w:val="28"/>
        </w:rPr>
        <w:t>’</w:t>
      </w:r>
      <w:r w:rsidRPr="00A73B82">
        <w:rPr>
          <w:rFonts w:ascii="Times New Roman" w:hAnsi="Times New Roman"/>
          <w:sz w:val="28"/>
          <w:szCs w:val="28"/>
        </w:rPr>
        <w:t>s designee may allow additional changes of judge as a matter of right</w:t>
      </w:r>
      <w:r w:rsidR="00DD518B" w:rsidRPr="00331802">
        <w:rPr>
          <w:rFonts w:ascii="Times New Roman" w:hAnsi="Times New Roman"/>
          <w:sz w:val="28"/>
          <w:szCs w:val="28"/>
        </w:rPr>
        <w:t>.</w:t>
      </w:r>
    </w:p>
    <w:p w14:paraId="50F09668" w14:textId="77777777" w:rsidR="00A73B82" w:rsidRDefault="00A73B82" w:rsidP="00B16084">
      <w:pPr>
        <w:pStyle w:val="ListParagraph"/>
        <w:numPr>
          <w:ilvl w:val="0"/>
          <w:numId w:val="13"/>
        </w:numPr>
        <w:spacing w:line="240" w:lineRule="auto"/>
        <w:ind w:left="1440" w:right="720"/>
        <w:jc w:val="both"/>
        <w:rPr>
          <w:rFonts w:ascii="Times New Roman" w:hAnsi="Times New Roman"/>
          <w:sz w:val="28"/>
          <w:szCs w:val="28"/>
        </w:rPr>
      </w:pPr>
      <w:r>
        <w:rPr>
          <w:rFonts w:ascii="Times New Roman" w:hAnsi="Times New Roman"/>
          <w:i/>
          <w:iCs/>
          <w:sz w:val="28"/>
          <w:szCs w:val="28"/>
        </w:rPr>
        <w:t>Meaning of “Side</w:t>
      </w:r>
      <w:r w:rsidR="003E0313">
        <w:rPr>
          <w:rFonts w:ascii="Times New Roman" w:hAnsi="Times New Roman"/>
          <w:sz w:val="28"/>
          <w:szCs w:val="28"/>
        </w:rPr>
        <w:t>.</w:t>
      </w:r>
      <w:r w:rsidRPr="00A73B82">
        <w:rPr>
          <w:rFonts w:ascii="Times New Roman" w:hAnsi="Times New Roman"/>
          <w:i/>
          <w:iCs/>
          <w:sz w:val="28"/>
          <w:szCs w:val="28"/>
        </w:rPr>
        <w:t>”</w:t>
      </w:r>
      <w:r>
        <w:rPr>
          <w:rFonts w:ascii="Times New Roman" w:hAnsi="Times New Roman"/>
          <w:sz w:val="28"/>
          <w:szCs w:val="28"/>
        </w:rPr>
        <w:t xml:space="preserve"> Each case, including one that is consolidated, is treated as having only two sides.</w:t>
      </w:r>
    </w:p>
    <w:p w14:paraId="3E1D12C0" w14:textId="5A5E7EDB" w:rsidR="003E0313" w:rsidRDefault="00A73B82" w:rsidP="00B16084">
      <w:pPr>
        <w:pStyle w:val="ListParagraph"/>
        <w:numPr>
          <w:ilvl w:val="0"/>
          <w:numId w:val="13"/>
        </w:numPr>
        <w:spacing w:line="240" w:lineRule="auto"/>
        <w:ind w:left="1440" w:right="720"/>
        <w:jc w:val="both"/>
        <w:rPr>
          <w:rFonts w:ascii="Times New Roman" w:hAnsi="Times New Roman"/>
          <w:sz w:val="28"/>
          <w:szCs w:val="28"/>
        </w:rPr>
      </w:pPr>
      <w:r>
        <w:rPr>
          <w:rFonts w:ascii="Times New Roman" w:hAnsi="Times New Roman"/>
          <w:i/>
          <w:iCs/>
          <w:sz w:val="28"/>
          <w:szCs w:val="28"/>
        </w:rPr>
        <w:t>Per Party Limit</w:t>
      </w:r>
      <w:r>
        <w:rPr>
          <w:rFonts w:ascii="Times New Roman" w:hAnsi="Times New Roman"/>
          <w:sz w:val="28"/>
          <w:szCs w:val="28"/>
        </w:rPr>
        <w:t xml:space="preserve">.  </w:t>
      </w:r>
      <w:r w:rsidRPr="00A73B82">
        <w:rPr>
          <w:rFonts w:ascii="Times New Roman" w:hAnsi="Times New Roman"/>
          <w:sz w:val="28"/>
          <w:szCs w:val="28"/>
        </w:rPr>
        <w:t>A party exercising a change of judge as a matter of right is not entitled to another change of judge as a matter of right.</w:t>
      </w:r>
    </w:p>
    <w:p w14:paraId="5845B853" w14:textId="699D3B77" w:rsidR="00D23014" w:rsidRPr="00D23014" w:rsidRDefault="00A73B82" w:rsidP="00B16084">
      <w:pPr>
        <w:pStyle w:val="ListParagraph"/>
        <w:numPr>
          <w:ilvl w:val="0"/>
          <w:numId w:val="13"/>
        </w:numPr>
        <w:spacing w:line="240" w:lineRule="auto"/>
        <w:ind w:left="1440" w:right="720"/>
        <w:jc w:val="both"/>
        <w:rPr>
          <w:rFonts w:ascii="Times New Roman" w:hAnsi="Times New Roman"/>
          <w:b/>
          <w:bCs/>
          <w:sz w:val="28"/>
          <w:szCs w:val="28"/>
          <w:u w:val="single"/>
        </w:rPr>
      </w:pPr>
      <w:r w:rsidRPr="00A73B82">
        <w:rPr>
          <w:rFonts w:ascii="Times New Roman" w:hAnsi="Times New Roman"/>
          <w:i/>
          <w:iCs/>
          <w:sz w:val="28"/>
          <w:szCs w:val="28"/>
        </w:rPr>
        <w:t>Inapplicability to Certain Proceedings</w:t>
      </w:r>
      <w:r w:rsidR="003E0313" w:rsidRPr="003E0313">
        <w:rPr>
          <w:rFonts w:ascii="Times New Roman" w:hAnsi="Times New Roman"/>
          <w:sz w:val="28"/>
          <w:szCs w:val="28"/>
        </w:rPr>
        <w:t>.</w:t>
      </w:r>
      <w:r w:rsidR="00911858">
        <w:rPr>
          <w:rFonts w:ascii="Times New Roman" w:hAnsi="Times New Roman"/>
          <w:sz w:val="28"/>
          <w:szCs w:val="28"/>
        </w:rPr>
        <w:t xml:space="preserve"> </w:t>
      </w:r>
      <w:r w:rsidRPr="00A73B82">
        <w:rPr>
          <w:rFonts w:ascii="Times New Roman" w:hAnsi="Times New Roman"/>
          <w:sz w:val="28"/>
          <w:szCs w:val="28"/>
        </w:rPr>
        <w:t>A party is not entitled to a change of judge as a matter of right</w:t>
      </w:r>
      <w:r w:rsidR="00D23014" w:rsidRPr="00D23014">
        <w:rPr>
          <w:rFonts w:ascii="Times New Roman" w:hAnsi="Times New Roman"/>
          <w:b/>
          <w:bCs/>
          <w:sz w:val="28"/>
          <w:szCs w:val="28"/>
          <w:u w:val="single"/>
        </w:rPr>
        <w:t>:</w:t>
      </w:r>
    </w:p>
    <w:p w14:paraId="7164B4E6" w14:textId="0B5F1120" w:rsidR="003E0313" w:rsidRDefault="00D23014" w:rsidP="00D23014">
      <w:pPr>
        <w:pStyle w:val="ListParagraph"/>
        <w:numPr>
          <w:ilvl w:val="0"/>
          <w:numId w:val="15"/>
        </w:numPr>
        <w:spacing w:line="240" w:lineRule="auto"/>
        <w:ind w:left="2160" w:right="720"/>
        <w:jc w:val="both"/>
        <w:rPr>
          <w:rFonts w:ascii="Times New Roman" w:hAnsi="Times New Roman"/>
          <w:sz w:val="28"/>
          <w:szCs w:val="28"/>
        </w:rPr>
      </w:pPr>
      <w:r w:rsidRPr="00A73B82">
        <w:rPr>
          <w:rFonts w:ascii="Times New Roman" w:hAnsi="Times New Roman"/>
          <w:sz w:val="28"/>
          <w:szCs w:val="28"/>
        </w:rPr>
        <w:t>i</w:t>
      </w:r>
      <w:r>
        <w:rPr>
          <w:rFonts w:ascii="Times New Roman" w:hAnsi="Times New Roman"/>
          <w:sz w:val="28"/>
          <w:szCs w:val="28"/>
        </w:rPr>
        <w:t>n</w:t>
      </w:r>
      <w:r w:rsidRPr="00A73B82">
        <w:rPr>
          <w:rFonts w:ascii="Times New Roman" w:hAnsi="Times New Roman"/>
          <w:sz w:val="28"/>
          <w:szCs w:val="28"/>
        </w:rPr>
        <w:t xml:space="preserve"> </w:t>
      </w:r>
      <w:r w:rsidR="00A73B82" w:rsidRPr="00A73B82">
        <w:rPr>
          <w:rFonts w:ascii="Times New Roman" w:hAnsi="Times New Roman"/>
          <w:sz w:val="28"/>
          <w:szCs w:val="28"/>
        </w:rPr>
        <w:t>a remand for resentencing</w:t>
      </w:r>
      <w:r w:rsidRPr="00D23014">
        <w:rPr>
          <w:rFonts w:ascii="Times New Roman" w:hAnsi="Times New Roman"/>
          <w:b/>
          <w:bCs/>
          <w:sz w:val="28"/>
          <w:szCs w:val="28"/>
          <w:u w:val="single"/>
        </w:rPr>
        <w:t>; or</w:t>
      </w:r>
    </w:p>
    <w:p w14:paraId="37F52AC7" w14:textId="12E42C52" w:rsidR="00D23014" w:rsidRPr="00D23014" w:rsidRDefault="00D23014" w:rsidP="00D23014">
      <w:pPr>
        <w:pStyle w:val="ListParagraph"/>
        <w:numPr>
          <w:ilvl w:val="0"/>
          <w:numId w:val="15"/>
        </w:numPr>
        <w:spacing w:line="240" w:lineRule="auto"/>
        <w:ind w:left="2160" w:right="720"/>
        <w:jc w:val="both"/>
        <w:rPr>
          <w:rFonts w:ascii="Times New Roman" w:hAnsi="Times New Roman"/>
          <w:b/>
          <w:bCs/>
          <w:sz w:val="28"/>
          <w:szCs w:val="28"/>
          <w:u w:val="single"/>
        </w:rPr>
      </w:pPr>
      <w:r>
        <w:rPr>
          <w:rFonts w:ascii="Times New Roman" w:hAnsi="Times New Roman"/>
          <w:b/>
          <w:bCs/>
          <w:sz w:val="28"/>
          <w:szCs w:val="28"/>
          <w:u w:val="single"/>
        </w:rPr>
        <w:t>when the State dismisses a prosecution and refiles a prosecution involving the same subject matter, in which case only the State is not entitled to a change of judge as a matter of right.</w:t>
      </w:r>
    </w:p>
    <w:p w14:paraId="3B87E1A6" w14:textId="77777777" w:rsidR="00DD518B" w:rsidRDefault="00DD518B" w:rsidP="00DD518B">
      <w:pPr>
        <w:spacing w:line="240" w:lineRule="auto"/>
        <w:ind w:left="720" w:right="720" w:firstLine="720"/>
        <w:jc w:val="both"/>
        <w:rPr>
          <w:rFonts w:ascii="Times New Roman" w:hAnsi="Times New Roman"/>
          <w:sz w:val="28"/>
          <w:szCs w:val="28"/>
        </w:rPr>
      </w:pPr>
    </w:p>
    <w:p w14:paraId="66E86DDA" w14:textId="087C3F0A" w:rsidR="00DD518B" w:rsidRDefault="00DD518B" w:rsidP="00DD518B">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w:t>
      </w:r>
      <w:r w:rsidR="00350551">
        <w:rPr>
          <w:rFonts w:ascii="Times New Roman" w:hAnsi="Times New Roman"/>
          <w:sz w:val="28"/>
          <w:szCs w:val="28"/>
        </w:rPr>
        <w:t>b</w:t>
      </w:r>
      <w:r>
        <w:rPr>
          <w:rFonts w:ascii="Times New Roman" w:hAnsi="Times New Roman"/>
          <w:sz w:val="28"/>
          <w:szCs w:val="28"/>
        </w:rPr>
        <w:t>)-(</w:t>
      </w:r>
      <w:r w:rsidR="00A73B82">
        <w:rPr>
          <w:rFonts w:ascii="Times New Roman" w:hAnsi="Times New Roman"/>
          <w:sz w:val="28"/>
          <w:szCs w:val="28"/>
        </w:rPr>
        <w:t>f</w:t>
      </w:r>
      <w:r>
        <w:rPr>
          <w:rFonts w:ascii="Times New Roman" w:hAnsi="Times New Roman"/>
          <w:sz w:val="28"/>
          <w:szCs w:val="28"/>
        </w:rPr>
        <w:t>) [No change]</w:t>
      </w:r>
    </w:p>
    <w:p w14:paraId="7A0A5A0A" w14:textId="77777777" w:rsidR="008163D1" w:rsidRDefault="008163D1" w:rsidP="00DC38DE">
      <w:pPr>
        <w:spacing w:line="240" w:lineRule="auto"/>
        <w:rPr>
          <w:rFonts w:ascii="Times New Roman" w:hAnsi="Times New Roman"/>
          <w:sz w:val="28"/>
          <w:szCs w:val="28"/>
        </w:rPr>
      </w:pPr>
    </w:p>
    <w:sectPr w:rsidR="008163D1"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27F7AB7D" w14:textId="77777777" w:rsidR="00955806" w:rsidRPr="00EE3B6B" w:rsidRDefault="00955806" w:rsidP="00955806">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AAAB" w14:textId="77777777" w:rsidR="000E79CC" w:rsidRDefault="000E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5E30" w14:textId="0960CC9C" w:rsidR="000E79CC" w:rsidRDefault="000E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F293" w14:textId="77777777" w:rsidR="000E79CC" w:rsidRDefault="000E7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9"/>
  </w:num>
  <w:num w:numId="6" w16cid:durableId="1378436400">
    <w:abstractNumId w:val="13"/>
  </w:num>
  <w:num w:numId="7" w16cid:durableId="991374513">
    <w:abstractNumId w:val="4"/>
  </w:num>
  <w:num w:numId="8" w16cid:durableId="1700660638">
    <w:abstractNumId w:val="7"/>
  </w:num>
  <w:num w:numId="9" w16cid:durableId="372001553">
    <w:abstractNumId w:val="11"/>
  </w:num>
  <w:num w:numId="10" w16cid:durableId="398214401">
    <w:abstractNumId w:val="8"/>
  </w:num>
  <w:num w:numId="11" w16cid:durableId="1932085538">
    <w:abstractNumId w:val="10"/>
  </w:num>
  <w:num w:numId="12" w16cid:durableId="212810470">
    <w:abstractNumId w:val="14"/>
  </w:num>
  <w:num w:numId="13" w16cid:durableId="154299559">
    <w:abstractNumId w:val="6"/>
  </w:num>
  <w:num w:numId="14" w16cid:durableId="2139762203">
    <w:abstractNumId w:val="12"/>
  </w:num>
  <w:num w:numId="15" w16cid:durableId="1779134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2030"/>
    <w:rsid w:val="000A3743"/>
    <w:rsid w:val="000B15C4"/>
    <w:rsid w:val="000B1D0D"/>
    <w:rsid w:val="000B3D5C"/>
    <w:rsid w:val="000B58EF"/>
    <w:rsid w:val="000B6489"/>
    <w:rsid w:val="000D50D4"/>
    <w:rsid w:val="000E2821"/>
    <w:rsid w:val="000E477A"/>
    <w:rsid w:val="000E6C47"/>
    <w:rsid w:val="000E79CC"/>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6125C"/>
    <w:rsid w:val="00170A1F"/>
    <w:rsid w:val="0017448D"/>
    <w:rsid w:val="00174F98"/>
    <w:rsid w:val="00175B0A"/>
    <w:rsid w:val="00176A8B"/>
    <w:rsid w:val="0017761F"/>
    <w:rsid w:val="001841BF"/>
    <w:rsid w:val="00186903"/>
    <w:rsid w:val="001942E5"/>
    <w:rsid w:val="001B24C6"/>
    <w:rsid w:val="001B3667"/>
    <w:rsid w:val="001B408E"/>
    <w:rsid w:val="001C015F"/>
    <w:rsid w:val="001C02C6"/>
    <w:rsid w:val="001C2BDE"/>
    <w:rsid w:val="001C30CE"/>
    <w:rsid w:val="001C60A4"/>
    <w:rsid w:val="001D0E6C"/>
    <w:rsid w:val="001D386D"/>
    <w:rsid w:val="001D4A80"/>
    <w:rsid w:val="001F54B7"/>
    <w:rsid w:val="001F6288"/>
    <w:rsid w:val="00205E43"/>
    <w:rsid w:val="002076F9"/>
    <w:rsid w:val="00221A90"/>
    <w:rsid w:val="00221BCC"/>
    <w:rsid w:val="00230545"/>
    <w:rsid w:val="00235C89"/>
    <w:rsid w:val="0023620C"/>
    <w:rsid w:val="00236BF8"/>
    <w:rsid w:val="00252BB8"/>
    <w:rsid w:val="002549CE"/>
    <w:rsid w:val="00255E07"/>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17D1"/>
    <w:rsid w:val="002D6A6A"/>
    <w:rsid w:val="002E545E"/>
    <w:rsid w:val="002F1FBD"/>
    <w:rsid w:val="002F2876"/>
    <w:rsid w:val="002F33EF"/>
    <w:rsid w:val="002F3B52"/>
    <w:rsid w:val="00301411"/>
    <w:rsid w:val="00304745"/>
    <w:rsid w:val="00304EAE"/>
    <w:rsid w:val="003055A7"/>
    <w:rsid w:val="00305778"/>
    <w:rsid w:val="00305CB1"/>
    <w:rsid w:val="00311552"/>
    <w:rsid w:val="00313AAF"/>
    <w:rsid w:val="00316064"/>
    <w:rsid w:val="00320C7A"/>
    <w:rsid w:val="003231B0"/>
    <w:rsid w:val="00325AFE"/>
    <w:rsid w:val="00331802"/>
    <w:rsid w:val="003353C5"/>
    <w:rsid w:val="00345960"/>
    <w:rsid w:val="00350551"/>
    <w:rsid w:val="00351280"/>
    <w:rsid w:val="00356079"/>
    <w:rsid w:val="00357C78"/>
    <w:rsid w:val="003732CB"/>
    <w:rsid w:val="0037686D"/>
    <w:rsid w:val="00380B0B"/>
    <w:rsid w:val="003812FE"/>
    <w:rsid w:val="003A2343"/>
    <w:rsid w:val="003A346F"/>
    <w:rsid w:val="003A63AE"/>
    <w:rsid w:val="003A66E3"/>
    <w:rsid w:val="003C15EA"/>
    <w:rsid w:val="003C4E9C"/>
    <w:rsid w:val="003C6246"/>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5FAA"/>
    <w:rsid w:val="00492362"/>
    <w:rsid w:val="00493A61"/>
    <w:rsid w:val="004963BA"/>
    <w:rsid w:val="004A2829"/>
    <w:rsid w:val="004B3410"/>
    <w:rsid w:val="004B6D4E"/>
    <w:rsid w:val="004B74D0"/>
    <w:rsid w:val="004B7790"/>
    <w:rsid w:val="004C7133"/>
    <w:rsid w:val="004D72A3"/>
    <w:rsid w:val="004E66AE"/>
    <w:rsid w:val="004E6839"/>
    <w:rsid w:val="004F3B51"/>
    <w:rsid w:val="004F456D"/>
    <w:rsid w:val="004F5419"/>
    <w:rsid w:val="00502211"/>
    <w:rsid w:val="00512EB9"/>
    <w:rsid w:val="00515CB2"/>
    <w:rsid w:val="005252FB"/>
    <w:rsid w:val="00542196"/>
    <w:rsid w:val="0054468B"/>
    <w:rsid w:val="005453BE"/>
    <w:rsid w:val="00553515"/>
    <w:rsid w:val="005552C9"/>
    <w:rsid w:val="00556A2D"/>
    <w:rsid w:val="00565858"/>
    <w:rsid w:val="005924A7"/>
    <w:rsid w:val="005A42FA"/>
    <w:rsid w:val="005A51D7"/>
    <w:rsid w:val="005A5826"/>
    <w:rsid w:val="005B0C4F"/>
    <w:rsid w:val="005B2350"/>
    <w:rsid w:val="005B53BE"/>
    <w:rsid w:val="005B7899"/>
    <w:rsid w:val="005C109B"/>
    <w:rsid w:val="005C3BDC"/>
    <w:rsid w:val="005C6E61"/>
    <w:rsid w:val="005D06D5"/>
    <w:rsid w:val="005D21EF"/>
    <w:rsid w:val="005D441D"/>
    <w:rsid w:val="005D7DCC"/>
    <w:rsid w:val="005E11F3"/>
    <w:rsid w:val="005E162E"/>
    <w:rsid w:val="005E40C0"/>
    <w:rsid w:val="005F0195"/>
    <w:rsid w:val="005F145E"/>
    <w:rsid w:val="005F4669"/>
    <w:rsid w:val="0060208D"/>
    <w:rsid w:val="006068F4"/>
    <w:rsid w:val="0061055B"/>
    <w:rsid w:val="006114B6"/>
    <w:rsid w:val="00614C0B"/>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58CA"/>
    <w:rsid w:val="006876D6"/>
    <w:rsid w:val="00692962"/>
    <w:rsid w:val="006A3EB6"/>
    <w:rsid w:val="006A78C5"/>
    <w:rsid w:val="006C0F08"/>
    <w:rsid w:val="006C2213"/>
    <w:rsid w:val="006C2808"/>
    <w:rsid w:val="006C5B68"/>
    <w:rsid w:val="006C648E"/>
    <w:rsid w:val="006D1C00"/>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4F6C"/>
    <w:rsid w:val="00741690"/>
    <w:rsid w:val="00744748"/>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37FEF"/>
    <w:rsid w:val="008409ED"/>
    <w:rsid w:val="00840EFC"/>
    <w:rsid w:val="00841349"/>
    <w:rsid w:val="00841AB1"/>
    <w:rsid w:val="008425DB"/>
    <w:rsid w:val="0084744C"/>
    <w:rsid w:val="0085222A"/>
    <w:rsid w:val="00854B4F"/>
    <w:rsid w:val="008579E3"/>
    <w:rsid w:val="0086347A"/>
    <w:rsid w:val="0086599B"/>
    <w:rsid w:val="00871FC2"/>
    <w:rsid w:val="00876503"/>
    <w:rsid w:val="008828FB"/>
    <w:rsid w:val="008940B3"/>
    <w:rsid w:val="008A079D"/>
    <w:rsid w:val="008B54C8"/>
    <w:rsid w:val="008B7D55"/>
    <w:rsid w:val="008C682F"/>
    <w:rsid w:val="008D1F4D"/>
    <w:rsid w:val="008D4E4D"/>
    <w:rsid w:val="008D575C"/>
    <w:rsid w:val="008D6170"/>
    <w:rsid w:val="008D75BF"/>
    <w:rsid w:val="008E04BA"/>
    <w:rsid w:val="009040C7"/>
    <w:rsid w:val="009049C6"/>
    <w:rsid w:val="00911858"/>
    <w:rsid w:val="00917829"/>
    <w:rsid w:val="00923420"/>
    <w:rsid w:val="00936450"/>
    <w:rsid w:val="00943146"/>
    <w:rsid w:val="00952A62"/>
    <w:rsid w:val="00955806"/>
    <w:rsid w:val="00956F98"/>
    <w:rsid w:val="00963B50"/>
    <w:rsid w:val="00964D71"/>
    <w:rsid w:val="00973C53"/>
    <w:rsid w:val="00975B5C"/>
    <w:rsid w:val="009815B4"/>
    <w:rsid w:val="009823DE"/>
    <w:rsid w:val="00984935"/>
    <w:rsid w:val="009923CC"/>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32130"/>
    <w:rsid w:val="00A41AA3"/>
    <w:rsid w:val="00A41C4A"/>
    <w:rsid w:val="00A42EAA"/>
    <w:rsid w:val="00A51530"/>
    <w:rsid w:val="00A610E3"/>
    <w:rsid w:val="00A629F8"/>
    <w:rsid w:val="00A729B8"/>
    <w:rsid w:val="00A73B82"/>
    <w:rsid w:val="00A74317"/>
    <w:rsid w:val="00A86C90"/>
    <w:rsid w:val="00AA2C8A"/>
    <w:rsid w:val="00AB1A5A"/>
    <w:rsid w:val="00AB2212"/>
    <w:rsid w:val="00AB4F91"/>
    <w:rsid w:val="00AB5BD4"/>
    <w:rsid w:val="00AC1F4E"/>
    <w:rsid w:val="00AC3538"/>
    <w:rsid w:val="00AD6744"/>
    <w:rsid w:val="00AE1EC2"/>
    <w:rsid w:val="00AF6D8A"/>
    <w:rsid w:val="00B16084"/>
    <w:rsid w:val="00B16F3E"/>
    <w:rsid w:val="00B262C5"/>
    <w:rsid w:val="00B40EF1"/>
    <w:rsid w:val="00B4395E"/>
    <w:rsid w:val="00B43E0F"/>
    <w:rsid w:val="00B515D5"/>
    <w:rsid w:val="00B521D5"/>
    <w:rsid w:val="00B67D5C"/>
    <w:rsid w:val="00B81136"/>
    <w:rsid w:val="00B86E8D"/>
    <w:rsid w:val="00B8700C"/>
    <w:rsid w:val="00B90C53"/>
    <w:rsid w:val="00B90D16"/>
    <w:rsid w:val="00B9276B"/>
    <w:rsid w:val="00BA1451"/>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6973"/>
    <w:rsid w:val="00C015D8"/>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3D52"/>
    <w:rsid w:val="00CB4F3A"/>
    <w:rsid w:val="00CC3610"/>
    <w:rsid w:val="00CC6718"/>
    <w:rsid w:val="00CD0255"/>
    <w:rsid w:val="00CD45E7"/>
    <w:rsid w:val="00CE08E0"/>
    <w:rsid w:val="00CE78D6"/>
    <w:rsid w:val="00D01B23"/>
    <w:rsid w:val="00D0294B"/>
    <w:rsid w:val="00D05ECB"/>
    <w:rsid w:val="00D145C4"/>
    <w:rsid w:val="00D16827"/>
    <w:rsid w:val="00D23014"/>
    <w:rsid w:val="00D26ED2"/>
    <w:rsid w:val="00D3557D"/>
    <w:rsid w:val="00D37836"/>
    <w:rsid w:val="00D4044E"/>
    <w:rsid w:val="00D407F7"/>
    <w:rsid w:val="00D43EF2"/>
    <w:rsid w:val="00D50F96"/>
    <w:rsid w:val="00D53865"/>
    <w:rsid w:val="00D60861"/>
    <w:rsid w:val="00D629C5"/>
    <w:rsid w:val="00D774DA"/>
    <w:rsid w:val="00D77E3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F2F5D"/>
    <w:rsid w:val="00E126BB"/>
    <w:rsid w:val="00E16B5B"/>
    <w:rsid w:val="00E2055B"/>
    <w:rsid w:val="00E23568"/>
    <w:rsid w:val="00E31A1A"/>
    <w:rsid w:val="00E33388"/>
    <w:rsid w:val="00E34337"/>
    <w:rsid w:val="00E379BB"/>
    <w:rsid w:val="00E45F50"/>
    <w:rsid w:val="00E6637E"/>
    <w:rsid w:val="00E7085F"/>
    <w:rsid w:val="00E72B8D"/>
    <w:rsid w:val="00E7666E"/>
    <w:rsid w:val="00E82BBA"/>
    <w:rsid w:val="00E833FA"/>
    <w:rsid w:val="00E84051"/>
    <w:rsid w:val="00E84532"/>
    <w:rsid w:val="00E92880"/>
    <w:rsid w:val="00E9409C"/>
    <w:rsid w:val="00E959B3"/>
    <w:rsid w:val="00EA467E"/>
    <w:rsid w:val="00EB36F1"/>
    <w:rsid w:val="00ED2D12"/>
    <w:rsid w:val="00EF5061"/>
    <w:rsid w:val="00F01BD2"/>
    <w:rsid w:val="00F03F5F"/>
    <w:rsid w:val="00F05072"/>
    <w:rsid w:val="00F12038"/>
    <w:rsid w:val="00F16ADA"/>
    <w:rsid w:val="00F306C9"/>
    <w:rsid w:val="00F32C7C"/>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58D4"/>
    <w:rsid w:val="00FB6218"/>
    <w:rsid w:val="00FB756E"/>
    <w:rsid w:val="00FD7015"/>
    <w:rsid w:val="00FE41E3"/>
    <w:rsid w:val="00FE7A6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Rules-Forum/aft/119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1309</Words>
  <Characters>6288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7582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9</cp:revision>
  <cp:lastPrinted>2024-01-09T15:54:00Z</cp:lastPrinted>
  <dcterms:created xsi:type="dcterms:W3CDTF">2024-01-08T22:44:00Z</dcterms:created>
  <dcterms:modified xsi:type="dcterms:W3CDTF">2024-01-09T16:04:00Z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