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18FD" w14:textId="4D7487AE" w:rsidR="002A674A" w:rsidRPr="00B33F23" w:rsidRDefault="00B33F23" w:rsidP="00B33F23">
      <w:pPr>
        <w:jc w:val="center"/>
        <w:rPr>
          <w:rFonts w:ascii="Times New Roman" w:hAnsi="Times New Roman" w:cs="Times New Roman"/>
          <w:sz w:val="28"/>
          <w:szCs w:val="28"/>
          <w:u w:val="single"/>
        </w:rPr>
      </w:pPr>
      <w:r w:rsidRPr="00B33F23">
        <w:rPr>
          <w:rFonts w:ascii="Times New Roman" w:hAnsi="Times New Roman" w:cs="Times New Roman"/>
          <w:sz w:val="28"/>
          <w:szCs w:val="28"/>
          <w:u w:val="single"/>
        </w:rPr>
        <w:t>Appendix C</w:t>
      </w:r>
    </w:p>
    <w:p w14:paraId="0A85F4AF" w14:textId="592FFFBF" w:rsidR="00B33F23" w:rsidRPr="00B33F23" w:rsidRDefault="00B33F23" w:rsidP="00B33F23">
      <w:pPr>
        <w:rPr>
          <w:rFonts w:ascii="Times New Roman" w:hAnsi="Times New Roman" w:cs="Times New Roman"/>
          <w:sz w:val="28"/>
          <w:szCs w:val="28"/>
        </w:rPr>
      </w:pPr>
      <w:r w:rsidRPr="00B33F23">
        <w:rPr>
          <w:rFonts w:ascii="Times New Roman" w:hAnsi="Times New Roman" w:cs="Times New Roman"/>
          <w:sz w:val="28"/>
          <w:szCs w:val="28"/>
        </w:rPr>
        <w:t>Proposed amendment to Rule 45</w:t>
      </w:r>
      <w:r>
        <w:rPr>
          <w:rFonts w:ascii="Times New Roman" w:hAnsi="Times New Roman" w:cs="Times New Roman"/>
          <w:sz w:val="28"/>
          <w:szCs w:val="28"/>
        </w:rPr>
        <w:t>.  The change is shown with underline.  Two alternatives are shown in brackets</w:t>
      </w:r>
      <w:r w:rsidR="008144E6">
        <w:rPr>
          <w:rFonts w:ascii="Times New Roman" w:hAnsi="Times New Roman" w:cs="Times New Roman"/>
          <w:sz w:val="28"/>
          <w:szCs w:val="28"/>
        </w:rPr>
        <w:t xml:space="preserve"> of the proposed amendment</w:t>
      </w:r>
      <w:r>
        <w:rPr>
          <w:rFonts w:ascii="Times New Roman" w:hAnsi="Times New Roman" w:cs="Times New Roman"/>
          <w:sz w:val="28"/>
          <w:szCs w:val="28"/>
        </w:rPr>
        <w:t xml:space="preserve">. </w:t>
      </w:r>
    </w:p>
    <w:p w14:paraId="0E425EA7" w14:textId="77777777" w:rsidR="00B33F23" w:rsidRPr="00B33F23" w:rsidRDefault="00B33F23" w:rsidP="00B33F23">
      <w:pPr>
        <w:pStyle w:val="ListParagraph"/>
        <w:numPr>
          <w:ilvl w:val="0"/>
          <w:numId w:val="1"/>
        </w:numPr>
        <w:shd w:val="clear" w:color="auto" w:fill="FFFFFF"/>
        <w:spacing w:after="0" w:line="240" w:lineRule="auto"/>
        <w:ind w:left="540" w:hanging="540"/>
        <w:jc w:val="both"/>
        <w:rPr>
          <w:rFonts w:ascii="Times New Roman" w:eastAsia="Times New Roman" w:hAnsi="Times New Roman" w:cs="Times New Roman"/>
          <w:b/>
          <w:color w:val="212121"/>
          <w:sz w:val="28"/>
          <w:szCs w:val="28"/>
        </w:rPr>
      </w:pPr>
      <w:r w:rsidRPr="00B33F23">
        <w:rPr>
          <w:rFonts w:ascii="Times New Roman" w:eastAsia="Times New Roman" w:hAnsi="Times New Roman" w:cs="Times New Roman"/>
          <w:b/>
          <w:color w:val="212121"/>
          <w:sz w:val="28"/>
          <w:szCs w:val="28"/>
        </w:rPr>
        <w:t>Continuing Legal Education Requirements.</w:t>
      </w:r>
    </w:p>
    <w:p w14:paraId="2335E444" w14:textId="77777777" w:rsidR="00B33F23" w:rsidRPr="00B33F23" w:rsidRDefault="00B33F23" w:rsidP="00B33F23">
      <w:pPr>
        <w:pStyle w:val="ListParagraph"/>
        <w:shd w:val="clear" w:color="auto" w:fill="FFFFFF"/>
        <w:spacing w:after="0" w:line="240" w:lineRule="auto"/>
        <w:ind w:left="1080"/>
        <w:jc w:val="both"/>
        <w:rPr>
          <w:rFonts w:ascii="Times New Roman" w:eastAsia="Times New Roman" w:hAnsi="Times New Roman" w:cs="Times New Roman"/>
          <w:bCs/>
          <w:color w:val="212121"/>
          <w:sz w:val="28"/>
          <w:szCs w:val="28"/>
        </w:rPr>
      </w:pPr>
    </w:p>
    <w:p w14:paraId="6582D600" w14:textId="77777777" w:rsidR="00B33F23" w:rsidRPr="00B33F23" w:rsidRDefault="00B33F23" w:rsidP="00B33F23">
      <w:pPr>
        <w:shd w:val="clear" w:color="auto" w:fill="FFFFFF"/>
        <w:spacing w:after="0" w:line="240" w:lineRule="auto"/>
        <w:ind w:left="720"/>
        <w:jc w:val="both"/>
        <w:rPr>
          <w:rFonts w:ascii="Times New Roman" w:eastAsia="Times New Roman" w:hAnsi="Times New Roman" w:cs="Times New Roman"/>
          <w:b w:val="0"/>
          <w:bCs/>
          <w:color w:val="212121"/>
          <w:sz w:val="28"/>
          <w:szCs w:val="28"/>
        </w:rPr>
      </w:pPr>
      <w:r w:rsidRPr="00B33F23">
        <w:rPr>
          <w:rFonts w:ascii="Times New Roman" w:eastAsia="Times New Roman" w:hAnsi="Times New Roman" w:cs="Times New Roman"/>
          <w:b w:val="0"/>
          <w:bCs/>
          <w:color w:val="212121"/>
          <w:sz w:val="28"/>
          <w:szCs w:val="28"/>
        </w:rPr>
        <w:t>1. Every active member of the bar, not exempted, shall complete a minimum of fifteen hours of continuing legal education activity in each educational year. An educational year shall begin on July 1 and end on the following June 30.</w:t>
      </w:r>
    </w:p>
    <w:p w14:paraId="67589AE9" w14:textId="77777777" w:rsidR="00B33F23" w:rsidRPr="00B33F23" w:rsidRDefault="00B33F23" w:rsidP="00B33F23">
      <w:pPr>
        <w:shd w:val="clear" w:color="auto" w:fill="FFFFFF"/>
        <w:spacing w:after="0" w:line="240" w:lineRule="auto"/>
        <w:ind w:left="720"/>
        <w:jc w:val="both"/>
        <w:rPr>
          <w:rFonts w:ascii="Times New Roman" w:eastAsia="Times New Roman" w:hAnsi="Times New Roman" w:cs="Times New Roman"/>
          <w:b w:val="0"/>
          <w:bCs/>
          <w:color w:val="212121"/>
          <w:sz w:val="28"/>
          <w:szCs w:val="28"/>
        </w:rPr>
      </w:pPr>
    </w:p>
    <w:p w14:paraId="4D3BBF79" w14:textId="33B2653D" w:rsidR="00B33F23" w:rsidRPr="00B33F23" w:rsidRDefault="00B33F23" w:rsidP="00B33F23">
      <w:pPr>
        <w:shd w:val="clear" w:color="auto" w:fill="FFFFFF" w:themeFill="background1"/>
        <w:spacing w:line="240" w:lineRule="auto"/>
        <w:ind w:left="720"/>
        <w:jc w:val="both"/>
        <w:rPr>
          <w:rFonts w:ascii="Times New Roman" w:eastAsia="Times New Roman" w:hAnsi="Times New Roman" w:cs="Times New Roman"/>
          <w:b w:val="0"/>
          <w:bCs/>
          <w:color w:val="212121"/>
          <w:sz w:val="28"/>
          <w:szCs w:val="28"/>
        </w:rPr>
      </w:pPr>
      <w:r w:rsidRPr="00B33F23">
        <w:rPr>
          <w:rFonts w:ascii="Times New Roman" w:eastAsia="Times New Roman" w:hAnsi="Times New Roman" w:cs="Times New Roman"/>
          <w:b w:val="0"/>
          <w:bCs/>
          <w:color w:val="212121"/>
          <w:sz w:val="28"/>
          <w:szCs w:val="28"/>
        </w:rPr>
        <w:t xml:space="preserve">2. A minimum of three hours of continuing legal education activity each educational year shall be in the area of professional responsibility. Professional responsibility includes instruction in legal and judicial ethics, professionalism, and malpractice prevention, and may include such topics as substance abuse, including causes, prevention, detection and treatment alternatives, attorney fees, client development, law office economics and practice, alternatives to litigation for managing conflict and resolving disputes, stress management, and the particular responsibilities of public lawyers, judges, and in-house counsel, to the extent that professional responsibility is directly addressed in connection with these topics. </w:t>
      </w:r>
      <w:r w:rsidRPr="00B33F23">
        <w:rPr>
          <w:rFonts w:ascii="Times New Roman" w:eastAsia="Times New Roman" w:hAnsi="Times New Roman" w:cs="Times New Roman"/>
          <w:b w:val="0"/>
          <w:bCs/>
          <w:color w:val="212121"/>
          <w:sz w:val="28"/>
          <w:szCs w:val="28"/>
          <w:u w:val="single"/>
        </w:rPr>
        <w:t>Lawyers appointed</w:t>
      </w:r>
      <w:r>
        <w:rPr>
          <w:rFonts w:ascii="Times New Roman" w:eastAsia="Times New Roman" w:hAnsi="Times New Roman" w:cs="Times New Roman"/>
          <w:b w:val="0"/>
          <w:bCs/>
          <w:color w:val="212121"/>
          <w:sz w:val="28"/>
          <w:szCs w:val="28"/>
          <w:u w:val="single"/>
        </w:rPr>
        <w:t xml:space="preserve"> </w:t>
      </w:r>
      <w:r w:rsidRPr="00B33F23">
        <w:rPr>
          <w:rFonts w:ascii="Times New Roman" w:eastAsia="Times New Roman" w:hAnsi="Times New Roman" w:cs="Times New Roman"/>
          <w:b w:val="0"/>
          <w:bCs/>
          <w:color w:val="212121"/>
          <w:sz w:val="28"/>
          <w:szCs w:val="28"/>
          <w:u w:val="single"/>
        </w:rPr>
        <w:t>or employed as government lawyers must have at least one hour on rules that are specifically applicable to government lawyers</w:t>
      </w:r>
      <w:r w:rsidR="008144E6" w:rsidRPr="008144E6">
        <w:rPr>
          <w:rFonts w:ascii="Times New Roman" w:eastAsia="Times New Roman" w:hAnsi="Times New Roman" w:cs="Times New Roman"/>
          <w:b w:val="0"/>
          <w:bCs/>
          <w:color w:val="212121"/>
          <w:sz w:val="28"/>
          <w:szCs w:val="28"/>
          <w:u w:val="single"/>
        </w:rPr>
        <w:t xml:space="preserve"> </w:t>
      </w:r>
      <w:r w:rsidR="008144E6">
        <w:rPr>
          <w:rFonts w:ascii="Times New Roman" w:eastAsia="Times New Roman" w:hAnsi="Times New Roman" w:cs="Times New Roman"/>
          <w:b w:val="0"/>
          <w:bCs/>
          <w:color w:val="212121"/>
          <w:sz w:val="28"/>
          <w:szCs w:val="28"/>
          <w:u w:val="single"/>
        </w:rPr>
        <w:t xml:space="preserve">[each educational year] [within two years after the effective date of </w:t>
      </w:r>
      <w:r w:rsidR="00444124">
        <w:rPr>
          <w:rFonts w:ascii="Times New Roman" w:eastAsia="Times New Roman" w:hAnsi="Times New Roman" w:cs="Times New Roman"/>
          <w:b w:val="0"/>
          <w:bCs/>
          <w:color w:val="212121"/>
          <w:sz w:val="28"/>
          <w:szCs w:val="28"/>
          <w:u w:val="single"/>
        </w:rPr>
        <w:t>this amendment to this rule</w:t>
      </w:r>
      <w:r w:rsidR="008144E6">
        <w:rPr>
          <w:rFonts w:ascii="Times New Roman" w:eastAsia="Times New Roman" w:hAnsi="Times New Roman" w:cs="Times New Roman"/>
          <w:b w:val="0"/>
          <w:bCs/>
          <w:color w:val="212121"/>
          <w:sz w:val="28"/>
          <w:szCs w:val="28"/>
          <w:u w:val="single"/>
        </w:rPr>
        <w:t>, or if not a government lawyer on the effective date, within two years after being appointed or employed as a government lawyer].</w:t>
      </w:r>
    </w:p>
    <w:p w14:paraId="082D7534" w14:textId="77777777" w:rsidR="00B33F23" w:rsidRPr="00B33F23" w:rsidRDefault="00B33F23" w:rsidP="00B33F23">
      <w:pPr>
        <w:spacing w:after="0"/>
        <w:ind w:firstLine="720"/>
        <w:jc w:val="both"/>
        <w:rPr>
          <w:rFonts w:ascii="Times New Roman" w:hAnsi="Times New Roman" w:cs="Times New Roman"/>
          <w:b w:val="0"/>
          <w:bCs/>
          <w:sz w:val="28"/>
          <w:szCs w:val="28"/>
        </w:rPr>
      </w:pPr>
      <w:r w:rsidRPr="00B33F23">
        <w:rPr>
          <w:rFonts w:ascii="Times New Roman" w:hAnsi="Times New Roman" w:cs="Times New Roman"/>
          <w:b w:val="0"/>
          <w:bCs/>
          <w:sz w:val="28"/>
          <w:szCs w:val="28"/>
        </w:rPr>
        <w:t>[No change to the remainder of the rule.]</w:t>
      </w:r>
    </w:p>
    <w:p w14:paraId="53AC2633" w14:textId="77777777" w:rsidR="00B33F23" w:rsidRDefault="00B33F23" w:rsidP="00B33F23"/>
    <w:sectPr w:rsidR="00B33F2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2027" w14:textId="77777777" w:rsidR="005F0282" w:rsidRDefault="005F0282" w:rsidP="00ED57C1">
      <w:pPr>
        <w:spacing w:after="0" w:line="240" w:lineRule="auto"/>
      </w:pPr>
      <w:r>
        <w:separator/>
      </w:r>
    </w:p>
  </w:endnote>
  <w:endnote w:type="continuationSeparator" w:id="0">
    <w:p w14:paraId="0E81A613" w14:textId="77777777" w:rsidR="005F0282" w:rsidRDefault="005F0282" w:rsidP="00ED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rPr>
      <w:id w:val="1917740498"/>
      <w:docPartObj>
        <w:docPartGallery w:val="Page Numbers (Bottom of Page)"/>
        <w:docPartUnique/>
      </w:docPartObj>
    </w:sdtPr>
    <w:sdtContent>
      <w:sdt>
        <w:sdtPr>
          <w:id w:val="-1769616900"/>
          <w:docPartObj>
            <w:docPartGallery w:val="Page Numbers (Top of Page)"/>
            <w:docPartUnique/>
          </w:docPartObj>
        </w:sdtPr>
        <w:sdtContent>
          <w:p w14:paraId="656F5BFF" w14:textId="77777777" w:rsidR="00A311B6" w:rsidRDefault="00A311B6" w:rsidP="00A311B6">
            <w:pPr>
              <w:pStyle w:val="Footer"/>
              <w:jc w:val="right"/>
            </w:pPr>
            <w:r w:rsidRPr="00782C3A">
              <w:rPr>
                <w:b w:val="0"/>
                <w:bCs/>
              </w:rPr>
              <w:t>Page</w:t>
            </w:r>
            <w:r>
              <w:t xml:space="preserve"> </w:t>
            </w:r>
            <w:r w:rsidRPr="00782C3A">
              <w:fldChar w:fldCharType="begin"/>
            </w:r>
            <w:r w:rsidRPr="00782C3A">
              <w:instrText xml:space="preserve"> PAGE </w:instrText>
            </w:r>
            <w:r w:rsidRPr="00782C3A">
              <w:fldChar w:fldCharType="separate"/>
            </w:r>
            <w:r w:rsidRPr="00782C3A">
              <w:t>1</w:t>
            </w:r>
            <w:r w:rsidRPr="00782C3A">
              <w:fldChar w:fldCharType="end"/>
            </w:r>
            <w:r>
              <w:t xml:space="preserve"> </w:t>
            </w:r>
            <w:r w:rsidRPr="00782C3A">
              <w:rPr>
                <w:b w:val="0"/>
                <w:bCs/>
              </w:rPr>
              <w:t>of</w:t>
            </w:r>
            <w:r>
              <w:t xml:space="preserve"> </w:t>
            </w:r>
            <w:fldSimple w:instr=" NUMPAGES  ">
              <w:r w:rsidRPr="00782C3A">
                <w:t>13</w:t>
              </w:r>
            </w:fldSimple>
          </w:p>
        </w:sdtContent>
      </w:sdt>
    </w:sdtContent>
  </w:sdt>
  <w:p w14:paraId="1FD25D53" w14:textId="77777777" w:rsidR="00A311B6" w:rsidRDefault="00A31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9262" w14:textId="77777777" w:rsidR="005F0282" w:rsidRDefault="005F0282" w:rsidP="00ED57C1">
      <w:pPr>
        <w:spacing w:after="0" w:line="240" w:lineRule="auto"/>
      </w:pPr>
      <w:r>
        <w:separator/>
      </w:r>
    </w:p>
  </w:footnote>
  <w:footnote w:type="continuationSeparator" w:id="0">
    <w:p w14:paraId="1B5BA976" w14:textId="77777777" w:rsidR="005F0282" w:rsidRDefault="005F0282" w:rsidP="00ED5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73A5A"/>
    <w:multiLevelType w:val="hybridMultilevel"/>
    <w:tmpl w:val="180E3B1A"/>
    <w:lvl w:ilvl="0" w:tplc="BE9275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180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23"/>
    <w:rsid w:val="002A674A"/>
    <w:rsid w:val="00444124"/>
    <w:rsid w:val="005F0282"/>
    <w:rsid w:val="00782C3A"/>
    <w:rsid w:val="008144E6"/>
    <w:rsid w:val="00895FC4"/>
    <w:rsid w:val="00A311B6"/>
    <w:rsid w:val="00B33F23"/>
    <w:rsid w:val="00ED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4490"/>
  <w15:chartTrackingRefBased/>
  <w15:docId w15:val="{12987037-970B-4E6F-B840-4B347673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Book Antiqua"/>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F23"/>
    <w:pPr>
      <w:ind w:left="720"/>
      <w:contextualSpacing/>
    </w:pPr>
    <w:rPr>
      <w:rFonts w:asciiTheme="minorHAnsi" w:hAnsiTheme="minorHAnsi" w:cstheme="minorBidi"/>
      <w:b w:val="0"/>
      <w:sz w:val="22"/>
      <w:szCs w:val="22"/>
    </w:rPr>
  </w:style>
  <w:style w:type="paragraph" w:styleId="Header">
    <w:name w:val="header"/>
    <w:basedOn w:val="Normal"/>
    <w:link w:val="HeaderChar"/>
    <w:uiPriority w:val="99"/>
    <w:unhideWhenUsed/>
    <w:rsid w:val="00ED5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7C1"/>
  </w:style>
  <w:style w:type="paragraph" w:styleId="Footer">
    <w:name w:val="footer"/>
    <w:basedOn w:val="Normal"/>
    <w:link w:val="FooterChar"/>
    <w:uiPriority w:val="99"/>
    <w:unhideWhenUsed/>
    <w:rsid w:val="00ED5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8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7" ma:contentTypeDescription="Create a new document." ma:contentTypeScope="" ma:versionID="041002ffe300609dcb71ac63114f333f">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087cf1da4d6966be8ab01bc429cf62b"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Props1.xml><?xml version="1.0" encoding="utf-8"?>
<ds:datastoreItem xmlns:ds="http://schemas.openxmlformats.org/officeDocument/2006/customXml" ds:itemID="{80E3A707-2E8D-4A5C-BAAD-C12EB21EBE4A}">
  <ds:schemaRefs>
    <ds:schemaRef ds:uri="http://schemas.openxmlformats.org/officeDocument/2006/bibliography"/>
  </ds:schemaRefs>
</ds:datastoreItem>
</file>

<file path=customXml/itemProps2.xml><?xml version="1.0" encoding="utf-8"?>
<ds:datastoreItem xmlns:ds="http://schemas.openxmlformats.org/officeDocument/2006/customXml" ds:itemID="{849F6BC0-EAAA-4C9F-A10F-97235CCD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A1947-E85C-4642-9F88-9A2F654384F2}">
  <ds:schemaRefs>
    <ds:schemaRef ds:uri="http://schemas.microsoft.com/sharepoint/v3/contenttype/forms"/>
  </ds:schemaRefs>
</ds:datastoreItem>
</file>

<file path=customXml/itemProps4.xml><?xml version="1.0" encoding="utf-8"?>
<ds:datastoreItem xmlns:ds="http://schemas.openxmlformats.org/officeDocument/2006/customXml" ds:itemID="{080DD09D-4EB4-41F2-A22C-5CDF58A024AC}">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Gonzales, Veronica</cp:lastModifiedBy>
  <cp:revision>6</cp:revision>
  <dcterms:created xsi:type="dcterms:W3CDTF">2023-12-04T19:04:00Z</dcterms:created>
  <dcterms:modified xsi:type="dcterms:W3CDTF">2024-01-02T18:55:00Z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