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2BC5" w14:textId="77777777" w:rsidR="00072D22" w:rsidRPr="00903350" w:rsidRDefault="00072D22" w:rsidP="00072D22">
      <w:pPr>
        <w:rPr>
          <w:bCs/>
          <w:sz w:val="28"/>
          <w:szCs w:val="28"/>
        </w:rPr>
      </w:pPr>
      <w:r w:rsidRPr="00072D22">
        <w:rPr>
          <w:bCs/>
          <w:sz w:val="28"/>
          <w:szCs w:val="28"/>
        </w:rPr>
        <w:t xml:space="preserve">Arizona </w:t>
      </w:r>
      <w:r w:rsidRPr="00903350">
        <w:rPr>
          <w:bCs/>
          <w:sz w:val="28"/>
          <w:szCs w:val="28"/>
        </w:rPr>
        <w:t>Process Servers Association</w:t>
      </w:r>
    </w:p>
    <w:p w14:paraId="68E4F82F" w14:textId="77777777" w:rsidR="00072D22" w:rsidRPr="00903350" w:rsidRDefault="00072D22" w:rsidP="00072D22">
      <w:pPr>
        <w:rPr>
          <w:bCs/>
          <w:sz w:val="28"/>
          <w:szCs w:val="28"/>
        </w:rPr>
      </w:pPr>
      <w:r w:rsidRPr="00903350">
        <w:rPr>
          <w:bCs/>
          <w:sz w:val="28"/>
          <w:szCs w:val="28"/>
        </w:rPr>
        <w:t>c/o Barry R. Goldman, Administrator</w:t>
      </w:r>
    </w:p>
    <w:p w14:paraId="33121830" w14:textId="77777777" w:rsidR="00072D22" w:rsidRPr="00903350" w:rsidRDefault="00072D22" w:rsidP="00072D22">
      <w:pPr>
        <w:rPr>
          <w:bCs/>
          <w:sz w:val="28"/>
          <w:szCs w:val="28"/>
        </w:rPr>
      </w:pPr>
      <w:r w:rsidRPr="00903350">
        <w:rPr>
          <w:bCs/>
          <w:sz w:val="28"/>
          <w:szCs w:val="28"/>
        </w:rPr>
        <w:t>20987 N. John Wayne Pkwy. #B104-381</w:t>
      </w:r>
    </w:p>
    <w:p w14:paraId="5836BF9B" w14:textId="77777777" w:rsidR="00072D22" w:rsidRPr="00903350" w:rsidRDefault="00072D22" w:rsidP="00072D22">
      <w:pPr>
        <w:rPr>
          <w:bCs/>
          <w:sz w:val="28"/>
          <w:szCs w:val="28"/>
        </w:rPr>
      </w:pPr>
      <w:r w:rsidRPr="00903350">
        <w:rPr>
          <w:bCs/>
          <w:sz w:val="28"/>
          <w:szCs w:val="28"/>
        </w:rPr>
        <w:t>Maricopa, AZ 85139</w:t>
      </w:r>
    </w:p>
    <w:p w14:paraId="476172CD" w14:textId="77777777" w:rsidR="00A47B47" w:rsidRDefault="00072D22" w:rsidP="00A47B47">
      <w:pPr>
        <w:rPr>
          <w:bCs/>
          <w:sz w:val="28"/>
          <w:szCs w:val="28"/>
        </w:rPr>
      </w:pPr>
      <w:r w:rsidRPr="00903350">
        <w:rPr>
          <w:bCs/>
          <w:sz w:val="28"/>
          <w:szCs w:val="28"/>
        </w:rPr>
        <w:t>Phone: (602) 476-1737 Fax</w:t>
      </w:r>
      <w:r w:rsidR="00903350" w:rsidRPr="00903350">
        <w:rPr>
          <w:bCs/>
          <w:sz w:val="28"/>
          <w:szCs w:val="28"/>
        </w:rPr>
        <w:t>: (623) 321-5964</w:t>
      </w:r>
    </w:p>
    <w:p w14:paraId="007E05FB" w14:textId="77777777" w:rsidR="00F25ACE" w:rsidRPr="00903350" w:rsidRDefault="00F25ACE" w:rsidP="00A47B47">
      <w:pPr>
        <w:rPr>
          <w:bCs/>
          <w:sz w:val="28"/>
          <w:szCs w:val="28"/>
        </w:rPr>
      </w:pPr>
      <w:hyperlink r:id="rId8" w:history="1">
        <w:r w:rsidRPr="000C0B19">
          <w:rPr>
            <w:rStyle w:val="Hyperlink"/>
            <w:bCs/>
            <w:sz w:val="28"/>
            <w:szCs w:val="28"/>
          </w:rPr>
          <w:t>azserverassoc@gmail.com</w:t>
        </w:r>
      </w:hyperlink>
      <w:r>
        <w:rPr>
          <w:bCs/>
          <w:sz w:val="28"/>
          <w:szCs w:val="28"/>
        </w:rPr>
        <w:t xml:space="preserve"> </w:t>
      </w:r>
    </w:p>
    <w:p w14:paraId="7DB82A0C" w14:textId="77777777" w:rsidR="00A47B47" w:rsidRDefault="00A47B47" w:rsidP="00A47B47">
      <w:pPr>
        <w:spacing w:before="240" w:after="240"/>
        <w:jc w:val="center"/>
        <w:rPr>
          <w:b/>
          <w:sz w:val="28"/>
          <w:szCs w:val="28"/>
        </w:rPr>
      </w:pPr>
    </w:p>
    <w:p w14:paraId="1D321396" w14:textId="77777777" w:rsidR="00072D22" w:rsidRPr="00072D22" w:rsidRDefault="00072D22" w:rsidP="00A47B47">
      <w:pPr>
        <w:spacing w:after="240" w:line="360" w:lineRule="auto"/>
        <w:jc w:val="center"/>
        <w:rPr>
          <w:b/>
          <w:sz w:val="28"/>
          <w:szCs w:val="28"/>
        </w:rPr>
      </w:pPr>
      <w:r>
        <w:rPr>
          <w:b/>
          <w:sz w:val="28"/>
          <w:szCs w:val="28"/>
        </w:rPr>
        <w:t>I</w:t>
      </w:r>
      <w:r w:rsidRPr="00072D22">
        <w:rPr>
          <w:b/>
          <w:sz w:val="28"/>
          <w:szCs w:val="28"/>
        </w:rPr>
        <w:t>N THE SUPREME COURT OF THE STATE OF ARIZONA</w:t>
      </w:r>
    </w:p>
    <w:tbl>
      <w:tblPr>
        <w:tblStyle w:val="TableGrid"/>
        <w:tblW w:w="0" w:type="auto"/>
        <w:tblLook w:val="04A0" w:firstRow="1" w:lastRow="0" w:firstColumn="1" w:lastColumn="0" w:noHBand="0" w:noVBand="1"/>
      </w:tblPr>
      <w:tblGrid>
        <w:gridCol w:w="4888"/>
        <w:gridCol w:w="4894"/>
      </w:tblGrid>
      <w:tr w:rsidR="00072D22" w:rsidRPr="00072D22" w14:paraId="6C0EBF35" w14:textId="77777777" w:rsidTr="00072D22">
        <w:trPr>
          <w:trHeight w:val="972"/>
        </w:trPr>
        <w:tc>
          <w:tcPr>
            <w:tcW w:w="5004" w:type="dxa"/>
            <w:vMerge w:val="restart"/>
          </w:tcPr>
          <w:p w14:paraId="25261EDC" w14:textId="77777777" w:rsidR="00072D22" w:rsidRPr="00072D22" w:rsidRDefault="00072D22" w:rsidP="00072D22">
            <w:pPr>
              <w:spacing w:before="240" w:line="360" w:lineRule="auto"/>
              <w:rPr>
                <w:color w:val="000000"/>
                <w:sz w:val="28"/>
                <w:szCs w:val="28"/>
              </w:rPr>
            </w:pPr>
            <w:r w:rsidRPr="00072D22">
              <w:rPr>
                <w:b/>
                <w:sz w:val="28"/>
                <w:szCs w:val="28"/>
              </w:rPr>
              <w:t>In the Matter of: PETITION TO AMEND</w:t>
            </w:r>
            <w:r w:rsidR="00E115D4" w:rsidRPr="00072D22">
              <w:rPr>
                <w:b/>
                <w:sz w:val="28"/>
                <w:szCs w:val="28"/>
              </w:rPr>
              <w:t xml:space="preserve"> </w:t>
            </w:r>
            <w:r w:rsidR="00E115D4" w:rsidRPr="00E115D4">
              <w:rPr>
                <w:b/>
                <w:sz w:val="28"/>
                <w:szCs w:val="28"/>
              </w:rPr>
              <w:t>RULES OF SMALL CLAIMS PROCEDURE, RULE 5</w:t>
            </w:r>
            <w:r w:rsidR="00FD1FA5">
              <w:rPr>
                <w:b/>
                <w:sz w:val="28"/>
                <w:szCs w:val="28"/>
              </w:rPr>
              <w:t>(b)</w:t>
            </w:r>
            <w:r w:rsidR="006007DE">
              <w:rPr>
                <w:b/>
                <w:sz w:val="28"/>
                <w:szCs w:val="28"/>
              </w:rPr>
              <w:t>(2)</w:t>
            </w:r>
          </w:p>
        </w:tc>
        <w:tc>
          <w:tcPr>
            <w:tcW w:w="5004" w:type="dxa"/>
          </w:tcPr>
          <w:p w14:paraId="427AAEB2" w14:textId="77777777" w:rsidR="00072D22" w:rsidRPr="00072D22" w:rsidRDefault="00072D22" w:rsidP="00072D22">
            <w:pPr>
              <w:spacing w:before="240" w:line="360" w:lineRule="auto"/>
              <w:rPr>
                <w:bCs/>
                <w:sz w:val="28"/>
                <w:szCs w:val="28"/>
              </w:rPr>
            </w:pPr>
            <w:r w:rsidRPr="00072D22">
              <w:rPr>
                <w:bCs/>
                <w:sz w:val="28"/>
                <w:szCs w:val="28"/>
              </w:rPr>
              <w:t>SUPREME COURT No.:</w:t>
            </w:r>
          </w:p>
          <w:p w14:paraId="778CB528" w14:textId="77777777" w:rsidR="00072D22" w:rsidRPr="00072D22" w:rsidRDefault="00072D22" w:rsidP="00072D22">
            <w:pPr>
              <w:spacing w:before="240" w:line="360" w:lineRule="auto"/>
              <w:ind w:right="90"/>
              <w:rPr>
                <w:color w:val="000000"/>
                <w:sz w:val="28"/>
                <w:szCs w:val="28"/>
              </w:rPr>
            </w:pPr>
          </w:p>
        </w:tc>
      </w:tr>
      <w:tr w:rsidR="00072D22" w:rsidRPr="00072D22" w14:paraId="392288B9" w14:textId="77777777" w:rsidTr="00072D22">
        <w:trPr>
          <w:trHeight w:val="971"/>
        </w:trPr>
        <w:tc>
          <w:tcPr>
            <w:tcW w:w="5004" w:type="dxa"/>
            <w:vMerge/>
          </w:tcPr>
          <w:p w14:paraId="0CCA41E1" w14:textId="77777777" w:rsidR="00072D22" w:rsidRPr="00072D22" w:rsidRDefault="00072D22" w:rsidP="00072D22">
            <w:pPr>
              <w:spacing w:line="360" w:lineRule="auto"/>
              <w:rPr>
                <w:b/>
                <w:sz w:val="28"/>
                <w:szCs w:val="28"/>
              </w:rPr>
            </w:pPr>
          </w:p>
        </w:tc>
        <w:tc>
          <w:tcPr>
            <w:tcW w:w="5004" w:type="dxa"/>
          </w:tcPr>
          <w:p w14:paraId="464DFE53" w14:textId="77777777" w:rsidR="00072D22" w:rsidRPr="00072D22" w:rsidRDefault="00072D22" w:rsidP="00072D22">
            <w:pPr>
              <w:spacing w:line="360" w:lineRule="auto"/>
              <w:rPr>
                <w:b/>
                <w:sz w:val="28"/>
                <w:szCs w:val="28"/>
              </w:rPr>
            </w:pPr>
            <w:r w:rsidRPr="00072D22">
              <w:rPr>
                <w:b/>
                <w:sz w:val="28"/>
                <w:szCs w:val="28"/>
              </w:rPr>
              <w:t>PETITIONER’S INITIAL SUBMISSION</w:t>
            </w:r>
          </w:p>
        </w:tc>
      </w:tr>
    </w:tbl>
    <w:p w14:paraId="7CE4017D" w14:textId="77777777" w:rsidR="00072D22" w:rsidRDefault="00072D22" w:rsidP="007453FA">
      <w:pPr>
        <w:spacing w:before="240" w:line="360" w:lineRule="auto"/>
        <w:ind w:right="90" w:firstLine="720"/>
        <w:rPr>
          <w:color w:val="000000"/>
          <w:sz w:val="28"/>
          <w:szCs w:val="28"/>
        </w:rPr>
      </w:pPr>
      <w:r w:rsidRPr="00072D22">
        <w:rPr>
          <w:color w:val="000000"/>
          <w:sz w:val="28"/>
          <w:szCs w:val="28"/>
        </w:rPr>
        <w:t xml:space="preserve">The Arizona Process Servers Association (APSA) pursuant to Rule 28, Ariz. R. Sup. Ct., submits the following proposed change to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(b)</w:t>
      </w:r>
      <w:r w:rsidR="006007DE">
        <w:rPr>
          <w:color w:val="000000"/>
          <w:sz w:val="28"/>
          <w:szCs w:val="28"/>
        </w:rPr>
        <w:t>(2)</w:t>
      </w:r>
      <w:r w:rsidRPr="00072D22">
        <w:rPr>
          <w:color w:val="000000"/>
          <w:sz w:val="28"/>
          <w:szCs w:val="28"/>
        </w:rPr>
        <w:t>.</w:t>
      </w:r>
    </w:p>
    <w:p w14:paraId="521A01E9" w14:textId="77777777" w:rsidR="007453FA" w:rsidRDefault="007453FA" w:rsidP="007453FA">
      <w:pPr>
        <w:spacing w:line="360" w:lineRule="auto"/>
        <w:ind w:right="90"/>
        <w:jc w:val="center"/>
        <w:rPr>
          <w:sz w:val="28"/>
          <w:szCs w:val="28"/>
        </w:rPr>
      </w:pPr>
      <w:r w:rsidRPr="008F05EC">
        <w:rPr>
          <w:b/>
          <w:bCs/>
          <w:sz w:val="28"/>
          <w:szCs w:val="28"/>
        </w:rPr>
        <w:t>PROPOSED AMENDMENT</w:t>
      </w:r>
    </w:p>
    <w:p w14:paraId="4AC817E4" w14:textId="77777777" w:rsidR="007453FA" w:rsidRDefault="007453FA" w:rsidP="007453FA">
      <w:pPr>
        <w:spacing w:line="360" w:lineRule="auto"/>
        <w:ind w:right="86" w:firstLine="720"/>
        <w:rPr>
          <w:color w:val="000000"/>
          <w:sz w:val="28"/>
          <w:szCs w:val="28"/>
        </w:rPr>
      </w:pPr>
      <w:r>
        <w:rPr>
          <w:sz w:val="28"/>
          <w:szCs w:val="28"/>
        </w:rPr>
        <w:t xml:space="preserve">Currently,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 xml:space="preserve">(b) </w:t>
      </w:r>
      <w:r>
        <w:rPr>
          <w:color w:val="000000"/>
          <w:sz w:val="28"/>
          <w:szCs w:val="28"/>
        </w:rPr>
        <w:t>state</w:t>
      </w:r>
      <w:r w:rsidR="00FD1FA5">
        <w:rPr>
          <w:color w:val="000000"/>
          <w:sz w:val="28"/>
          <w:szCs w:val="28"/>
        </w:rPr>
        <w:t>s</w:t>
      </w:r>
      <w:r>
        <w:rPr>
          <w:color w:val="000000"/>
          <w:sz w:val="28"/>
          <w:szCs w:val="28"/>
        </w:rPr>
        <w:t xml:space="preserve"> the following:</w:t>
      </w:r>
    </w:p>
    <w:p w14:paraId="79497445"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p>
    <w:p w14:paraId="11FE713B"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 xml:space="preserve">(1)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w:t>
      </w:r>
      <w:r w:rsidRPr="00FD1FA5">
        <w:rPr>
          <w:color w:val="000000"/>
          <w:sz w:val="28"/>
          <w:szCs w:val="28"/>
        </w:rPr>
        <w:lastRenderedPageBreak/>
        <w:t>delivery service or the return receipt printed from the postal or delivery service's website; or</w:t>
      </w:r>
    </w:p>
    <w:p w14:paraId="694AA924" w14:textId="77777777" w:rsidR="00FD1FA5" w:rsidRDefault="00FD1FA5" w:rsidP="00FD1FA5">
      <w:pPr>
        <w:spacing w:line="360" w:lineRule="auto"/>
        <w:ind w:left="1440" w:right="86"/>
        <w:rPr>
          <w:color w:val="000000"/>
          <w:sz w:val="28"/>
          <w:szCs w:val="28"/>
        </w:rPr>
      </w:pPr>
      <w:r w:rsidRPr="00FD1FA5">
        <w:rPr>
          <w:color w:val="000000"/>
          <w:sz w:val="28"/>
          <w:szCs w:val="28"/>
        </w:rPr>
        <w:t>(2) Constable, Sheriff, or Private Process Server. The plaintiff may arrange for personal service on the defendant by a constable, sheriff, or private process server. If personal service is used, an affidavit of service must be filed with the court within 45 days of the complaint filing date.</w:t>
      </w:r>
    </w:p>
    <w:p w14:paraId="7047B992" w14:textId="77777777" w:rsidR="0085190D" w:rsidRDefault="0085190D" w:rsidP="00FD1FA5">
      <w:pPr>
        <w:spacing w:line="360" w:lineRule="auto"/>
        <w:ind w:left="1440" w:right="86"/>
        <w:rPr>
          <w:color w:val="000000"/>
          <w:sz w:val="28"/>
          <w:szCs w:val="28"/>
        </w:rPr>
      </w:pPr>
    </w:p>
    <w:p w14:paraId="0AA6FAAC" w14:textId="77777777" w:rsidR="007453FA" w:rsidRDefault="007453FA" w:rsidP="00FD1FA5">
      <w:pPr>
        <w:spacing w:line="360" w:lineRule="auto"/>
        <w:ind w:right="86" w:firstLine="720"/>
        <w:rPr>
          <w:sz w:val="28"/>
          <w:szCs w:val="28"/>
        </w:rPr>
      </w:pPr>
      <w:r>
        <w:rPr>
          <w:sz w:val="28"/>
          <w:szCs w:val="28"/>
        </w:rPr>
        <w:t>APSA proposes the following changes (</w:t>
      </w:r>
      <w:r w:rsidR="00C714AF">
        <w:rPr>
          <w:strike/>
          <w:sz w:val="28"/>
          <w:szCs w:val="28"/>
        </w:rPr>
        <w:t>remove</w:t>
      </w:r>
      <w:r w:rsidR="00FD1FA5">
        <w:rPr>
          <w:sz w:val="28"/>
          <w:szCs w:val="28"/>
        </w:rPr>
        <w:t xml:space="preserve">, </w:t>
      </w:r>
      <w:r w:rsidR="00267209" w:rsidRPr="00FB37B2">
        <w:rPr>
          <w:b/>
          <w:bCs/>
          <w:sz w:val="28"/>
          <w:szCs w:val="28"/>
        </w:rPr>
        <w:t>INSERT</w:t>
      </w:r>
      <w:r w:rsidR="003A7B79">
        <w:rPr>
          <w:sz w:val="28"/>
          <w:szCs w:val="28"/>
        </w:rPr>
        <w:t xml:space="preserve">) </w:t>
      </w:r>
      <w:r w:rsidR="00325CFD">
        <w:rPr>
          <w:sz w:val="28"/>
          <w:szCs w:val="28"/>
        </w:rPr>
        <w:t xml:space="preserve">to the rule </w:t>
      </w:r>
      <w:r>
        <w:rPr>
          <w:sz w:val="28"/>
          <w:szCs w:val="28"/>
        </w:rPr>
        <w:t>in accordance with this Petition:</w:t>
      </w:r>
    </w:p>
    <w:p w14:paraId="42EB49DD"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r>
        <w:rPr>
          <w:color w:val="000000"/>
          <w:sz w:val="28"/>
          <w:szCs w:val="28"/>
        </w:rPr>
        <w:t xml:space="preserve"> </w:t>
      </w:r>
    </w:p>
    <w:p w14:paraId="577D71A9"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delivery service or the return receipt printed from the postal or delivery service's website; or</w:t>
      </w:r>
    </w:p>
    <w:p w14:paraId="027E3A16" w14:textId="77777777" w:rsidR="00FD1FA5" w:rsidRDefault="00FD1FA5" w:rsidP="00FD1FA5">
      <w:pPr>
        <w:spacing w:line="360" w:lineRule="auto"/>
        <w:ind w:left="1440" w:right="86"/>
        <w:rPr>
          <w:color w:val="000000"/>
          <w:sz w:val="28"/>
          <w:szCs w:val="28"/>
        </w:rPr>
      </w:pPr>
      <w:r w:rsidRPr="00FD1FA5">
        <w:rPr>
          <w:color w:val="000000"/>
          <w:sz w:val="28"/>
          <w:szCs w:val="28"/>
        </w:rPr>
        <w:t xml:space="preserve">(2) Constable, Sheriff, or Private Process Server. The plaintiff may arrange for </w:t>
      </w:r>
      <w:r w:rsidRPr="00FD1FA5">
        <w:rPr>
          <w:strike/>
          <w:color w:val="000000"/>
          <w:sz w:val="28"/>
          <w:szCs w:val="28"/>
        </w:rPr>
        <w:t>personal</w:t>
      </w:r>
      <w:r w:rsidRPr="00FD1FA5">
        <w:rPr>
          <w:color w:val="000000"/>
          <w:sz w:val="28"/>
          <w:szCs w:val="28"/>
        </w:rPr>
        <w:t xml:space="preserve"> service on the defendant by a constable, sheriff, or private process server. </w:t>
      </w:r>
      <w:r w:rsidRPr="00FD1FA5">
        <w:rPr>
          <w:strike/>
          <w:color w:val="000000"/>
          <w:sz w:val="28"/>
          <w:szCs w:val="28"/>
        </w:rPr>
        <w:t>If personal service is used, an</w:t>
      </w:r>
      <w:r w:rsidRPr="00FD1FA5">
        <w:rPr>
          <w:color w:val="000000"/>
          <w:sz w:val="28"/>
          <w:szCs w:val="28"/>
        </w:rPr>
        <w:t xml:space="preserve"> </w:t>
      </w:r>
      <w:r w:rsidRPr="00FB37B2">
        <w:rPr>
          <w:b/>
          <w:bCs/>
          <w:color w:val="000000"/>
          <w:sz w:val="28"/>
          <w:szCs w:val="28"/>
        </w:rPr>
        <w:t>AN</w:t>
      </w:r>
      <w:r>
        <w:rPr>
          <w:color w:val="000000"/>
          <w:sz w:val="28"/>
          <w:szCs w:val="28"/>
        </w:rPr>
        <w:t xml:space="preserve"> </w:t>
      </w:r>
      <w:r w:rsidRPr="00FD1FA5">
        <w:rPr>
          <w:color w:val="000000"/>
          <w:sz w:val="28"/>
          <w:szCs w:val="28"/>
        </w:rPr>
        <w:t>affidavit of service must be filed with the court within 45 days of the complaint filing date.</w:t>
      </w:r>
    </w:p>
    <w:p w14:paraId="3F8721BA" w14:textId="77777777" w:rsidR="001276A0" w:rsidRDefault="001276A0" w:rsidP="00FD1FA5">
      <w:pPr>
        <w:spacing w:line="360" w:lineRule="auto"/>
        <w:ind w:left="1440" w:right="86"/>
        <w:rPr>
          <w:color w:val="000000"/>
          <w:sz w:val="28"/>
          <w:szCs w:val="28"/>
        </w:rPr>
      </w:pPr>
    </w:p>
    <w:p w14:paraId="3E25BE34" w14:textId="77777777" w:rsidR="001276A0" w:rsidRDefault="001276A0" w:rsidP="00FD1FA5">
      <w:pPr>
        <w:spacing w:line="360" w:lineRule="auto"/>
        <w:ind w:left="1440" w:right="86"/>
        <w:rPr>
          <w:color w:val="000000"/>
          <w:sz w:val="28"/>
          <w:szCs w:val="28"/>
        </w:rPr>
      </w:pPr>
    </w:p>
    <w:p w14:paraId="48FEB55F" w14:textId="77777777" w:rsidR="00841359" w:rsidRDefault="009A6B62" w:rsidP="00841359">
      <w:pPr>
        <w:spacing w:before="240" w:line="360" w:lineRule="auto"/>
        <w:ind w:right="90"/>
        <w:jc w:val="center"/>
        <w:rPr>
          <w:b/>
          <w:sz w:val="28"/>
          <w:szCs w:val="28"/>
        </w:rPr>
      </w:pPr>
      <w:r>
        <w:rPr>
          <w:b/>
          <w:sz w:val="28"/>
          <w:szCs w:val="28"/>
        </w:rPr>
        <w:lastRenderedPageBreak/>
        <w:t xml:space="preserve">BACKGROUND AND </w:t>
      </w:r>
      <w:r w:rsidR="007453FA">
        <w:rPr>
          <w:b/>
          <w:sz w:val="28"/>
          <w:szCs w:val="28"/>
        </w:rPr>
        <w:t>DISCUSSION</w:t>
      </w:r>
      <w:r>
        <w:rPr>
          <w:b/>
          <w:sz w:val="28"/>
          <w:szCs w:val="28"/>
        </w:rPr>
        <w:t xml:space="preserve"> OF PROPOSED AMENDMENT</w:t>
      </w:r>
    </w:p>
    <w:p w14:paraId="6E80C73D" w14:textId="77777777" w:rsidR="00841359" w:rsidRPr="0059795C" w:rsidRDefault="00072D22" w:rsidP="0059795C">
      <w:pPr>
        <w:spacing w:line="360" w:lineRule="auto"/>
        <w:ind w:right="86" w:firstLine="720"/>
        <w:rPr>
          <w:bCs/>
          <w:color w:val="000000"/>
          <w:sz w:val="28"/>
          <w:szCs w:val="28"/>
        </w:rPr>
      </w:pPr>
      <w:r w:rsidRPr="0059795C">
        <w:rPr>
          <w:bCs/>
          <w:color w:val="000000"/>
          <w:sz w:val="28"/>
          <w:szCs w:val="28"/>
        </w:rPr>
        <w:t xml:space="preserve">The Arizona Process Servers Association (APSA) provides continuing education and advocacy for its members and others on the rules, regulations, statutes, and case law affecting service of legal process within and outside of Arizona.  </w:t>
      </w:r>
    </w:p>
    <w:p w14:paraId="5D68652C"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t xml:space="preserve">A small claims summons requires an Answer, not a mandated Appearance in the small claims division of the justice courts.  </w:t>
      </w:r>
      <w:r w:rsidR="00FB37B2">
        <w:rPr>
          <w:bCs/>
          <w:color w:val="000000"/>
          <w:sz w:val="28"/>
          <w:szCs w:val="28"/>
        </w:rPr>
        <w:t>A summons</w:t>
      </w:r>
      <w:r w:rsidRPr="0059795C">
        <w:rPr>
          <w:bCs/>
          <w:color w:val="000000"/>
          <w:sz w:val="28"/>
          <w:szCs w:val="28"/>
        </w:rPr>
        <w:t xml:space="preserve"> is not a document which is mandated either by law or by rule of court to be given personally (i.e.: face to face) so as to effect </w:t>
      </w:r>
      <w:r w:rsidRPr="0059795C">
        <w:rPr>
          <w:bCs/>
          <w:iCs/>
          <w:color w:val="000000"/>
          <w:sz w:val="28"/>
          <w:szCs w:val="28"/>
        </w:rPr>
        <w:t>actual notice</w:t>
      </w:r>
      <w:r w:rsidRPr="0059795C">
        <w:rPr>
          <w:rStyle w:val="FootnoteReference"/>
          <w:bCs/>
          <w:iCs/>
          <w:color w:val="000000"/>
          <w:sz w:val="28"/>
          <w:szCs w:val="28"/>
        </w:rPr>
        <w:footnoteReference w:id="1"/>
      </w:r>
      <w:r w:rsidRPr="0059795C">
        <w:rPr>
          <w:bCs/>
          <w:color w:val="000000"/>
          <w:sz w:val="28"/>
          <w:szCs w:val="28"/>
        </w:rPr>
        <w:t xml:space="preserve"> to the Defendant, allowing the use of a civil bench warrant, or the threat of criminal prosecution</w:t>
      </w:r>
      <w:r w:rsidR="009160BD">
        <w:rPr>
          <w:bCs/>
          <w:color w:val="000000"/>
          <w:sz w:val="28"/>
          <w:szCs w:val="28"/>
        </w:rPr>
        <w:t xml:space="preserve"> for its enforcement</w:t>
      </w:r>
      <w:r w:rsidRPr="0059795C">
        <w:rPr>
          <w:bCs/>
          <w:color w:val="000000"/>
          <w:sz w:val="28"/>
          <w:szCs w:val="28"/>
        </w:rPr>
        <w:t xml:space="preserve">. </w:t>
      </w:r>
    </w:p>
    <w:p w14:paraId="08FE2620"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t>Unfortunately, APSA members have reported a trend among certain Justices of the Peace (JP’s) who are refusing to accept proofs of service (affidavits of service) wherein the defendant was served by substitute service</w:t>
      </w:r>
      <w:r w:rsidR="00FB37B2">
        <w:rPr>
          <w:bCs/>
          <w:color w:val="000000"/>
          <w:sz w:val="28"/>
          <w:szCs w:val="28"/>
        </w:rPr>
        <w:t xml:space="preserve">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w:t>
      </w:r>
    </w:p>
    <w:p w14:paraId="190944A3" w14:textId="77777777" w:rsidR="00B51AD2" w:rsidRDefault="00B51AD2" w:rsidP="0059795C">
      <w:pPr>
        <w:spacing w:line="360" w:lineRule="auto"/>
        <w:ind w:right="86" w:firstLine="720"/>
        <w:rPr>
          <w:bCs/>
          <w:color w:val="000000"/>
          <w:sz w:val="28"/>
          <w:szCs w:val="28"/>
        </w:rPr>
      </w:pPr>
      <w:r w:rsidRPr="0059795C">
        <w:rPr>
          <w:bCs/>
          <w:color w:val="000000"/>
          <w:sz w:val="28"/>
          <w:szCs w:val="28"/>
        </w:rPr>
        <w:t xml:space="preserve">Service of summonses in civil and small claims matters by sheriffs, constables, and process servers has been consistently performed throughout the state’s history where the service has been </w:t>
      </w:r>
      <w:r w:rsidR="007F1CE1">
        <w:rPr>
          <w:bCs/>
          <w:color w:val="000000"/>
          <w:sz w:val="28"/>
          <w:szCs w:val="28"/>
        </w:rPr>
        <w:t xml:space="preserve">made by giving </w:t>
      </w:r>
      <w:r w:rsidRPr="0059795C">
        <w:rPr>
          <w:bCs/>
          <w:iCs/>
          <w:color w:val="000000"/>
          <w:sz w:val="28"/>
          <w:szCs w:val="28"/>
        </w:rPr>
        <w:t>actual notice</w:t>
      </w:r>
      <w:r w:rsidRPr="0059795C">
        <w:rPr>
          <w:bCs/>
          <w:color w:val="000000"/>
          <w:sz w:val="28"/>
          <w:szCs w:val="28"/>
        </w:rPr>
        <w:t xml:space="preserve"> </w:t>
      </w:r>
      <w:r w:rsidR="00FB37B2">
        <w:rPr>
          <w:bCs/>
          <w:color w:val="000000"/>
          <w:sz w:val="28"/>
          <w:szCs w:val="28"/>
        </w:rPr>
        <w:t xml:space="preserve">(by personal delivery), </w:t>
      </w:r>
      <w:r w:rsidRPr="0059795C">
        <w:rPr>
          <w:bCs/>
          <w:color w:val="000000"/>
          <w:sz w:val="28"/>
          <w:szCs w:val="28"/>
        </w:rPr>
        <w:t xml:space="preserve">or </w:t>
      </w:r>
      <w:r w:rsidRPr="0059795C">
        <w:rPr>
          <w:bCs/>
          <w:iCs/>
          <w:color w:val="000000"/>
          <w:sz w:val="28"/>
          <w:szCs w:val="28"/>
        </w:rPr>
        <w:t>constructive notice</w:t>
      </w:r>
      <w:r w:rsidRPr="0059795C">
        <w:rPr>
          <w:bCs/>
          <w:color w:val="000000"/>
          <w:sz w:val="28"/>
          <w:szCs w:val="28"/>
          <w:vertAlign w:val="superscript"/>
        </w:rPr>
        <w:footnoteReference w:id="2"/>
      </w:r>
      <w:r w:rsidRPr="0059795C">
        <w:rPr>
          <w:bCs/>
          <w:color w:val="000000"/>
          <w:sz w:val="28"/>
          <w:szCs w:val="28"/>
        </w:rPr>
        <w:t xml:space="preserve"> </w:t>
      </w:r>
      <w:r w:rsidR="00FB37B2">
        <w:rPr>
          <w:bCs/>
          <w:color w:val="000000"/>
          <w:sz w:val="28"/>
          <w:szCs w:val="28"/>
        </w:rPr>
        <w:t>(by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 xml:space="preserve">) </w:t>
      </w:r>
      <w:r w:rsidRPr="0059795C">
        <w:rPr>
          <w:bCs/>
          <w:color w:val="000000"/>
          <w:sz w:val="28"/>
          <w:szCs w:val="28"/>
        </w:rPr>
        <w:t xml:space="preserve">to the defendant.  Giving constructive notice by the serving officer or process server in Arizona has historically been satisfactory in making service </w:t>
      </w:r>
      <w:r w:rsidR="007F1CE1">
        <w:rPr>
          <w:bCs/>
          <w:color w:val="000000"/>
          <w:sz w:val="28"/>
          <w:szCs w:val="28"/>
        </w:rPr>
        <w:t>in these circumstances.</w:t>
      </w:r>
    </w:p>
    <w:p w14:paraId="139ADEBC" w14:textId="77777777" w:rsidR="00463F0F" w:rsidRDefault="00463F0F" w:rsidP="0059795C">
      <w:pPr>
        <w:spacing w:line="360" w:lineRule="auto"/>
        <w:ind w:right="86" w:firstLine="720"/>
        <w:rPr>
          <w:bCs/>
          <w:color w:val="000000"/>
          <w:sz w:val="28"/>
          <w:szCs w:val="28"/>
        </w:rPr>
      </w:pPr>
      <w:r>
        <w:rPr>
          <w:bCs/>
          <w:color w:val="000000"/>
          <w:sz w:val="28"/>
          <w:szCs w:val="28"/>
        </w:rPr>
        <w:t xml:space="preserve">Most small claims cases filed by individuals are filed by persons with limited means of disposable income.  In most instances, we (process servers) find the defendant already knows about the intent for the plaintiff to file, or the filing of the </w:t>
      </w:r>
      <w:r>
        <w:rPr>
          <w:bCs/>
          <w:color w:val="000000"/>
          <w:sz w:val="28"/>
          <w:szCs w:val="28"/>
        </w:rPr>
        <w:lastRenderedPageBreak/>
        <w:t xml:space="preserve">summons and </w:t>
      </w:r>
      <w:r w:rsidR="00CC7479">
        <w:rPr>
          <w:bCs/>
          <w:color w:val="000000"/>
          <w:sz w:val="28"/>
          <w:szCs w:val="28"/>
        </w:rPr>
        <w:t>complaint</w:t>
      </w:r>
      <w:r>
        <w:rPr>
          <w:bCs/>
          <w:color w:val="000000"/>
          <w:sz w:val="28"/>
          <w:szCs w:val="28"/>
        </w:rPr>
        <w:t xml:space="preserve"> itself.  Many of those defendants will take active steps to avoid service of process.  Because of the nature of the circumstances, many small claims litigants cannot </w:t>
      </w:r>
      <w:r w:rsidR="007F1CE1">
        <w:rPr>
          <w:bCs/>
          <w:color w:val="000000"/>
          <w:sz w:val="28"/>
          <w:szCs w:val="28"/>
        </w:rPr>
        <w:t>afford additional</w:t>
      </w:r>
      <w:r>
        <w:rPr>
          <w:bCs/>
          <w:color w:val="000000"/>
          <w:sz w:val="28"/>
          <w:szCs w:val="28"/>
        </w:rPr>
        <w:t xml:space="preserve"> costs for stake outs, skiptracing and the like to have an evasive defendant served.</w:t>
      </w:r>
    </w:p>
    <w:p w14:paraId="375F8AA5" w14:textId="77777777" w:rsidR="00463F0F" w:rsidRPr="0059795C" w:rsidRDefault="00CB33D5" w:rsidP="00463F0F">
      <w:pPr>
        <w:spacing w:line="360" w:lineRule="auto"/>
        <w:ind w:right="86" w:firstLine="720"/>
        <w:rPr>
          <w:color w:val="000000"/>
          <w:sz w:val="28"/>
          <w:szCs w:val="28"/>
        </w:rPr>
      </w:pPr>
      <w:r>
        <w:rPr>
          <w:color w:val="000000"/>
          <w:sz w:val="28"/>
          <w:szCs w:val="28"/>
        </w:rPr>
        <w:t>Even though statute gives the plaintiff the option of serving the defendant by certified mail [ref.  ARS §22-513(A)/(B); RSCP</w:t>
      </w:r>
      <w:r w:rsidRPr="00FD1FA5">
        <w:rPr>
          <w:color w:val="000000"/>
          <w:sz w:val="28"/>
          <w:szCs w:val="28"/>
        </w:rPr>
        <w:t xml:space="preserve"> Rule 5</w:t>
      </w:r>
      <w:r>
        <w:rPr>
          <w:color w:val="000000"/>
          <w:sz w:val="28"/>
          <w:szCs w:val="28"/>
        </w:rPr>
        <w:t>(b)(1)] t</w:t>
      </w:r>
      <w:r w:rsidR="00463F0F">
        <w:rPr>
          <w:color w:val="000000"/>
          <w:sz w:val="28"/>
          <w:szCs w:val="28"/>
        </w:rPr>
        <w:t xml:space="preserve">he option of </w:t>
      </w:r>
      <w:r w:rsidR="007F1CE1">
        <w:rPr>
          <w:color w:val="000000"/>
          <w:sz w:val="28"/>
          <w:szCs w:val="28"/>
        </w:rPr>
        <w:t>attempting to serve</w:t>
      </w:r>
      <w:r w:rsidR="00463F0F">
        <w:rPr>
          <w:color w:val="000000"/>
          <w:sz w:val="28"/>
          <w:szCs w:val="28"/>
        </w:rPr>
        <w:t xml:space="preserve"> an evasive defendant by certified mail in a small claims matter is a waste of resources.  It is a foregone conclusion that an evasive defendant will not accept service by certified mail.</w:t>
      </w:r>
      <w:r>
        <w:rPr>
          <w:color w:val="000000"/>
          <w:sz w:val="28"/>
          <w:szCs w:val="28"/>
        </w:rPr>
        <w:t xml:space="preserve">  Additionally, many JP’s will reject the return receipt if the signature of the recipient is illegible or is that of a third party.</w:t>
      </w:r>
    </w:p>
    <w:p w14:paraId="6756A631" w14:textId="77777777" w:rsidR="00586875" w:rsidRDefault="007F1CE1" w:rsidP="0059795C">
      <w:pPr>
        <w:spacing w:line="360" w:lineRule="auto"/>
        <w:ind w:right="86" w:firstLine="720"/>
        <w:rPr>
          <w:color w:val="000000"/>
          <w:sz w:val="28"/>
          <w:szCs w:val="28"/>
        </w:rPr>
      </w:pPr>
      <w:r>
        <w:rPr>
          <w:color w:val="000000"/>
          <w:sz w:val="28"/>
          <w:szCs w:val="28"/>
        </w:rPr>
        <w:t>Th</w:t>
      </w:r>
      <w:r w:rsidR="00CB33D5">
        <w:rPr>
          <w:color w:val="000000"/>
          <w:sz w:val="28"/>
          <w:szCs w:val="28"/>
        </w:rPr>
        <w:t>u</w:t>
      </w:r>
      <w:r>
        <w:rPr>
          <w:color w:val="000000"/>
          <w:sz w:val="28"/>
          <w:szCs w:val="28"/>
        </w:rPr>
        <w:t xml:space="preserve">s the </w:t>
      </w:r>
      <w:r w:rsidR="000C53A9" w:rsidRPr="000C53A9">
        <w:rPr>
          <w:color w:val="000000"/>
          <w:sz w:val="28"/>
          <w:szCs w:val="28"/>
        </w:rPr>
        <w:t xml:space="preserve">mandate for strict compliance in making personal (face to face) service upon an evasive defendant </w:t>
      </w:r>
      <w:r w:rsidR="00EF1A68">
        <w:rPr>
          <w:color w:val="000000"/>
          <w:sz w:val="28"/>
          <w:szCs w:val="28"/>
        </w:rPr>
        <w:t xml:space="preserve">in a small claims case </w:t>
      </w:r>
      <w:r w:rsidR="000C53A9" w:rsidRPr="000C53A9">
        <w:rPr>
          <w:color w:val="000000"/>
          <w:sz w:val="28"/>
          <w:szCs w:val="28"/>
        </w:rPr>
        <w:t>conjugates an impracticable situation.</w:t>
      </w:r>
      <w:r w:rsidR="000C53A9" w:rsidRPr="0059795C">
        <w:rPr>
          <w:color w:val="000000"/>
          <w:sz w:val="28"/>
          <w:szCs w:val="28"/>
        </w:rPr>
        <w:t xml:space="preserve">  </w:t>
      </w:r>
      <w:r w:rsidR="0059795C">
        <w:rPr>
          <w:color w:val="000000"/>
          <w:sz w:val="28"/>
          <w:szCs w:val="28"/>
        </w:rPr>
        <w:t>A</w:t>
      </w:r>
      <w:r w:rsidR="000C53A9" w:rsidRPr="0059795C">
        <w:rPr>
          <w:color w:val="000000"/>
          <w:sz w:val="28"/>
          <w:szCs w:val="28"/>
        </w:rPr>
        <w:t xml:space="preserve"> motion for alternative means of service due to the impracticability of directly, personally serving an evasive defendant is not allowed. [ref. ARS §22-505(B)]  </w:t>
      </w:r>
      <w:r w:rsidR="00CB33D5">
        <w:rPr>
          <w:color w:val="000000"/>
          <w:sz w:val="28"/>
          <w:szCs w:val="28"/>
        </w:rPr>
        <w:t>A</w:t>
      </w:r>
      <w:r w:rsidR="00CB33D5" w:rsidRPr="0059795C">
        <w:rPr>
          <w:color w:val="000000"/>
          <w:sz w:val="28"/>
          <w:szCs w:val="28"/>
        </w:rPr>
        <w:t xml:space="preserve"> motion for alternative means of service would be </w:t>
      </w:r>
      <w:r w:rsidR="00CB33D5">
        <w:rPr>
          <w:color w:val="000000"/>
          <w:sz w:val="28"/>
          <w:szCs w:val="28"/>
        </w:rPr>
        <w:t>allowed in a civil case within the justice court.</w:t>
      </w:r>
      <w:r w:rsidR="00CB33D5" w:rsidRPr="0059795C">
        <w:rPr>
          <w:color w:val="000000"/>
          <w:sz w:val="28"/>
          <w:szCs w:val="28"/>
          <w:vertAlign w:val="superscript"/>
        </w:rPr>
        <w:footnoteReference w:id="3"/>
      </w:r>
      <w:r w:rsidR="00CB33D5">
        <w:rPr>
          <w:color w:val="000000"/>
          <w:sz w:val="28"/>
          <w:szCs w:val="28"/>
        </w:rPr>
        <w:t xml:space="preserve">  </w:t>
      </w:r>
    </w:p>
    <w:p w14:paraId="0232A63B" w14:textId="77777777" w:rsidR="00CC7479" w:rsidRDefault="00CB33D5" w:rsidP="00CC7479">
      <w:pPr>
        <w:spacing w:line="360" w:lineRule="auto"/>
        <w:ind w:right="86" w:firstLine="720"/>
        <w:rPr>
          <w:color w:val="000000"/>
          <w:sz w:val="28"/>
          <w:szCs w:val="28"/>
        </w:rPr>
      </w:pPr>
      <w:r>
        <w:rPr>
          <w:color w:val="000000"/>
          <w:sz w:val="28"/>
          <w:szCs w:val="28"/>
        </w:rPr>
        <w:t>While a</w:t>
      </w:r>
      <w:r w:rsidR="00CC7479" w:rsidRPr="0059795C">
        <w:rPr>
          <w:color w:val="000000"/>
          <w:sz w:val="28"/>
          <w:szCs w:val="28"/>
        </w:rPr>
        <w:t xml:space="preserve"> limited solution </w:t>
      </w:r>
      <w:r>
        <w:rPr>
          <w:color w:val="000000"/>
          <w:sz w:val="28"/>
          <w:szCs w:val="28"/>
        </w:rPr>
        <w:t>may</w:t>
      </w:r>
      <w:r w:rsidR="00CC7479" w:rsidRPr="0059795C">
        <w:rPr>
          <w:color w:val="000000"/>
          <w:sz w:val="28"/>
          <w:szCs w:val="28"/>
        </w:rPr>
        <w:t xml:space="preserve"> be for th</w:t>
      </w:r>
      <w:r>
        <w:rPr>
          <w:color w:val="000000"/>
          <w:sz w:val="28"/>
          <w:szCs w:val="28"/>
        </w:rPr>
        <w:t>e</w:t>
      </w:r>
      <w:r w:rsidR="00CC7479" w:rsidRPr="0059795C">
        <w:rPr>
          <w:color w:val="000000"/>
          <w:sz w:val="28"/>
          <w:szCs w:val="28"/>
        </w:rPr>
        <w:t xml:space="preserve"> plaintiff to pay the court clerk an additional fee and convert their case from a small claims to a civil case</w:t>
      </w:r>
      <w:r w:rsidR="00CC7479" w:rsidRPr="0059795C">
        <w:rPr>
          <w:color w:val="000000"/>
          <w:sz w:val="28"/>
          <w:szCs w:val="28"/>
          <w:vertAlign w:val="superscript"/>
        </w:rPr>
        <w:footnoteReference w:id="4"/>
      </w:r>
      <w:r>
        <w:rPr>
          <w:color w:val="000000"/>
          <w:sz w:val="28"/>
          <w:szCs w:val="28"/>
        </w:rPr>
        <w:t>,</w:t>
      </w:r>
      <w:r w:rsidR="00CC7479" w:rsidRPr="0059795C">
        <w:rPr>
          <w:color w:val="000000"/>
          <w:sz w:val="28"/>
          <w:szCs w:val="28"/>
        </w:rPr>
        <w:t xml:space="preserve"> </w:t>
      </w:r>
      <w:r>
        <w:rPr>
          <w:color w:val="000000"/>
          <w:sz w:val="28"/>
          <w:szCs w:val="28"/>
        </w:rPr>
        <w:t xml:space="preserve">that option is only available to the sophisticated plaintiff or the plaintiff who can afford the additional costs of litigation and navigate the civil practice rules associated with civil cases in the justice courts.  </w:t>
      </w:r>
    </w:p>
    <w:p w14:paraId="6C1FE5A5" w14:textId="77777777" w:rsidR="00CC7479" w:rsidRDefault="00CC7479" w:rsidP="00CC7479">
      <w:pPr>
        <w:spacing w:line="360" w:lineRule="auto"/>
        <w:ind w:right="86" w:firstLine="720"/>
        <w:rPr>
          <w:color w:val="000000"/>
          <w:sz w:val="28"/>
          <w:szCs w:val="28"/>
        </w:rPr>
      </w:pPr>
      <w:r>
        <w:rPr>
          <w:color w:val="000000"/>
          <w:sz w:val="28"/>
          <w:szCs w:val="28"/>
        </w:rPr>
        <w:t xml:space="preserve">Most self-represented small litigants are of limited financial means, resources and knowledge. </w:t>
      </w:r>
    </w:p>
    <w:p w14:paraId="1EB9DE56" w14:textId="77777777" w:rsidR="0059795C" w:rsidRPr="0059795C" w:rsidRDefault="00C2117E" w:rsidP="0059795C">
      <w:pPr>
        <w:spacing w:line="360" w:lineRule="auto"/>
        <w:ind w:right="86" w:firstLine="720"/>
        <w:rPr>
          <w:sz w:val="28"/>
          <w:szCs w:val="28"/>
        </w:rPr>
      </w:pPr>
      <w:r w:rsidRPr="0059795C">
        <w:rPr>
          <w:sz w:val="28"/>
          <w:szCs w:val="28"/>
        </w:rPr>
        <w:lastRenderedPageBreak/>
        <w:t xml:space="preserve">A policy mandating </w:t>
      </w:r>
      <w:r w:rsidR="00463F0F">
        <w:rPr>
          <w:sz w:val="28"/>
          <w:szCs w:val="28"/>
        </w:rPr>
        <w:t xml:space="preserve">strict compliance by giving </w:t>
      </w:r>
      <w:r w:rsidR="000C53A9" w:rsidRPr="0059795C">
        <w:rPr>
          <w:sz w:val="28"/>
          <w:szCs w:val="28"/>
        </w:rPr>
        <w:t>actual notice by personal delivery to the evasive small claims defendant create</w:t>
      </w:r>
      <w:r>
        <w:rPr>
          <w:sz w:val="28"/>
          <w:szCs w:val="28"/>
        </w:rPr>
        <w:t>s</w:t>
      </w:r>
      <w:r w:rsidR="000C53A9" w:rsidRPr="0059795C">
        <w:rPr>
          <w:sz w:val="28"/>
          <w:szCs w:val="28"/>
        </w:rPr>
        <w:t xml:space="preserve"> a situation where service is not only </w:t>
      </w:r>
      <w:r w:rsidR="0059795C" w:rsidRPr="0059795C">
        <w:rPr>
          <w:sz w:val="28"/>
          <w:szCs w:val="28"/>
        </w:rPr>
        <w:t>impracticable but</w:t>
      </w:r>
      <w:r w:rsidR="000C53A9" w:rsidRPr="0059795C">
        <w:rPr>
          <w:sz w:val="28"/>
          <w:szCs w:val="28"/>
        </w:rPr>
        <w:t xml:space="preserve"> may be impossible.  This deprives the </w:t>
      </w:r>
      <w:r w:rsidR="0059795C" w:rsidRPr="0059795C">
        <w:rPr>
          <w:sz w:val="28"/>
          <w:szCs w:val="28"/>
        </w:rPr>
        <w:t xml:space="preserve">plaintiff in small claims case their due process rights.  </w:t>
      </w:r>
      <w:r>
        <w:rPr>
          <w:sz w:val="28"/>
          <w:szCs w:val="28"/>
        </w:rPr>
        <w:t xml:space="preserve">It </w:t>
      </w:r>
      <w:r w:rsidR="00CC7479">
        <w:rPr>
          <w:sz w:val="28"/>
          <w:szCs w:val="28"/>
        </w:rPr>
        <w:t xml:space="preserve">also </w:t>
      </w:r>
      <w:r w:rsidR="0059795C" w:rsidRPr="0059795C">
        <w:rPr>
          <w:sz w:val="28"/>
          <w:szCs w:val="28"/>
        </w:rPr>
        <w:t>works against the court’s own interests for expedience and the statutory construction of  “…a forum in justice courts in which procedures shall allow the inexpensive, speedy and informal resolution of small claims.” (ARS §22-501)</w:t>
      </w:r>
      <w:r w:rsidR="00463F0F" w:rsidRPr="00463F0F">
        <w:rPr>
          <w:rStyle w:val="FootnoteReference"/>
          <w:sz w:val="28"/>
          <w:szCs w:val="28"/>
        </w:rPr>
        <w:t xml:space="preserve"> </w:t>
      </w:r>
      <w:r w:rsidR="00463F0F">
        <w:rPr>
          <w:rStyle w:val="FootnoteReference"/>
          <w:sz w:val="28"/>
          <w:szCs w:val="28"/>
        </w:rPr>
        <w:footnoteReference w:id="5"/>
      </w:r>
      <w:r w:rsidR="00EF1A68">
        <w:rPr>
          <w:sz w:val="28"/>
          <w:szCs w:val="28"/>
        </w:rPr>
        <w:t xml:space="preserve">  </w:t>
      </w:r>
    </w:p>
    <w:p w14:paraId="5B93494E" w14:textId="77777777" w:rsidR="00586875" w:rsidRPr="0059795C" w:rsidRDefault="00586875" w:rsidP="00586875">
      <w:pPr>
        <w:spacing w:line="360" w:lineRule="auto"/>
        <w:ind w:right="86" w:firstLine="720"/>
        <w:rPr>
          <w:bCs/>
          <w:color w:val="000000"/>
          <w:sz w:val="28"/>
          <w:szCs w:val="28"/>
        </w:rPr>
      </w:pPr>
      <w:r w:rsidRPr="000C53A9">
        <w:rPr>
          <w:sz w:val="28"/>
          <w:szCs w:val="28"/>
        </w:rPr>
        <w:t>Statute (ARS §22-513) provides, “In addition to any other available methods of service…”,  “…</w:t>
      </w:r>
      <w:r w:rsidRPr="000C53A9">
        <w:rPr>
          <w:color w:val="000000"/>
          <w:sz w:val="28"/>
          <w:szCs w:val="28"/>
        </w:rPr>
        <w:t xml:space="preserve">personal service by a process server or an authorized officer </w:t>
      </w:r>
      <w:r w:rsidRPr="000C53A9">
        <w:rPr>
          <w:iCs/>
          <w:color w:val="000000"/>
          <w:sz w:val="28"/>
          <w:szCs w:val="28"/>
        </w:rPr>
        <w:t xml:space="preserve">or </w:t>
      </w:r>
      <w:r w:rsidRPr="00FB37B2">
        <w:rPr>
          <w:i/>
          <w:color w:val="000000"/>
          <w:sz w:val="28"/>
          <w:szCs w:val="28"/>
        </w:rPr>
        <w:t>by any other means pursuant to court rule may be used</w:t>
      </w:r>
      <w:r w:rsidRPr="000C53A9">
        <w:rPr>
          <w:iCs/>
          <w:sz w:val="28"/>
          <w:szCs w:val="28"/>
        </w:rPr>
        <w:t xml:space="preserve"> </w:t>
      </w:r>
      <w:r w:rsidRPr="000C53A9">
        <w:rPr>
          <w:sz w:val="28"/>
          <w:szCs w:val="28"/>
        </w:rPr>
        <w:t>”</w:t>
      </w:r>
      <w:r w:rsidRPr="000C53A9">
        <w:rPr>
          <w:color w:val="000000"/>
          <w:sz w:val="28"/>
          <w:szCs w:val="28"/>
        </w:rPr>
        <w:t>. (</w:t>
      </w:r>
      <w:r w:rsidRPr="000C53A9">
        <w:rPr>
          <w:iCs/>
          <w:color w:val="000000"/>
          <w:sz w:val="28"/>
          <w:szCs w:val="28"/>
        </w:rPr>
        <w:t>Emphasis</w:t>
      </w:r>
      <w:r w:rsidRPr="000C53A9">
        <w:rPr>
          <w:color w:val="000000"/>
          <w:sz w:val="28"/>
          <w:szCs w:val="28"/>
        </w:rPr>
        <w:t xml:space="preserve"> added).</w:t>
      </w:r>
      <w:r w:rsidRPr="000C53A9">
        <w:rPr>
          <w:sz w:val="28"/>
          <w:szCs w:val="28"/>
        </w:rPr>
        <w:t xml:space="preserve">  </w:t>
      </w:r>
    </w:p>
    <w:p w14:paraId="3C701ACA" w14:textId="77777777" w:rsidR="009160BD" w:rsidRDefault="005A3842" w:rsidP="005A3842">
      <w:pPr>
        <w:spacing w:line="360" w:lineRule="auto"/>
        <w:ind w:right="86" w:firstLine="720"/>
        <w:rPr>
          <w:color w:val="000000"/>
          <w:sz w:val="28"/>
          <w:szCs w:val="28"/>
        </w:rPr>
      </w:pPr>
      <w:r w:rsidRPr="005A3842">
        <w:rPr>
          <w:color w:val="000000"/>
          <w:sz w:val="28"/>
          <w:szCs w:val="28"/>
        </w:rPr>
        <w:t>Interpreting and applying the foregoing “…</w:t>
      </w:r>
      <w:r w:rsidRPr="005A3842">
        <w:rPr>
          <w:i/>
          <w:iCs/>
          <w:color w:val="000000"/>
          <w:sz w:val="28"/>
          <w:szCs w:val="28"/>
        </w:rPr>
        <w:t>liberally and consistently…</w:t>
      </w:r>
      <w:r w:rsidRPr="005A3842">
        <w:rPr>
          <w:color w:val="000000"/>
          <w:sz w:val="28"/>
          <w:szCs w:val="28"/>
        </w:rPr>
        <w:t>”, and in accordance with ARS §22-505(A), we find that service of a small claims summons by “…leaving the papers at the Defendant’s dwelling with a person of suitable age and discretion who lives there” applied within Arizona, is within reason, statute, rules of court, and the bounds of common sense.  We find that anything less than a liberal interpretation of the applicable statute(s) and rule(s) creates an impracticable situation, is unreasonably prohibitive, inconsistent with the legislative intent and nature of the small claims process and causes impediment to the course of due process.</w:t>
      </w:r>
    </w:p>
    <w:p w14:paraId="33C08EFA" w14:textId="77777777" w:rsidR="005A3842" w:rsidRDefault="005A3842" w:rsidP="009160BD">
      <w:pPr>
        <w:spacing w:line="360" w:lineRule="auto"/>
        <w:ind w:right="86" w:firstLine="720"/>
        <w:rPr>
          <w:sz w:val="28"/>
          <w:szCs w:val="28"/>
        </w:rPr>
      </w:pPr>
      <w:r>
        <w:rPr>
          <w:sz w:val="28"/>
          <w:szCs w:val="28"/>
        </w:rPr>
        <w:t>Accordingly, APSA submits the instant Petition.</w:t>
      </w:r>
    </w:p>
    <w:p w14:paraId="7D39CD41" w14:textId="77777777" w:rsidR="005A3842" w:rsidRDefault="005A3842" w:rsidP="005A3842">
      <w:pPr>
        <w:spacing w:line="360" w:lineRule="auto"/>
        <w:ind w:right="90"/>
        <w:rPr>
          <w:sz w:val="28"/>
          <w:szCs w:val="28"/>
        </w:rPr>
      </w:pPr>
      <w:r>
        <w:rPr>
          <w:sz w:val="28"/>
          <w:szCs w:val="28"/>
        </w:rPr>
        <w:t>Respectfully submitted,</w:t>
      </w:r>
    </w:p>
    <w:p w14:paraId="2D843EE9" w14:textId="77777777" w:rsidR="005A3842" w:rsidRPr="009F337C" w:rsidRDefault="005A3842" w:rsidP="005A3842">
      <w:pPr>
        <w:spacing w:line="360" w:lineRule="auto"/>
        <w:rPr>
          <w:b/>
          <w:sz w:val="28"/>
          <w:szCs w:val="28"/>
        </w:rPr>
      </w:pPr>
      <w:r w:rsidRPr="009F337C">
        <w:rPr>
          <w:b/>
          <w:sz w:val="28"/>
          <w:szCs w:val="28"/>
        </w:rPr>
        <w:t>Arizona Process Servers Association</w:t>
      </w:r>
    </w:p>
    <w:p w14:paraId="456E33B5" w14:textId="77777777" w:rsidR="005A3842" w:rsidRPr="009F337C" w:rsidRDefault="005A3842" w:rsidP="005A3842">
      <w:pPr>
        <w:spacing w:line="360" w:lineRule="auto"/>
        <w:ind w:right="90" w:firstLine="720"/>
        <w:rPr>
          <w:b/>
          <w:sz w:val="28"/>
          <w:szCs w:val="28"/>
        </w:rPr>
      </w:pPr>
      <w:r>
        <w:rPr>
          <w:b/>
          <w:sz w:val="28"/>
          <w:szCs w:val="28"/>
        </w:rPr>
        <w:t>/S/</w:t>
      </w:r>
    </w:p>
    <w:p w14:paraId="2FC27009" w14:textId="77777777" w:rsidR="005A3842" w:rsidRPr="009F337C" w:rsidRDefault="005A3842" w:rsidP="00586875">
      <w:pPr>
        <w:ind w:right="90"/>
        <w:rPr>
          <w:b/>
          <w:sz w:val="28"/>
          <w:szCs w:val="28"/>
        </w:rPr>
      </w:pPr>
      <w:r w:rsidRPr="009F337C">
        <w:rPr>
          <w:b/>
          <w:sz w:val="28"/>
          <w:szCs w:val="28"/>
        </w:rPr>
        <w:t>BARRY R. GOLDMAN</w:t>
      </w:r>
    </w:p>
    <w:p w14:paraId="5150D579" w14:textId="77777777" w:rsidR="005A3842" w:rsidRDefault="005A3842" w:rsidP="00B62821">
      <w:pPr>
        <w:rPr>
          <w:bCs/>
          <w:sz w:val="28"/>
          <w:szCs w:val="28"/>
        </w:rPr>
      </w:pPr>
      <w:r w:rsidRPr="00072D22">
        <w:rPr>
          <w:bCs/>
          <w:sz w:val="28"/>
          <w:szCs w:val="28"/>
        </w:rPr>
        <w:t>Administrator</w:t>
      </w:r>
      <w:r w:rsidR="00B62821">
        <w:rPr>
          <w:bCs/>
          <w:sz w:val="28"/>
          <w:szCs w:val="28"/>
        </w:rPr>
        <w:t xml:space="preserve">, </w:t>
      </w:r>
      <w:r>
        <w:rPr>
          <w:bCs/>
          <w:sz w:val="28"/>
          <w:szCs w:val="28"/>
        </w:rPr>
        <w:t>Secretary/Treasurer</w:t>
      </w:r>
    </w:p>
    <w:p w14:paraId="251A5262" w14:textId="77777777" w:rsidR="005A3842" w:rsidRPr="009F337C" w:rsidRDefault="005A3842" w:rsidP="005A3842">
      <w:pPr>
        <w:spacing w:line="276" w:lineRule="auto"/>
        <w:rPr>
          <w:color w:val="000000"/>
          <w:sz w:val="28"/>
          <w:szCs w:val="28"/>
        </w:rPr>
      </w:pPr>
      <w:r w:rsidRPr="009F337C">
        <w:rPr>
          <w:color w:val="000000"/>
          <w:sz w:val="28"/>
          <w:szCs w:val="28"/>
        </w:rPr>
        <w:lastRenderedPageBreak/>
        <w:t xml:space="preserve">Larry J. Ratcliff, President </w:t>
      </w:r>
    </w:p>
    <w:p w14:paraId="7DD741C1" w14:textId="77777777" w:rsidR="005A3842" w:rsidRPr="009F337C" w:rsidRDefault="005A3842" w:rsidP="005A3842">
      <w:pPr>
        <w:spacing w:line="276" w:lineRule="auto"/>
        <w:rPr>
          <w:color w:val="000000"/>
          <w:sz w:val="28"/>
          <w:szCs w:val="28"/>
        </w:rPr>
      </w:pPr>
      <w:r w:rsidRPr="009F337C">
        <w:rPr>
          <w:color w:val="000000"/>
          <w:sz w:val="28"/>
          <w:szCs w:val="28"/>
        </w:rPr>
        <w:t xml:space="preserve">John Osborn, Vice President </w:t>
      </w:r>
    </w:p>
    <w:p w14:paraId="4602863E" w14:textId="77777777" w:rsidR="005A3842" w:rsidRPr="009F337C" w:rsidRDefault="005A3842" w:rsidP="005A3842">
      <w:pPr>
        <w:spacing w:line="276" w:lineRule="auto"/>
        <w:rPr>
          <w:color w:val="000000"/>
          <w:sz w:val="28"/>
          <w:szCs w:val="28"/>
        </w:rPr>
      </w:pPr>
      <w:r w:rsidRPr="009F337C">
        <w:rPr>
          <w:color w:val="000000"/>
          <w:sz w:val="28"/>
          <w:szCs w:val="28"/>
        </w:rPr>
        <w:t>Barry R. Goldman, Secretary/Treasurer</w:t>
      </w:r>
      <w:r w:rsidR="009160BD">
        <w:rPr>
          <w:color w:val="000000"/>
          <w:sz w:val="28"/>
          <w:szCs w:val="28"/>
        </w:rPr>
        <w:t xml:space="preserve">, </w:t>
      </w:r>
      <w:r w:rsidRPr="009F337C">
        <w:rPr>
          <w:color w:val="000000"/>
          <w:sz w:val="28"/>
          <w:szCs w:val="28"/>
        </w:rPr>
        <w:t>Admin</w:t>
      </w:r>
      <w:r w:rsidR="009160BD">
        <w:rPr>
          <w:color w:val="000000"/>
          <w:sz w:val="28"/>
          <w:szCs w:val="28"/>
        </w:rPr>
        <w:t>istrator</w:t>
      </w:r>
    </w:p>
    <w:p w14:paraId="69E4DF8C" w14:textId="77777777" w:rsidR="005A3842" w:rsidRPr="009F337C" w:rsidRDefault="005A3842" w:rsidP="005A3842">
      <w:pPr>
        <w:spacing w:line="276" w:lineRule="auto"/>
        <w:rPr>
          <w:color w:val="000000"/>
          <w:sz w:val="28"/>
          <w:szCs w:val="28"/>
        </w:rPr>
      </w:pPr>
      <w:r w:rsidRPr="009F337C">
        <w:rPr>
          <w:color w:val="000000"/>
          <w:sz w:val="28"/>
          <w:szCs w:val="28"/>
        </w:rPr>
        <w:t xml:space="preserve">Ronald R. Ezell, Immed. Past Pres. </w:t>
      </w:r>
    </w:p>
    <w:p w14:paraId="0C60F4B3" w14:textId="77777777" w:rsidR="005A3842" w:rsidRPr="009F337C" w:rsidRDefault="005A3842" w:rsidP="005A3842">
      <w:pPr>
        <w:spacing w:line="276" w:lineRule="auto"/>
        <w:rPr>
          <w:color w:val="000000"/>
          <w:sz w:val="28"/>
          <w:szCs w:val="28"/>
        </w:rPr>
      </w:pPr>
      <w:r w:rsidRPr="009F337C">
        <w:rPr>
          <w:color w:val="000000"/>
          <w:sz w:val="28"/>
          <w:szCs w:val="28"/>
        </w:rPr>
        <w:t xml:space="preserve">Susie Baldwin (Director #1) </w:t>
      </w:r>
    </w:p>
    <w:p w14:paraId="7E982DA6" w14:textId="77777777" w:rsidR="005A3842" w:rsidRPr="009F337C" w:rsidRDefault="005A3842" w:rsidP="005A3842">
      <w:pPr>
        <w:spacing w:line="276" w:lineRule="auto"/>
        <w:rPr>
          <w:color w:val="000000"/>
          <w:sz w:val="28"/>
          <w:szCs w:val="28"/>
        </w:rPr>
      </w:pPr>
      <w:r w:rsidRPr="009F337C">
        <w:rPr>
          <w:color w:val="000000"/>
          <w:sz w:val="28"/>
          <w:szCs w:val="28"/>
        </w:rPr>
        <w:t xml:space="preserve">Kay Dean (Director #2) </w:t>
      </w:r>
    </w:p>
    <w:p w14:paraId="2F1C231B" w14:textId="77777777" w:rsidR="005A3842" w:rsidRPr="009F337C" w:rsidRDefault="005A3842" w:rsidP="005A3842">
      <w:pPr>
        <w:spacing w:line="276" w:lineRule="auto"/>
        <w:rPr>
          <w:color w:val="000000"/>
          <w:sz w:val="28"/>
          <w:szCs w:val="28"/>
        </w:rPr>
      </w:pPr>
      <w:r w:rsidRPr="009F337C">
        <w:rPr>
          <w:color w:val="000000"/>
          <w:sz w:val="28"/>
          <w:szCs w:val="28"/>
        </w:rPr>
        <w:t xml:space="preserve">Gregory Scott Hardy (Director #3) </w:t>
      </w:r>
    </w:p>
    <w:p w14:paraId="657B8891" w14:textId="77777777" w:rsidR="005A3842" w:rsidRPr="009F337C" w:rsidRDefault="005A3842" w:rsidP="005A3842">
      <w:pPr>
        <w:spacing w:line="276" w:lineRule="auto"/>
        <w:rPr>
          <w:color w:val="000000"/>
          <w:sz w:val="28"/>
          <w:szCs w:val="28"/>
        </w:rPr>
      </w:pPr>
      <w:r w:rsidRPr="009F337C">
        <w:rPr>
          <w:color w:val="000000"/>
          <w:sz w:val="28"/>
          <w:szCs w:val="28"/>
        </w:rPr>
        <w:t xml:space="preserve">Nathan Botsch (Director #4) </w:t>
      </w:r>
    </w:p>
    <w:p w14:paraId="4F3300A3" w14:textId="77777777" w:rsidR="005A3842" w:rsidRPr="009F337C" w:rsidRDefault="005A3842" w:rsidP="005A3842">
      <w:pPr>
        <w:spacing w:line="276" w:lineRule="auto"/>
        <w:rPr>
          <w:color w:val="000000"/>
          <w:sz w:val="28"/>
          <w:szCs w:val="28"/>
        </w:rPr>
      </w:pPr>
      <w:r w:rsidRPr="009F337C">
        <w:rPr>
          <w:color w:val="000000"/>
          <w:sz w:val="28"/>
          <w:szCs w:val="28"/>
        </w:rPr>
        <w:t xml:space="preserve">Matthew Uthe (Director #5) </w:t>
      </w:r>
    </w:p>
    <w:p w14:paraId="72AC3E82" w14:textId="77777777" w:rsidR="00586875" w:rsidRDefault="005A3842" w:rsidP="00586875">
      <w:pPr>
        <w:spacing w:line="360" w:lineRule="auto"/>
        <w:ind w:right="86"/>
        <w:rPr>
          <w:color w:val="000000"/>
          <w:sz w:val="28"/>
          <w:szCs w:val="28"/>
        </w:rPr>
      </w:pPr>
      <w:r w:rsidRPr="009F337C">
        <w:rPr>
          <w:color w:val="000000"/>
          <w:sz w:val="28"/>
          <w:szCs w:val="28"/>
        </w:rPr>
        <w:t xml:space="preserve">Tracy Arnold (Director #6) </w:t>
      </w:r>
    </w:p>
    <w:p w14:paraId="54E70480" w14:textId="77777777" w:rsidR="00586875" w:rsidRDefault="00586875" w:rsidP="00586875">
      <w:pPr>
        <w:spacing w:line="360" w:lineRule="auto"/>
        <w:ind w:right="86" w:firstLine="720"/>
        <w:rPr>
          <w:color w:val="000000"/>
          <w:sz w:val="28"/>
          <w:szCs w:val="28"/>
        </w:rPr>
      </w:pPr>
    </w:p>
    <w:sectPr w:rsidR="00586875" w:rsidSect="0029446F">
      <w:headerReference w:type="default" r:id="rId9"/>
      <w:footerReference w:type="default" r:id="rId10"/>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40E3" w14:textId="77777777" w:rsidR="006B7A97" w:rsidRDefault="006B7A97">
      <w:r>
        <w:separator/>
      </w:r>
    </w:p>
  </w:endnote>
  <w:endnote w:type="continuationSeparator" w:id="0">
    <w:p w14:paraId="1613543D" w14:textId="77777777" w:rsidR="006B7A97" w:rsidRDefault="006B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EE4E" w14:textId="77777777" w:rsidR="005C2C2B" w:rsidRDefault="005C2C2B">
    <w:pPr>
      <w:pStyle w:val="Footer"/>
      <w:jc w:val="right"/>
      <w:rPr>
        <w:noProof/>
      </w:rPr>
    </w:pPr>
    <w:r>
      <w:fldChar w:fldCharType="begin"/>
    </w:r>
    <w:r>
      <w:instrText xml:space="preserve"> PAGE   \* MERGEFORMAT </w:instrText>
    </w:r>
    <w:r>
      <w:fldChar w:fldCharType="separate"/>
    </w:r>
    <w:r>
      <w:rPr>
        <w:noProof/>
      </w:rPr>
      <w:t>2</w:t>
    </w:r>
    <w:r>
      <w:fldChar w:fldCharType="end"/>
    </w:r>
  </w:p>
  <w:p w14:paraId="4945FA68" w14:textId="77777777" w:rsidR="005C2C2B" w:rsidRDefault="005C2C2B">
    <w:pPr>
      <w:pStyle w:val="Footer"/>
      <w:jc w:val="right"/>
      <w:rPr>
        <w:noProof/>
      </w:rPr>
    </w:pPr>
    <w:r>
      <w:rPr>
        <w:noProof/>
      </w:rPr>
      <w:t xml:space="preserve">Produced/Updated on:  </w:t>
    </w:r>
    <w:r>
      <w:rPr>
        <w:noProof/>
      </w:rPr>
      <w:fldChar w:fldCharType="begin"/>
    </w:r>
    <w:r>
      <w:rPr>
        <w:noProof/>
      </w:rPr>
      <w:instrText xml:space="preserve"> DATE \@ "d MMMM yyyy" </w:instrText>
    </w:r>
    <w:r>
      <w:rPr>
        <w:noProof/>
      </w:rPr>
      <w:fldChar w:fldCharType="separate"/>
    </w:r>
    <w:r w:rsidR="00186953">
      <w:rPr>
        <w:noProof/>
      </w:rPr>
      <w:t>1 January 2024</w:t>
    </w:r>
    <w:r>
      <w:rPr>
        <w:noProof/>
      </w:rPr>
      <w:fldChar w:fldCharType="end"/>
    </w:r>
  </w:p>
  <w:p w14:paraId="1CA439FB" w14:textId="77777777" w:rsidR="005C2C2B" w:rsidRDefault="005C2C2B">
    <w:pPr>
      <w:pStyle w:val="Footer"/>
      <w:jc w:val="right"/>
    </w:pPr>
    <w:r>
      <w:rPr>
        <w:noProof/>
      </w:rPr>
      <w:t>by Goldman, B.R. for APSA</w:t>
    </w:r>
  </w:p>
  <w:p w14:paraId="63510F9F" w14:textId="77777777" w:rsidR="005C2C2B" w:rsidRDefault="005C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06CA" w14:textId="77777777" w:rsidR="006B7A97" w:rsidRDefault="006B7A97">
      <w:r>
        <w:separator/>
      </w:r>
    </w:p>
  </w:footnote>
  <w:footnote w:type="continuationSeparator" w:id="0">
    <w:p w14:paraId="2785840D" w14:textId="77777777" w:rsidR="006B7A97" w:rsidRDefault="006B7A97">
      <w:r>
        <w:continuationSeparator/>
      </w:r>
    </w:p>
  </w:footnote>
  <w:footnote w:id="1">
    <w:p w14:paraId="6845F23E" w14:textId="77777777" w:rsidR="00000000" w:rsidRDefault="00B51AD2">
      <w:pPr>
        <w:pStyle w:val="FootnoteText"/>
      </w:pPr>
      <w:r>
        <w:rPr>
          <w:rStyle w:val="FootnoteReference"/>
        </w:rPr>
        <w:footnoteRef/>
      </w:r>
      <w:r>
        <w:t xml:space="preserve"> actual notice. n. having been informed directly of something or having seen it occur, as distinguished from constructive notice. [</w:t>
      </w:r>
      <w:r w:rsidRPr="00582CD3">
        <w:t>https://dictionary.law.com/</w:t>
      </w:r>
      <w:r>
        <w:t>]</w:t>
      </w:r>
    </w:p>
  </w:footnote>
  <w:footnote w:id="2">
    <w:p w14:paraId="5E6B2630" w14:textId="77777777" w:rsidR="00000000" w:rsidRDefault="00B51AD2" w:rsidP="00B51AD2">
      <w:pPr>
        <w:pStyle w:val="FootnoteText"/>
      </w:pPr>
      <w:r>
        <w:rPr>
          <w:rStyle w:val="FootnoteReference"/>
        </w:rPr>
        <w:footnoteRef/>
      </w:r>
      <w:r>
        <w:t xml:space="preserve"> </w:t>
      </w:r>
      <w:r w:rsidRPr="00582CD3">
        <w:t>constructive notice. n. a fiction that a person got notice even though actual notice was not personally delivered to him/her.</w:t>
      </w:r>
      <w:r>
        <w:t xml:space="preserve"> [</w:t>
      </w:r>
      <w:r w:rsidRPr="00582CD3">
        <w:t>https://dictionary.law.com/</w:t>
      </w:r>
      <w:r>
        <w:t>]</w:t>
      </w:r>
    </w:p>
  </w:footnote>
  <w:footnote w:id="3">
    <w:p w14:paraId="4FA4EE55" w14:textId="77777777" w:rsidR="00000000" w:rsidRDefault="00CB33D5" w:rsidP="00CB33D5">
      <w:pPr>
        <w:pStyle w:val="FootnoteText"/>
      </w:pPr>
      <w:r>
        <w:rPr>
          <w:rStyle w:val="FootnoteReference"/>
        </w:rPr>
        <w:footnoteRef/>
      </w:r>
      <w:r>
        <w:t xml:space="preserve"> </w:t>
      </w:r>
      <w:r w:rsidRPr="008C6543">
        <w:rPr>
          <w:i/>
          <w:iCs/>
        </w:rPr>
        <w:t>See</w:t>
      </w:r>
      <w:r>
        <w:t xml:space="preserve"> JCRCP Rule 113(</w:t>
      </w:r>
      <w:r w:rsidRPr="006F27E6">
        <w:t>c</w:t>
      </w:r>
      <w:r>
        <w:t>)(6)</w:t>
      </w:r>
    </w:p>
  </w:footnote>
  <w:footnote w:id="4">
    <w:p w14:paraId="05580621" w14:textId="77777777" w:rsidR="00000000" w:rsidRDefault="00CC7479" w:rsidP="00CC7479">
      <w:r>
        <w:rPr>
          <w:rStyle w:val="FootnoteReference"/>
        </w:rPr>
        <w:footnoteRef/>
      </w:r>
      <w:r>
        <w:t xml:space="preserve"> </w:t>
      </w:r>
      <w:r w:rsidRPr="006F27E6">
        <w:t xml:space="preserve">RSCP </w:t>
      </w:r>
      <w:r w:rsidRPr="00A516F8">
        <w:rPr>
          <w:rStyle w:val="Strong"/>
          <w:b w:val="0"/>
        </w:rPr>
        <w:t xml:space="preserve">Rule 11. </w:t>
      </w:r>
      <w:r w:rsidRPr="00A516F8">
        <w:rPr>
          <w:rStyle w:val="Strong"/>
          <w:b w:val="0"/>
          <w:u w:val="single"/>
        </w:rPr>
        <w:t>Transferring the Lawsuit to the Justice Court Civil Division</w:t>
      </w:r>
      <w:r w:rsidRPr="00A516F8">
        <w:rPr>
          <w:rStyle w:val="Strong"/>
          <w:b w:val="0"/>
        </w:rPr>
        <w:t xml:space="preserve"> (a) Requesting Transfer.</w:t>
      </w:r>
      <w:r w:rsidRPr="006F27E6">
        <w:t xml:space="preserve"> Either party can file a request to transfer the lawsuit to the civil division of the justice court no later than 10 business days before the hearing date.</w:t>
      </w:r>
    </w:p>
  </w:footnote>
  <w:footnote w:id="5">
    <w:p w14:paraId="1CEFCBE6" w14:textId="77777777" w:rsidR="00000000" w:rsidRDefault="00463F0F" w:rsidP="00463F0F">
      <w:pPr>
        <w:pStyle w:val="FootnoteText"/>
      </w:pPr>
      <w:r>
        <w:rPr>
          <w:rStyle w:val="FootnoteReference"/>
        </w:rPr>
        <w:footnoteRef/>
      </w:r>
      <w:r>
        <w:t xml:space="preserve"> Additionally, </w:t>
      </w:r>
      <w:r w:rsidRPr="00604D0B">
        <w:t xml:space="preserve">RSCP Rule 1(b) states. “These rules and the Arizona Revised Statutes (“ARS”) Title 22, Chapter 5, govern procedures for small claims lawsuits and provide a process for inexpensive, speedy, and informal resolutions. Courts and parties should interpret these rules </w:t>
      </w:r>
      <w:r w:rsidRPr="00604D0B">
        <w:rPr>
          <w:i/>
          <w:iCs/>
        </w:rPr>
        <w:t>liberally and consistently with this purpose</w:t>
      </w:r>
      <w:r w:rsidRPr="00604D0B">
        <w:t xml:space="preserve">.” (Emphasis added).  Further noting, ARS §22-516(A), states, in part, “The justice of the peace or hearing officer shall conduct the trial in such a manner to do justice between the parties and </w:t>
      </w:r>
      <w:r w:rsidRPr="00604D0B">
        <w:rPr>
          <w:i/>
          <w:iCs/>
        </w:rPr>
        <w:t>shall not be bound by formal rules of procedure</w:t>
      </w:r>
      <w:r w:rsidRPr="00604D0B">
        <w:t>…”.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8F04" w14:textId="2A87D3B0" w:rsidR="00F43491" w:rsidRDefault="00186953">
    <w:pPr>
      <w:pStyle w:val="Header"/>
    </w:pPr>
    <w:r>
      <w:rPr>
        <w:noProof/>
      </w:rPr>
      <mc:AlternateContent>
        <mc:Choice Requires="wps">
          <w:drawing>
            <wp:anchor distT="0" distB="0" distL="114300" distR="114300" simplePos="0" relativeHeight="251659264" behindDoc="0" locked="1" layoutInCell="0" allowOverlap="1" wp14:anchorId="601F0ADE" wp14:editId="78AD46F3">
              <wp:simplePos x="0" y="0"/>
              <wp:positionH relativeFrom="page">
                <wp:posOffset>7315200</wp:posOffset>
              </wp:positionH>
              <wp:positionV relativeFrom="page">
                <wp:posOffset>0</wp:posOffset>
              </wp:positionV>
              <wp:extent cx="635" cy="10058400"/>
              <wp:effectExtent l="0" t="0" r="0" b="0"/>
              <wp:wrapNone/>
              <wp:docPr id="20979605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819DB"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6192" behindDoc="0" locked="1" layoutInCell="0" allowOverlap="1" wp14:anchorId="21F0D0D3" wp14:editId="4B395B21">
              <wp:simplePos x="0" y="0"/>
              <wp:positionH relativeFrom="margin">
                <wp:posOffset>-640080</wp:posOffset>
              </wp:positionH>
              <wp:positionV relativeFrom="margin">
                <wp:posOffset>-91440</wp:posOffset>
              </wp:positionV>
              <wp:extent cx="457200" cy="8412480"/>
              <wp:effectExtent l="0" t="0" r="0" b="0"/>
              <wp:wrapNone/>
              <wp:docPr id="1933604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D0D3" id="Rectangle 2" o:spid="_x0000_s1026" style="position:absolute;margin-left:-50.4pt;margin-top:-7.2pt;width:36pt;height:66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216" behindDoc="0" locked="1" layoutInCell="0" allowOverlap="1" wp14:anchorId="2E87F0E4" wp14:editId="0D4BC55A">
              <wp:simplePos x="0" y="0"/>
              <wp:positionH relativeFrom="margin">
                <wp:posOffset>-45720</wp:posOffset>
              </wp:positionH>
              <wp:positionV relativeFrom="margin">
                <wp:posOffset>-914400</wp:posOffset>
              </wp:positionV>
              <wp:extent cx="635" cy="10058400"/>
              <wp:effectExtent l="0" t="0" r="0" b="0"/>
              <wp:wrapNone/>
              <wp:docPr id="14838827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EE80"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58240" behindDoc="0" locked="0" layoutInCell="0" allowOverlap="1" wp14:anchorId="3031242F" wp14:editId="33ECCF1B">
              <wp:simplePos x="0" y="0"/>
              <wp:positionH relativeFrom="margin">
                <wp:posOffset>-91440</wp:posOffset>
              </wp:positionH>
              <wp:positionV relativeFrom="margin">
                <wp:posOffset>-914400</wp:posOffset>
              </wp:positionV>
              <wp:extent cx="635" cy="10058400"/>
              <wp:effectExtent l="0" t="0" r="0" b="0"/>
              <wp:wrapNone/>
              <wp:docPr id="8543107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4EE89"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903"/>
    <w:multiLevelType w:val="hybridMultilevel"/>
    <w:tmpl w:val="FFFFFFFF"/>
    <w:lvl w:ilvl="0" w:tplc="20BE975C">
      <w:start w:val="1"/>
      <w:numFmt w:val="upperRoman"/>
      <w:lvlText w:val="%1."/>
      <w:lvlJc w:val="left"/>
      <w:pPr>
        <w:ind w:left="1440" w:hanging="720"/>
      </w:pPr>
      <w:rPr>
        <w:rFonts w:cs="Times New Roman" w:hint="default"/>
      </w:rPr>
    </w:lvl>
    <w:lvl w:ilvl="1" w:tplc="131688C0" w:tentative="1">
      <w:start w:val="1"/>
      <w:numFmt w:val="lowerLetter"/>
      <w:lvlText w:val="%2."/>
      <w:lvlJc w:val="left"/>
      <w:pPr>
        <w:ind w:left="1800" w:hanging="360"/>
      </w:pPr>
      <w:rPr>
        <w:rFonts w:cs="Times New Roman"/>
      </w:rPr>
    </w:lvl>
    <w:lvl w:ilvl="2" w:tplc="D2AA8108" w:tentative="1">
      <w:start w:val="1"/>
      <w:numFmt w:val="lowerRoman"/>
      <w:lvlText w:val="%3."/>
      <w:lvlJc w:val="right"/>
      <w:pPr>
        <w:ind w:left="2520" w:hanging="180"/>
      </w:pPr>
      <w:rPr>
        <w:rFonts w:cs="Times New Roman"/>
      </w:rPr>
    </w:lvl>
    <w:lvl w:ilvl="3" w:tplc="708C0FC0" w:tentative="1">
      <w:start w:val="1"/>
      <w:numFmt w:val="decimal"/>
      <w:lvlText w:val="%4."/>
      <w:lvlJc w:val="left"/>
      <w:pPr>
        <w:ind w:left="3240" w:hanging="360"/>
      </w:pPr>
      <w:rPr>
        <w:rFonts w:cs="Times New Roman"/>
      </w:rPr>
    </w:lvl>
    <w:lvl w:ilvl="4" w:tplc="A998BCE0" w:tentative="1">
      <w:start w:val="1"/>
      <w:numFmt w:val="lowerLetter"/>
      <w:lvlText w:val="%5."/>
      <w:lvlJc w:val="left"/>
      <w:pPr>
        <w:ind w:left="3960" w:hanging="360"/>
      </w:pPr>
      <w:rPr>
        <w:rFonts w:cs="Times New Roman"/>
      </w:rPr>
    </w:lvl>
    <w:lvl w:ilvl="5" w:tplc="5226F086" w:tentative="1">
      <w:start w:val="1"/>
      <w:numFmt w:val="lowerRoman"/>
      <w:lvlText w:val="%6."/>
      <w:lvlJc w:val="right"/>
      <w:pPr>
        <w:ind w:left="4680" w:hanging="180"/>
      </w:pPr>
      <w:rPr>
        <w:rFonts w:cs="Times New Roman"/>
      </w:rPr>
    </w:lvl>
    <w:lvl w:ilvl="6" w:tplc="C902F15A" w:tentative="1">
      <w:start w:val="1"/>
      <w:numFmt w:val="decimal"/>
      <w:lvlText w:val="%7."/>
      <w:lvlJc w:val="left"/>
      <w:pPr>
        <w:ind w:left="5400" w:hanging="360"/>
      </w:pPr>
      <w:rPr>
        <w:rFonts w:cs="Times New Roman"/>
      </w:rPr>
    </w:lvl>
    <w:lvl w:ilvl="7" w:tplc="A738A6AE" w:tentative="1">
      <w:start w:val="1"/>
      <w:numFmt w:val="lowerLetter"/>
      <w:lvlText w:val="%8."/>
      <w:lvlJc w:val="left"/>
      <w:pPr>
        <w:ind w:left="6120" w:hanging="360"/>
      </w:pPr>
      <w:rPr>
        <w:rFonts w:cs="Times New Roman"/>
      </w:rPr>
    </w:lvl>
    <w:lvl w:ilvl="8" w:tplc="FCF6F2F6" w:tentative="1">
      <w:start w:val="1"/>
      <w:numFmt w:val="lowerRoman"/>
      <w:lvlText w:val="%9."/>
      <w:lvlJc w:val="right"/>
      <w:pPr>
        <w:ind w:left="6840" w:hanging="180"/>
      </w:pPr>
      <w:rPr>
        <w:rFonts w:cs="Times New Roman"/>
      </w:rPr>
    </w:lvl>
  </w:abstractNum>
  <w:abstractNum w:abstractNumId="1" w15:restartNumberingAfterBreak="0">
    <w:nsid w:val="24F0477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30C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4862410"/>
    <w:multiLevelType w:val="hybridMultilevel"/>
    <w:tmpl w:val="FFFFFFFF"/>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649141140">
    <w:abstractNumId w:val="0"/>
  </w:num>
  <w:num w:numId="2" w16cid:durableId="1131705111">
    <w:abstractNumId w:val="2"/>
  </w:num>
  <w:num w:numId="3" w16cid:durableId="2142576060">
    <w:abstractNumId w:val="3"/>
  </w:num>
  <w:num w:numId="4" w16cid:durableId="18812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000C35"/>
    <w:rsid w:val="00013101"/>
    <w:rsid w:val="00072D22"/>
    <w:rsid w:val="000C0B19"/>
    <w:rsid w:val="000C13FF"/>
    <w:rsid w:val="000C53A9"/>
    <w:rsid w:val="000D208F"/>
    <w:rsid w:val="00103A61"/>
    <w:rsid w:val="001276A0"/>
    <w:rsid w:val="00186953"/>
    <w:rsid w:val="001870DF"/>
    <w:rsid w:val="00200805"/>
    <w:rsid w:val="00242A8E"/>
    <w:rsid w:val="00250B76"/>
    <w:rsid w:val="00265DDC"/>
    <w:rsid w:val="002667EC"/>
    <w:rsid w:val="00267209"/>
    <w:rsid w:val="002830B8"/>
    <w:rsid w:val="0029446F"/>
    <w:rsid w:val="002E70FB"/>
    <w:rsid w:val="002F38FD"/>
    <w:rsid w:val="00323F0C"/>
    <w:rsid w:val="00325CFD"/>
    <w:rsid w:val="003710DA"/>
    <w:rsid w:val="003A71A1"/>
    <w:rsid w:val="003A7B79"/>
    <w:rsid w:val="003C7B70"/>
    <w:rsid w:val="003D1F62"/>
    <w:rsid w:val="003E5B07"/>
    <w:rsid w:val="004243F5"/>
    <w:rsid w:val="00463F0F"/>
    <w:rsid w:val="0048012E"/>
    <w:rsid w:val="004C1C11"/>
    <w:rsid w:val="004C3AA3"/>
    <w:rsid w:val="00512C62"/>
    <w:rsid w:val="005664A7"/>
    <w:rsid w:val="00582CD3"/>
    <w:rsid w:val="005845E0"/>
    <w:rsid w:val="00586875"/>
    <w:rsid w:val="0059795C"/>
    <w:rsid w:val="005A3842"/>
    <w:rsid w:val="005A3C25"/>
    <w:rsid w:val="005A49EB"/>
    <w:rsid w:val="005C2C2B"/>
    <w:rsid w:val="005E5657"/>
    <w:rsid w:val="005E6E04"/>
    <w:rsid w:val="005E7056"/>
    <w:rsid w:val="006007DE"/>
    <w:rsid w:val="00604D0B"/>
    <w:rsid w:val="00614159"/>
    <w:rsid w:val="0066726F"/>
    <w:rsid w:val="0069478B"/>
    <w:rsid w:val="006B4F9A"/>
    <w:rsid w:val="006B7A97"/>
    <w:rsid w:val="006D4909"/>
    <w:rsid w:val="006F27E6"/>
    <w:rsid w:val="00711B88"/>
    <w:rsid w:val="00714AAF"/>
    <w:rsid w:val="00736D9B"/>
    <w:rsid w:val="007453FA"/>
    <w:rsid w:val="0076326F"/>
    <w:rsid w:val="007717AF"/>
    <w:rsid w:val="00791051"/>
    <w:rsid w:val="007C4D14"/>
    <w:rsid w:val="007F1CE1"/>
    <w:rsid w:val="00800789"/>
    <w:rsid w:val="00841359"/>
    <w:rsid w:val="0085190D"/>
    <w:rsid w:val="00854F5D"/>
    <w:rsid w:val="00861563"/>
    <w:rsid w:val="00890FAB"/>
    <w:rsid w:val="008A722F"/>
    <w:rsid w:val="008C6543"/>
    <w:rsid w:val="008E05D3"/>
    <w:rsid w:val="008F05EC"/>
    <w:rsid w:val="00903350"/>
    <w:rsid w:val="009160BD"/>
    <w:rsid w:val="00924646"/>
    <w:rsid w:val="00925AAD"/>
    <w:rsid w:val="00947C0C"/>
    <w:rsid w:val="009A6B62"/>
    <w:rsid w:val="009F1C9B"/>
    <w:rsid w:val="009F337C"/>
    <w:rsid w:val="00A10FE9"/>
    <w:rsid w:val="00A47B47"/>
    <w:rsid w:val="00A516F8"/>
    <w:rsid w:val="00AE0D50"/>
    <w:rsid w:val="00AE161D"/>
    <w:rsid w:val="00B15EAF"/>
    <w:rsid w:val="00B51AD2"/>
    <w:rsid w:val="00B62821"/>
    <w:rsid w:val="00B67182"/>
    <w:rsid w:val="00B76407"/>
    <w:rsid w:val="00B87FD0"/>
    <w:rsid w:val="00B92D26"/>
    <w:rsid w:val="00C2117E"/>
    <w:rsid w:val="00C714AF"/>
    <w:rsid w:val="00C73A77"/>
    <w:rsid w:val="00C840E0"/>
    <w:rsid w:val="00CB33D5"/>
    <w:rsid w:val="00CC7479"/>
    <w:rsid w:val="00D053BA"/>
    <w:rsid w:val="00D50CB7"/>
    <w:rsid w:val="00D57363"/>
    <w:rsid w:val="00D72B43"/>
    <w:rsid w:val="00D876F4"/>
    <w:rsid w:val="00DF4CF6"/>
    <w:rsid w:val="00DF6CFD"/>
    <w:rsid w:val="00E115D4"/>
    <w:rsid w:val="00E17854"/>
    <w:rsid w:val="00EF1A68"/>
    <w:rsid w:val="00F25ACE"/>
    <w:rsid w:val="00F270BC"/>
    <w:rsid w:val="00F43491"/>
    <w:rsid w:val="00F67262"/>
    <w:rsid w:val="00FB37B2"/>
    <w:rsid w:val="00FD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C0ACE"/>
  <w14:defaultImageDpi w14:val="96"/>
  <w15:docId w15:val="{E57C7B59-41BF-495D-922C-60D3A22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character" w:styleId="PageNumber">
    <w:name w:val="page number"/>
    <w:basedOn w:val="DefaultParagraphFont"/>
    <w:uiPriority w:val="99"/>
    <w:rsid w:val="00072D22"/>
    <w:rPr>
      <w:rFonts w:cs="Times New Roman"/>
    </w:rPr>
  </w:style>
  <w:style w:type="paragraph" w:styleId="ListParagraph">
    <w:name w:val="List Paragraph"/>
    <w:basedOn w:val="Normal"/>
    <w:uiPriority w:val="34"/>
    <w:qFormat/>
    <w:rsid w:val="00072D22"/>
    <w:pPr>
      <w:overflowPunct/>
      <w:autoSpaceDE/>
      <w:autoSpaceDN/>
      <w:adjustRightInd/>
      <w:ind w:left="720"/>
      <w:contextualSpacing/>
      <w:textAlignment w:val="auto"/>
    </w:pPr>
    <w:rPr>
      <w:sz w:val="24"/>
      <w:szCs w:val="24"/>
    </w:rPr>
  </w:style>
  <w:style w:type="table" w:styleId="TableGrid">
    <w:name w:val="Table Grid"/>
    <w:basedOn w:val="TableNormal"/>
    <w:uiPriority w:val="39"/>
    <w:rsid w:val="0007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1AD2"/>
    <w:pPr>
      <w:overflowPunct/>
      <w:autoSpaceDE/>
      <w:autoSpaceDN/>
      <w:adjustRightInd/>
      <w:textAlignment w:val="auto"/>
    </w:pPr>
  </w:style>
  <w:style w:type="character" w:customStyle="1" w:styleId="FootnoteTextChar">
    <w:name w:val="Footnote Text Char"/>
    <w:basedOn w:val="DefaultParagraphFont"/>
    <w:link w:val="FootnoteText"/>
    <w:uiPriority w:val="99"/>
    <w:rsid w:val="00B51AD2"/>
    <w:rPr>
      <w:rFonts w:cs="Times New Roman"/>
    </w:rPr>
  </w:style>
  <w:style w:type="character" w:styleId="FootnoteReference">
    <w:name w:val="footnote reference"/>
    <w:basedOn w:val="DefaultParagraphFont"/>
    <w:uiPriority w:val="99"/>
    <w:unhideWhenUsed/>
    <w:rsid w:val="00B51AD2"/>
    <w:rPr>
      <w:rFonts w:cs="Times New Roman"/>
      <w:vertAlign w:val="superscript"/>
    </w:rPr>
  </w:style>
  <w:style w:type="paragraph" w:styleId="NormalWeb">
    <w:name w:val="Normal (Web)"/>
    <w:basedOn w:val="Normal"/>
    <w:uiPriority w:val="99"/>
    <w:rsid w:val="00B51AD2"/>
    <w:rPr>
      <w:sz w:val="24"/>
      <w:szCs w:val="24"/>
    </w:rPr>
  </w:style>
  <w:style w:type="character" w:styleId="Strong">
    <w:name w:val="Strong"/>
    <w:basedOn w:val="DefaultParagraphFont"/>
    <w:uiPriority w:val="22"/>
    <w:qFormat/>
    <w:rsid w:val="0059795C"/>
    <w:rPr>
      <w:rFonts w:cs="Times New Roman"/>
      <w:b/>
    </w:rPr>
  </w:style>
  <w:style w:type="character" w:styleId="Hyperlink">
    <w:name w:val="Hyperlink"/>
    <w:basedOn w:val="DefaultParagraphFont"/>
    <w:uiPriority w:val="99"/>
    <w:rsid w:val="00F25ACE"/>
    <w:rPr>
      <w:rFonts w:cs="Times New Roman"/>
      <w:color w:val="0000FF" w:themeColor="hyperlink"/>
      <w:u w:val="single"/>
    </w:rPr>
  </w:style>
  <w:style w:type="character" w:styleId="UnresolvedMention">
    <w:name w:val="Unresolved Mention"/>
    <w:basedOn w:val="DefaultParagraphFont"/>
    <w:uiPriority w:val="99"/>
    <w:semiHidden/>
    <w:unhideWhenUsed/>
    <w:rsid w:val="00F25AC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718">
      <w:marLeft w:val="0"/>
      <w:marRight w:val="0"/>
      <w:marTop w:val="0"/>
      <w:marBottom w:val="0"/>
      <w:divBdr>
        <w:top w:val="none" w:sz="0" w:space="0" w:color="auto"/>
        <w:left w:val="none" w:sz="0" w:space="0" w:color="auto"/>
        <w:bottom w:val="none" w:sz="0" w:space="0" w:color="auto"/>
        <w:right w:val="none" w:sz="0" w:space="0" w:color="auto"/>
      </w:divBdr>
      <w:divsChild>
        <w:div w:id="239872719">
          <w:marLeft w:val="0"/>
          <w:marRight w:val="0"/>
          <w:marTop w:val="0"/>
          <w:marBottom w:val="0"/>
          <w:divBdr>
            <w:top w:val="none" w:sz="0" w:space="0" w:color="auto"/>
            <w:left w:val="none" w:sz="0" w:space="0" w:color="auto"/>
            <w:bottom w:val="none" w:sz="0" w:space="0" w:color="auto"/>
            <w:right w:val="none" w:sz="0" w:space="0" w:color="auto"/>
          </w:divBdr>
          <w:divsChild>
            <w:div w:id="239872725">
              <w:marLeft w:val="0"/>
              <w:marRight w:val="0"/>
              <w:marTop w:val="0"/>
              <w:marBottom w:val="0"/>
              <w:divBdr>
                <w:top w:val="none" w:sz="0" w:space="0" w:color="auto"/>
                <w:left w:val="none" w:sz="0" w:space="0" w:color="auto"/>
                <w:bottom w:val="none" w:sz="0" w:space="0" w:color="auto"/>
                <w:right w:val="none" w:sz="0" w:space="0" w:color="auto"/>
              </w:divBdr>
              <w:divsChild>
                <w:div w:id="239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23">
          <w:marLeft w:val="0"/>
          <w:marRight w:val="0"/>
          <w:marTop w:val="0"/>
          <w:marBottom w:val="0"/>
          <w:divBdr>
            <w:top w:val="none" w:sz="0" w:space="0" w:color="auto"/>
            <w:left w:val="none" w:sz="0" w:space="0" w:color="auto"/>
            <w:bottom w:val="none" w:sz="0" w:space="0" w:color="auto"/>
            <w:right w:val="none" w:sz="0" w:space="0" w:color="auto"/>
          </w:divBdr>
          <w:divsChild>
            <w:div w:id="239872724">
              <w:marLeft w:val="0"/>
              <w:marRight w:val="0"/>
              <w:marTop w:val="0"/>
              <w:marBottom w:val="0"/>
              <w:divBdr>
                <w:top w:val="none" w:sz="0" w:space="0" w:color="auto"/>
                <w:left w:val="none" w:sz="0" w:space="0" w:color="auto"/>
                <w:bottom w:val="none" w:sz="0" w:space="0" w:color="auto"/>
                <w:right w:val="none" w:sz="0" w:space="0" w:color="auto"/>
              </w:divBdr>
            </w:div>
          </w:divsChild>
        </w:div>
        <w:div w:id="239872726">
          <w:marLeft w:val="0"/>
          <w:marRight w:val="0"/>
          <w:marTop w:val="0"/>
          <w:marBottom w:val="0"/>
          <w:divBdr>
            <w:top w:val="none" w:sz="0" w:space="0" w:color="auto"/>
            <w:left w:val="none" w:sz="0" w:space="0" w:color="auto"/>
            <w:bottom w:val="none" w:sz="0" w:space="0" w:color="auto"/>
            <w:right w:val="none" w:sz="0" w:space="0" w:color="auto"/>
          </w:divBdr>
          <w:divsChild>
            <w:div w:id="239872715">
              <w:marLeft w:val="0"/>
              <w:marRight w:val="0"/>
              <w:marTop w:val="0"/>
              <w:marBottom w:val="0"/>
              <w:divBdr>
                <w:top w:val="none" w:sz="0" w:space="0" w:color="auto"/>
                <w:left w:val="none" w:sz="0" w:space="0" w:color="auto"/>
                <w:bottom w:val="none" w:sz="0" w:space="0" w:color="auto"/>
                <w:right w:val="none" w:sz="0" w:space="0" w:color="auto"/>
              </w:divBdr>
              <w:divsChild>
                <w:div w:id="2398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2">
          <w:marLeft w:val="0"/>
          <w:marRight w:val="0"/>
          <w:marTop w:val="0"/>
          <w:marBottom w:val="0"/>
          <w:divBdr>
            <w:top w:val="none" w:sz="0" w:space="0" w:color="auto"/>
            <w:left w:val="none" w:sz="0" w:space="0" w:color="auto"/>
            <w:bottom w:val="none" w:sz="0" w:space="0" w:color="auto"/>
            <w:right w:val="none" w:sz="0" w:space="0" w:color="auto"/>
          </w:divBdr>
          <w:divsChild>
            <w:div w:id="239872731">
              <w:marLeft w:val="0"/>
              <w:marRight w:val="0"/>
              <w:marTop w:val="0"/>
              <w:marBottom w:val="0"/>
              <w:divBdr>
                <w:top w:val="none" w:sz="0" w:space="0" w:color="auto"/>
                <w:left w:val="none" w:sz="0" w:space="0" w:color="auto"/>
                <w:bottom w:val="none" w:sz="0" w:space="0" w:color="auto"/>
                <w:right w:val="none" w:sz="0" w:space="0" w:color="auto"/>
              </w:divBdr>
              <w:divsChild>
                <w:div w:id="2398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5">
      <w:marLeft w:val="0"/>
      <w:marRight w:val="0"/>
      <w:marTop w:val="0"/>
      <w:marBottom w:val="0"/>
      <w:divBdr>
        <w:top w:val="none" w:sz="0" w:space="0" w:color="auto"/>
        <w:left w:val="none" w:sz="0" w:space="0" w:color="auto"/>
        <w:bottom w:val="none" w:sz="0" w:space="0" w:color="auto"/>
        <w:right w:val="none" w:sz="0" w:space="0" w:color="auto"/>
      </w:divBdr>
      <w:divsChild>
        <w:div w:id="239872713">
          <w:marLeft w:val="0"/>
          <w:marRight w:val="0"/>
          <w:marTop w:val="0"/>
          <w:marBottom w:val="0"/>
          <w:divBdr>
            <w:top w:val="none" w:sz="0" w:space="0" w:color="auto"/>
            <w:left w:val="none" w:sz="0" w:space="0" w:color="auto"/>
            <w:bottom w:val="none" w:sz="0" w:space="0" w:color="auto"/>
            <w:right w:val="none" w:sz="0" w:space="0" w:color="auto"/>
          </w:divBdr>
          <w:divsChild>
            <w:div w:id="239872727">
              <w:marLeft w:val="0"/>
              <w:marRight w:val="0"/>
              <w:marTop w:val="0"/>
              <w:marBottom w:val="0"/>
              <w:divBdr>
                <w:top w:val="none" w:sz="0" w:space="0" w:color="auto"/>
                <w:left w:val="none" w:sz="0" w:space="0" w:color="auto"/>
                <w:bottom w:val="none" w:sz="0" w:space="0" w:color="auto"/>
                <w:right w:val="none" w:sz="0" w:space="0" w:color="auto"/>
              </w:divBdr>
              <w:divsChild>
                <w:div w:id="2398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17">
          <w:marLeft w:val="0"/>
          <w:marRight w:val="0"/>
          <w:marTop w:val="0"/>
          <w:marBottom w:val="0"/>
          <w:divBdr>
            <w:top w:val="none" w:sz="0" w:space="0" w:color="auto"/>
            <w:left w:val="none" w:sz="0" w:space="0" w:color="auto"/>
            <w:bottom w:val="none" w:sz="0" w:space="0" w:color="auto"/>
            <w:right w:val="none" w:sz="0" w:space="0" w:color="auto"/>
          </w:divBdr>
          <w:divsChild>
            <w:div w:id="239872721">
              <w:marLeft w:val="0"/>
              <w:marRight w:val="0"/>
              <w:marTop w:val="0"/>
              <w:marBottom w:val="0"/>
              <w:divBdr>
                <w:top w:val="none" w:sz="0" w:space="0" w:color="auto"/>
                <w:left w:val="none" w:sz="0" w:space="0" w:color="auto"/>
                <w:bottom w:val="none" w:sz="0" w:space="0" w:color="auto"/>
                <w:right w:val="none" w:sz="0" w:space="0" w:color="auto"/>
              </w:divBdr>
              <w:divsChild>
                <w:div w:id="239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0">
          <w:marLeft w:val="0"/>
          <w:marRight w:val="0"/>
          <w:marTop w:val="0"/>
          <w:marBottom w:val="0"/>
          <w:divBdr>
            <w:top w:val="none" w:sz="0" w:space="0" w:color="auto"/>
            <w:left w:val="none" w:sz="0" w:space="0" w:color="auto"/>
            <w:bottom w:val="none" w:sz="0" w:space="0" w:color="auto"/>
            <w:right w:val="none" w:sz="0" w:space="0" w:color="auto"/>
          </w:divBdr>
          <w:divsChild>
            <w:div w:id="239872722">
              <w:marLeft w:val="0"/>
              <w:marRight w:val="0"/>
              <w:marTop w:val="0"/>
              <w:marBottom w:val="0"/>
              <w:divBdr>
                <w:top w:val="none" w:sz="0" w:space="0" w:color="auto"/>
                <w:left w:val="none" w:sz="0" w:space="0" w:color="auto"/>
                <w:bottom w:val="none" w:sz="0" w:space="0" w:color="auto"/>
                <w:right w:val="none" w:sz="0" w:space="0" w:color="auto"/>
              </w:divBdr>
            </w:div>
          </w:divsChild>
        </w:div>
        <w:div w:id="239872734">
          <w:marLeft w:val="0"/>
          <w:marRight w:val="0"/>
          <w:marTop w:val="0"/>
          <w:marBottom w:val="0"/>
          <w:divBdr>
            <w:top w:val="none" w:sz="0" w:space="0" w:color="auto"/>
            <w:left w:val="none" w:sz="0" w:space="0" w:color="auto"/>
            <w:bottom w:val="none" w:sz="0" w:space="0" w:color="auto"/>
            <w:right w:val="none" w:sz="0" w:space="0" w:color="auto"/>
          </w:divBdr>
          <w:divsChild>
            <w:div w:id="239872728">
              <w:marLeft w:val="0"/>
              <w:marRight w:val="0"/>
              <w:marTop w:val="0"/>
              <w:marBottom w:val="0"/>
              <w:divBdr>
                <w:top w:val="none" w:sz="0" w:space="0" w:color="auto"/>
                <w:left w:val="none" w:sz="0" w:space="0" w:color="auto"/>
                <w:bottom w:val="none" w:sz="0" w:space="0" w:color="auto"/>
                <w:right w:val="none" w:sz="0" w:space="0" w:color="auto"/>
              </w:divBdr>
              <w:divsChild>
                <w:div w:id="2398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6">
      <w:marLeft w:val="0"/>
      <w:marRight w:val="0"/>
      <w:marTop w:val="0"/>
      <w:marBottom w:val="0"/>
      <w:divBdr>
        <w:top w:val="none" w:sz="0" w:space="0" w:color="auto"/>
        <w:left w:val="none" w:sz="0" w:space="0" w:color="auto"/>
        <w:bottom w:val="none" w:sz="0" w:space="0" w:color="auto"/>
        <w:right w:val="none" w:sz="0" w:space="0" w:color="auto"/>
      </w:divBdr>
    </w:div>
    <w:div w:id="239872739">
      <w:marLeft w:val="0"/>
      <w:marRight w:val="0"/>
      <w:marTop w:val="0"/>
      <w:marBottom w:val="0"/>
      <w:divBdr>
        <w:top w:val="none" w:sz="0" w:space="0" w:color="auto"/>
        <w:left w:val="none" w:sz="0" w:space="0" w:color="auto"/>
        <w:bottom w:val="none" w:sz="0" w:space="0" w:color="auto"/>
        <w:right w:val="none" w:sz="0" w:space="0" w:color="auto"/>
      </w:divBdr>
      <w:divsChild>
        <w:div w:id="239872738">
          <w:marLeft w:val="0"/>
          <w:marRight w:val="0"/>
          <w:marTop w:val="0"/>
          <w:marBottom w:val="0"/>
          <w:divBdr>
            <w:top w:val="none" w:sz="0" w:space="0" w:color="auto"/>
            <w:left w:val="none" w:sz="0" w:space="0" w:color="auto"/>
            <w:bottom w:val="none" w:sz="0" w:space="0" w:color="auto"/>
            <w:right w:val="none" w:sz="0" w:space="0" w:color="auto"/>
          </w:divBdr>
          <w:divsChild>
            <w:div w:id="239872740">
              <w:marLeft w:val="0"/>
              <w:marRight w:val="0"/>
              <w:marTop w:val="0"/>
              <w:marBottom w:val="0"/>
              <w:divBdr>
                <w:top w:val="none" w:sz="0" w:space="0" w:color="auto"/>
                <w:left w:val="none" w:sz="0" w:space="0" w:color="auto"/>
                <w:bottom w:val="none" w:sz="0" w:space="0" w:color="auto"/>
                <w:right w:val="none" w:sz="0" w:space="0" w:color="auto"/>
              </w:divBdr>
            </w:div>
          </w:divsChild>
        </w:div>
        <w:div w:id="239872741">
          <w:marLeft w:val="0"/>
          <w:marRight w:val="0"/>
          <w:marTop w:val="0"/>
          <w:marBottom w:val="0"/>
          <w:divBdr>
            <w:top w:val="none" w:sz="0" w:space="0" w:color="auto"/>
            <w:left w:val="none" w:sz="0" w:space="0" w:color="auto"/>
            <w:bottom w:val="none" w:sz="0" w:space="0" w:color="auto"/>
            <w:right w:val="none" w:sz="0" w:space="0" w:color="auto"/>
          </w:divBdr>
          <w:divsChild>
            <w:div w:id="239872744">
              <w:marLeft w:val="0"/>
              <w:marRight w:val="0"/>
              <w:marTop w:val="0"/>
              <w:marBottom w:val="0"/>
              <w:divBdr>
                <w:top w:val="none" w:sz="0" w:space="0" w:color="auto"/>
                <w:left w:val="none" w:sz="0" w:space="0" w:color="auto"/>
                <w:bottom w:val="none" w:sz="0" w:space="0" w:color="auto"/>
                <w:right w:val="none" w:sz="0" w:space="0" w:color="auto"/>
              </w:divBdr>
              <w:divsChild>
                <w:div w:id="2398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43">
          <w:marLeft w:val="0"/>
          <w:marRight w:val="0"/>
          <w:marTop w:val="0"/>
          <w:marBottom w:val="0"/>
          <w:divBdr>
            <w:top w:val="none" w:sz="0" w:space="0" w:color="auto"/>
            <w:left w:val="none" w:sz="0" w:space="0" w:color="auto"/>
            <w:bottom w:val="none" w:sz="0" w:space="0" w:color="auto"/>
            <w:right w:val="none" w:sz="0" w:space="0" w:color="auto"/>
          </w:divBdr>
          <w:divsChild>
            <w:div w:id="239872746">
              <w:marLeft w:val="0"/>
              <w:marRight w:val="0"/>
              <w:marTop w:val="0"/>
              <w:marBottom w:val="0"/>
              <w:divBdr>
                <w:top w:val="none" w:sz="0" w:space="0" w:color="auto"/>
                <w:left w:val="none" w:sz="0" w:space="0" w:color="auto"/>
                <w:bottom w:val="none" w:sz="0" w:space="0" w:color="auto"/>
                <w:right w:val="none" w:sz="0" w:space="0" w:color="auto"/>
              </w:divBdr>
              <w:divsChild>
                <w:div w:id="239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zserverass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527E-E269-460E-A722-1D4EB256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6894</Characters>
  <Application>Microsoft Office Word</Application>
  <DocSecurity>0</DocSecurity>
  <Lines>140</Lines>
  <Paragraphs>58</Paragraphs>
  <ScaleCrop>false</ScaleCrop>
  <Company>Sacramento County Public Law Library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Barry R Goldman</cp:lastModifiedBy>
  <cp:revision>2</cp:revision>
  <cp:lastPrinted>2024-01-01T07:13:00Z</cp:lastPrinted>
  <dcterms:created xsi:type="dcterms:W3CDTF">2024-01-01T16:59:00Z</dcterms:created>
  <dcterms:modified xsi:type="dcterms:W3CDTF">2024-01-01T16:59:00Z</dcterms:modified>
</cp:coreProperties>
</file>