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9548" w14:textId="77777777" w:rsidR="00E931EE" w:rsidRPr="007F7B71" w:rsidRDefault="00E931EE" w:rsidP="00E931EE">
      <w:pPr>
        <w:jc w:val="both"/>
      </w:pPr>
      <w:r w:rsidRPr="007F7B71">
        <w:t>Greg Sakall</w:t>
      </w:r>
    </w:p>
    <w:p w14:paraId="0530BD22" w14:textId="77777777" w:rsidR="00E931EE" w:rsidRPr="007F7B71" w:rsidRDefault="00E931EE" w:rsidP="00E931EE">
      <w:r w:rsidRPr="007F7B71">
        <w:t>Judge, Division 23</w:t>
      </w:r>
    </w:p>
    <w:p w14:paraId="39D469E3" w14:textId="77777777" w:rsidR="00E931EE" w:rsidRPr="007F7B71" w:rsidRDefault="00E931EE" w:rsidP="00E931EE">
      <w:r w:rsidRPr="007F7B71">
        <w:t>Pima County Superior Court</w:t>
      </w:r>
    </w:p>
    <w:p w14:paraId="24EF0D92" w14:textId="77777777" w:rsidR="00E931EE" w:rsidRPr="007F7B71" w:rsidRDefault="00E931EE" w:rsidP="00E931EE">
      <w:r w:rsidRPr="007F7B71">
        <w:t>110 W Congress</w:t>
      </w:r>
    </w:p>
    <w:p w14:paraId="01E8674B" w14:textId="77777777" w:rsidR="00E931EE" w:rsidRPr="007F7B71" w:rsidRDefault="00E931EE" w:rsidP="00E931EE">
      <w:r w:rsidRPr="007F7B71">
        <w:t>Tucson, AZ 85701</w:t>
      </w:r>
    </w:p>
    <w:p w14:paraId="4BCF6623" w14:textId="77777777" w:rsidR="00E931EE" w:rsidRPr="007F7B71" w:rsidRDefault="00E931EE" w:rsidP="00E931EE">
      <w:r w:rsidRPr="007F7B71">
        <w:t>Telephone: (520) 724-8301</w:t>
      </w:r>
    </w:p>
    <w:p w14:paraId="6E8E27E7" w14:textId="77777777" w:rsidR="00E931EE" w:rsidRPr="007F7B71" w:rsidRDefault="00000000" w:rsidP="00E931EE">
      <w:pPr>
        <w:jc w:val="both"/>
        <w:rPr>
          <w:color w:val="212121"/>
          <w:lang w:val="en"/>
        </w:rPr>
      </w:pPr>
      <w:hyperlink r:id="rId11" w:history="1">
        <w:r w:rsidR="00E931EE" w:rsidRPr="007F7B71">
          <w:rPr>
            <w:rStyle w:val="Hyperlink"/>
            <w:lang w:val="en"/>
          </w:rPr>
          <w:t>SPickard@courts.az.gov</w:t>
        </w:r>
      </w:hyperlink>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006EFA44" w14:textId="17181562" w:rsidR="001451DE" w:rsidRPr="00801C5D" w:rsidRDefault="001451DE" w:rsidP="00410AFB">
      <w:pPr>
        <w:widowControl w:val="0"/>
        <w:tabs>
          <w:tab w:val="left" w:pos="4320"/>
          <w:tab w:val="left" w:pos="4680"/>
        </w:tabs>
        <w:autoSpaceDE w:val="0"/>
        <w:autoSpaceDN w:val="0"/>
        <w:adjustRightInd w:val="0"/>
        <w:rPr>
          <w:color w:val="000000"/>
          <w:sz w:val="28"/>
          <w:szCs w:val="28"/>
        </w:rPr>
      </w:pPr>
      <w:r w:rsidRPr="001F3F71">
        <w:rPr>
          <w:color w:val="000000"/>
          <w:sz w:val="28"/>
          <w:szCs w:val="28"/>
        </w:rPr>
        <w:t>In the Matter of</w:t>
      </w:r>
      <w:r w:rsidR="00410AFB">
        <w:rPr>
          <w:color w:val="000000"/>
          <w:sz w:val="28"/>
          <w:szCs w:val="28"/>
        </w:rPr>
        <w:tab/>
      </w:r>
      <w:r w:rsidRPr="00D134ED">
        <w:rPr>
          <w:color w:val="000000"/>
          <w:sz w:val="28"/>
          <w:szCs w:val="28"/>
        </w:rPr>
        <w:t>)</w:t>
      </w:r>
      <w:r w:rsidR="00410AFB">
        <w:rPr>
          <w:color w:val="000000"/>
          <w:sz w:val="28"/>
          <w:szCs w:val="28"/>
        </w:rPr>
        <w:tab/>
      </w:r>
      <w:r w:rsidR="00801C5D">
        <w:rPr>
          <w:color w:val="000000"/>
          <w:sz w:val="28"/>
          <w:szCs w:val="28"/>
        </w:rPr>
        <w:t>Arizona Supreme Court No. R-</w:t>
      </w:r>
      <w:r w:rsidR="00E931EE">
        <w:rPr>
          <w:color w:val="000000"/>
          <w:sz w:val="28"/>
          <w:szCs w:val="28"/>
        </w:rPr>
        <w:t>22-0044</w:t>
      </w:r>
    </w:p>
    <w:p w14:paraId="1C52A7BB" w14:textId="77777777" w:rsidR="00410AFB" w:rsidRDefault="00410AFB" w:rsidP="00410AFB">
      <w:pPr>
        <w:widowControl w:val="0"/>
        <w:tabs>
          <w:tab w:val="left" w:pos="4320"/>
          <w:tab w:val="left" w:pos="4680"/>
        </w:tabs>
        <w:autoSpaceDE w:val="0"/>
        <w:autoSpaceDN w:val="0"/>
        <w:adjustRightInd w:val="0"/>
        <w:rPr>
          <w:color w:val="000000"/>
          <w:sz w:val="28"/>
          <w:szCs w:val="28"/>
        </w:rPr>
      </w:pPr>
      <w:r>
        <w:rPr>
          <w:color w:val="000000"/>
          <w:sz w:val="28"/>
          <w:szCs w:val="28"/>
        </w:rPr>
        <w:tab/>
      </w:r>
      <w:r w:rsidR="001451DE" w:rsidRPr="00D134ED">
        <w:rPr>
          <w:color w:val="000000"/>
          <w:sz w:val="28"/>
          <w:szCs w:val="28"/>
        </w:rPr>
        <w:t>)</w:t>
      </w:r>
    </w:p>
    <w:p w14:paraId="48430D48" w14:textId="77777777" w:rsidR="00410AFB" w:rsidRDefault="001451DE" w:rsidP="00410AFB">
      <w:pPr>
        <w:widowControl w:val="0"/>
        <w:tabs>
          <w:tab w:val="left" w:pos="4320"/>
          <w:tab w:val="left" w:pos="4680"/>
        </w:tabs>
        <w:autoSpaceDE w:val="0"/>
        <w:autoSpaceDN w:val="0"/>
        <w:adjustRightInd w:val="0"/>
        <w:rPr>
          <w:color w:val="000000"/>
          <w:sz w:val="28"/>
          <w:szCs w:val="28"/>
        </w:rPr>
      </w:pPr>
      <w:r w:rsidRPr="001F3F71">
        <w:rPr>
          <w:color w:val="000000"/>
          <w:sz w:val="28"/>
          <w:szCs w:val="28"/>
        </w:rPr>
        <w:t>ARIZONA RULE</w:t>
      </w:r>
      <w:r w:rsidR="005D5A20">
        <w:rPr>
          <w:color w:val="000000"/>
          <w:sz w:val="28"/>
          <w:szCs w:val="28"/>
        </w:rPr>
        <w:t>S</w:t>
      </w:r>
      <w:r w:rsidR="00623CFC" w:rsidRPr="001F3F71">
        <w:rPr>
          <w:color w:val="000000"/>
          <w:sz w:val="28"/>
          <w:szCs w:val="28"/>
        </w:rPr>
        <w:t xml:space="preserve"> </w:t>
      </w:r>
      <w:r w:rsidR="00DF54BF" w:rsidRPr="001F3F71">
        <w:rPr>
          <w:color w:val="000000"/>
          <w:sz w:val="28"/>
          <w:szCs w:val="28"/>
        </w:rPr>
        <w:t>OF</w:t>
      </w:r>
      <w:r w:rsidR="005D5A20">
        <w:rPr>
          <w:color w:val="000000"/>
          <w:sz w:val="28"/>
          <w:szCs w:val="28"/>
        </w:rPr>
        <w:t xml:space="preserve"> FAMILY</w:t>
      </w:r>
      <w:r w:rsidR="00410AFB">
        <w:rPr>
          <w:color w:val="000000"/>
          <w:sz w:val="28"/>
          <w:szCs w:val="28"/>
        </w:rPr>
        <w:tab/>
      </w:r>
      <w:r w:rsidR="00623CFC" w:rsidRPr="00D134ED">
        <w:rPr>
          <w:color w:val="000000"/>
          <w:sz w:val="28"/>
          <w:szCs w:val="28"/>
        </w:rPr>
        <w:t>)</w:t>
      </w:r>
    </w:p>
    <w:p w14:paraId="25806269" w14:textId="4262422D" w:rsidR="00623CFC" w:rsidRPr="001F3F71" w:rsidRDefault="007013A1" w:rsidP="00410AFB">
      <w:pPr>
        <w:widowControl w:val="0"/>
        <w:tabs>
          <w:tab w:val="left" w:pos="4320"/>
          <w:tab w:val="left" w:pos="4680"/>
        </w:tabs>
        <w:autoSpaceDE w:val="0"/>
        <w:autoSpaceDN w:val="0"/>
        <w:adjustRightInd w:val="0"/>
        <w:rPr>
          <w:color w:val="000000"/>
          <w:sz w:val="28"/>
          <w:szCs w:val="28"/>
        </w:rPr>
      </w:pPr>
      <w:r>
        <w:rPr>
          <w:color w:val="000000"/>
          <w:sz w:val="28"/>
          <w:szCs w:val="28"/>
        </w:rPr>
        <w:t xml:space="preserve">LAW </w:t>
      </w:r>
      <w:r w:rsidR="003E0E59">
        <w:rPr>
          <w:color w:val="000000"/>
          <w:sz w:val="28"/>
          <w:szCs w:val="28"/>
        </w:rPr>
        <w:t xml:space="preserve">PROCEDURE </w:t>
      </w:r>
      <w:r w:rsidR="00F41A13">
        <w:rPr>
          <w:color w:val="000000"/>
          <w:sz w:val="28"/>
          <w:szCs w:val="28"/>
        </w:rPr>
        <w:t>30</w:t>
      </w:r>
      <w:r w:rsidR="00410AFB">
        <w:rPr>
          <w:color w:val="000000"/>
          <w:sz w:val="28"/>
          <w:szCs w:val="28"/>
        </w:rPr>
        <w:tab/>
      </w:r>
      <w:r w:rsidR="003E0E59">
        <w:rPr>
          <w:color w:val="000000"/>
          <w:sz w:val="28"/>
          <w:szCs w:val="28"/>
        </w:rPr>
        <w:t>)</w:t>
      </w:r>
      <w:r w:rsidR="00410AFB">
        <w:rPr>
          <w:color w:val="000000"/>
          <w:sz w:val="28"/>
          <w:szCs w:val="28"/>
        </w:rPr>
        <w:tab/>
      </w:r>
      <w:r w:rsidR="00E931EE">
        <w:rPr>
          <w:color w:val="000000"/>
          <w:sz w:val="28"/>
          <w:szCs w:val="28"/>
        </w:rPr>
        <w:t xml:space="preserve">Reply in Support of </w:t>
      </w:r>
      <w:r>
        <w:rPr>
          <w:color w:val="000000"/>
          <w:sz w:val="28"/>
          <w:szCs w:val="28"/>
        </w:rPr>
        <w:t xml:space="preserve">Petition to Add Rule </w:t>
      </w:r>
    </w:p>
    <w:p w14:paraId="494C1742" w14:textId="42D57CA8" w:rsidR="001451DE" w:rsidRPr="001F3F71" w:rsidRDefault="00410AFB" w:rsidP="00410AFB">
      <w:pPr>
        <w:widowControl w:val="0"/>
        <w:tabs>
          <w:tab w:val="left" w:pos="4320"/>
          <w:tab w:val="left" w:pos="4680"/>
        </w:tabs>
        <w:autoSpaceDE w:val="0"/>
        <w:autoSpaceDN w:val="0"/>
        <w:adjustRightInd w:val="0"/>
        <w:rPr>
          <w:sz w:val="28"/>
          <w:szCs w:val="28"/>
        </w:rPr>
      </w:pPr>
      <w:r>
        <w:rPr>
          <w:color w:val="000000"/>
          <w:sz w:val="28"/>
          <w:szCs w:val="28"/>
        </w:rPr>
        <w:tab/>
      </w:r>
      <w:r w:rsidR="001451DE" w:rsidRPr="00063BA6">
        <w:rPr>
          <w:color w:val="000000"/>
          <w:sz w:val="28"/>
          <w:szCs w:val="28"/>
        </w:rPr>
        <w:t>)</w:t>
      </w:r>
      <w:r>
        <w:rPr>
          <w:color w:val="000000"/>
          <w:sz w:val="28"/>
          <w:szCs w:val="28"/>
        </w:rPr>
        <w:tab/>
      </w:r>
      <w:r w:rsidR="00E931EE">
        <w:rPr>
          <w:color w:val="000000"/>
          <w:sz w:val="28"/>
          <w:szCs w:val="28"/>
        </w:rPr>
        <w:t xml:space="preserve">30 </w:t>
      </w:r>
      <w:r w:rsidR="007013A1">
        <w:rPr>
          <w:color w:val="000000"/>
          <w:sz w:val="28"/>
          <w:szCs w:val="28"/>
        </w:rPr>
        <w:t>to Arizona Rules of Family Law</w:t>
      </w:r>
    </w:p>
    <w:p w14:paraId="667BA89B" w14:textId="14E34C80" w:rsidR="001451DE" w:rsidRPr="001F3F71" w:rsidRDefault="00410AFB" w:rsidP="00410AFB">
      <w:pPr>
        <w:widowControl w:val="0"/>
        <w:tabs>
          <w:tab w:val="left" w:pos="4320"/>
          <w:tab w:val="left" w:pos="4680"/>
        </w:tabs>
        <w:autoSpaceDE w:val="0"/>
        <w:autoSpaceDN w:val="0"/>
        <w:adjustRightInd w:val="0"/>
        <w:rPr>
          <w:sz w:val="28"/>
          <w:szCs w:val="28"/>
        </w:rPr>
      </w:pPr>
      <w:r>
        <w:rPr>
          <w:color w:val="000000"/>
          <w:sz w:val="28"/>
          <w:szCs w:val="28"/>
          <w:u w:val="single"/>
        </w:rPr>
        <w:tab/>
      </w:r>
      <w:r w:rsidR="00BC1957" w:rsidRPr="00063BA6">
        <w:rPr>
          <w:color w:val="000000"/>
          <w:sz w:val="28"/>
          <w:szCs w:val="28"/>
        </w:rPr>
        <w:t>)</w:t>
      </w:r>
      <w:r>
        <w:rPr>
          <w:color w:val="000000"/>
          <w:sz w:val="28"/>
          <w:szCs w:val="28"/>
        </w:rPr>
        <w:tab/>
      </w:r>
      <w:r w:rsidR="007013A1">
        <w:rPr>
          <w:color w:val="000000"/>
          <w:sz w:val="28"/>
          <w:szCs w:val="28"/>
        </w:rPr>
        <w:t>Procedure</w:t>
      </w:r>
    </w:p>
    <w:p w14:paraId="506CC4E2" w14:textId="77777777" w:rsidR="00C41CA7" w:rsidRPr="001F3F71" w:rsidRDefault="00C41CA7">
      <w:pPr>
        <w:jc w:val="both"/>
        <w:rPr>
          <w:sz w:val="28"/>
          <w:szCs w:val="28"/>
        </w:rPr>
      </w:pPr>
    </w:p>
    <w:p w14:paraId="2B617F52" w14:textId="77777777" w:rsidR="00E931EE" w:rsidRDefault="00716C66" w:rsidP="00E931EE">
      <w:pPr>
        <w:spacing w:line="480" w:lineRule="auto"/>
        <w:ind w:left="144"/>
        <w:jc w:val="both"/>
        <w:rPr>
          <w:rFonts w:ascii="Book Antiqua" w:hAnsi="Book Antiqua"/>
          <w:szCs w:val="24"/>
        </w:rPr>
      </w:pPr>
      <w:r w:rsidRPr="001F3F71">
        <w:rPr>
          <w:szCs w:val="28"/>
        </w:rPr>
        <w:tab/>
      </w:r>
      <w:r w:rsidR="002F4789" w:rsidRPr="00E931EE">
        <w:rPr>
          <w:rFonts w:ascii="Book Antiqua" w:hAnsi="Book Antiqua"/>
          <w:szCs w:val="24"/>
        </w:rPr>
        <w:t xml:space="preserve">Undersigned, on behalf of the Family Court Improvement </w:t>
      </w:r>
      <w:r w:rsidR="004E3A71" w:rsidRPr="00E931EE">
        <w:rPr>
          <w:rFonts w:ascii="Book Antiqua" w:hAnsi="Book Antiqua"/>
          <w:szCs w:val="24"/>
        </w:rPr>
        <w:t xml:space="preserve">Committee, </w:t>
      </w:r>
      <w:r w:rsidR="00E931EE" w:rsidRPr="00E931EE">
        <w:rPr>
          <w:rFonts w:ascii="Book Antiqua" w:hAnsi="Book Antiqua"/>
          <w:szCs w:val="24"/>
        </w:rPr>
        <w:t xml:space="preserve">files this Reply in support of the Committee’s Petition.  </w:t>
      </w:r>
    </w:p>
    <w:p w14:paraId="3A5FDC32" w14:textId="1CC75F31" w:rsidR="00E931EE" w:rsidRDefault="00E931EE" w:rsidP="00E931EE">
      <w:pPr>
        <w:spacing w:line="480" w:lineRule="auto"/>
        <w:ind w:left="144" w:firstLine="576"/>
        <w:jc w:val="both"/>
        <w:rPr>
          <w:rFonts w:ascii="Book Antiqua" w:hAnsi="Book Antiqua"/>
          <w:bCs/>
          <w:color w:val="000000"/>
          <w:szCs w:val="24"/>
        </w:rPr>
      </w:pPr>
      <w:r w:rsidRPr="00E931EE">
        <w:rPr>
          <w:rFonts w:ascii="Book Antiqua" w:hAnsi="Book Antiqua"/>
          <w:bCs/>
          <w:color w:val="000000"/>
          <w:szCs w:val="24"/>
        </w:rPr>
        <w:t xml:space="preserve">Earlier this year, the Family Court Improvement Committee petitioned the Court to </w:t>
      </w:r>
      <w:r>
        <w:rPr>
          <w:rFonts w:ascii="Book Antiqua" w:hAnsi="Book Antiqua"/>
          <w:bCs/>
          <w:color w:val="000000"/>
          <w:szCs w:val="24"/>
        </w:rPr>
        <w:t>amend the Ar</w:t>
      </w:r>
      <w:r w:rsidRPr="00E931EE">
        <w:rPr>
          <w:rFonts w:ascii="Book Antiqua" w:hAnsi="Book Antiqua"/>
          <w:bCs/>
          <w:color w:val="000000"/>
          <w:szCs w:val="24"/>
        </w:rPr>
        <w:t xml:space="preserve">izona Rules of Family Law Procedure (ARFLP) </w:t>
      </w:r>
      <w:r>
        <w:rPr>
          <w:rFonts w:ascii="Book Antiqua" w:hAnsi="Book Antiqua"/>
          <w:bCs/>
          <w:color w:val="000000"/>
          <w:szCs w:val="24"/>
        </w:rPr>
        <w:t>to include suggested timeframes to reduce delays in judicial action in family law cases. After having received some comments, the Court adopted new Rule 30 and amended Rules 43.1, 44.1, 45, 47, 47.1, 47.2, 48 and 91.5, ARFLP, on an emergency basis, allowed for additional comments, and set the matter for the December 2023 Rules Agenda.</w:t>
      </w:r>
    </w:p>
    <w:p w14:paraId="34DA6FEA" w14:textId="75F5DE9D" w:rsidR="00E931EE" w:rsidRDefault="00E931EE" w:rsidP="00E931EE">
      <w:pPr>
        <w:spacing w:line="480" w:lineRule="auto"/>
        <w:ind w:left="144" w:firstLine="576"/>
        <w:jc w:val="both"/>
        <w:rPr>
          <w:rFonts w:ascii="Book Antiqua" w:hAnsi="Book Antiqua"/>
          <w:szCs w:val="24"/>
        </w:rPr>
      </w:pPr>
      <w:r>
        <w:rPr>
          <w:rFonts w:ascii="Book Antiqua" w:hAnsi="Book Antiqua"/>
          <w:bCs/>
          <w:color w:val="000000"/>
          <w:szCs w:val="24"/>
        </w:rPr>
        <w:t xml:space="preserve">Since that time, David K. Byers filed a Comment on October 2, 2023. As noted in Mr. Byers’ Comment, </w:t>
      </w:r>
      <w:r w:rsidR="005C79BD">
        <w:rPr>
          <w:rFonts w:ascii="Book Antiqua" w:hAnsi="Book Antiqua"/>
          <w:bCs/>
          <w:color w:val="000000"/>
          <w:szCs w:val="24"/>
        </w:rPr>
        <w:t>members of the bench—</w:t>
      </w:r>
      <w:r w:rsidR="00F42685">
        <w:rPr>
          <w:rFonts w:ascii="Book Antiqua" w:hAnsi="Book Antiqua"/>
          <w:bCs/>
          <w:color w:val="000000"/>
          <w:szCs w:val="24"/>
        </w:rPr>
        <w:t>who</w:t>
      </w:r>
      <w:r w:rsidR="005C79BD">
        <w:rPr>
          <w:rFonts w:ascii="Book Antiqua" w:hAnsi="Book Antiqua"/>
          <w:bCs/>
          <w:color w:val="000000"/>
          <w:szCs w:val="24"/>
        </w:rPr>
        <w:t xml:space="preserve"> are also members of the </w:t>
      </w:r>
      <w:r w:rsidR="005C79BD" w:rsidRPr="00E931EE">
        <w:rPr>
          <w:rFonts w:ascii="Book Antiqua" w:hAnsi="Book Antiqua"/>
          <w:szCs w:val="24"/>
        </w:rPr>
        <w:t>Committee</w:t>
      </w:r>
      <w:r w:rsidR="005C79BD">
        <w:rPr>
          <w:rFonts w:ascii="Book Antiqua" w:hAnsi="Book Antiqua"/>
          <w:szCs w:val="24"/>
        </w:rPr>
        <w:t>—were able to provide input as to his proposed changes.  The Committee is fully supported of Mr. Byer’s proposed changes, and requests the Court adopt the rules as set forth in his Comment</w:t>
      </w:r>
      <w:r w:rsidR="00F42685">
        <w:rPr>
          <w:rFonts w:ascii="Book Antiqua" w:hAnsi="Book Antiqua"/>
          <w:szCs w:val="24"/>
        </w:rPr>
        <w:t xml:space="preserve"> with small edits proposed below</w:t>
      </w:r>
      <w:r w:rsidR="005C79BD">
        <w:rPr>
          <w:rFonts w:ascii="Book Antiqua" w:hAnsi="Book Antiqua"/>
          <w:szCs w:val="24"/>
        </w:rPr>
        <w:t>.</w:t>
      </w:r>
    </w:p>
    <w:p w14:paraId="4506E9E5" w14:textId="382A200F" w:rsidR="00CF7BC9" w:rsidRDefault="00CF7BC9" w:rsidP="00CF7BC9">
      <w:pPr>
        <w:spacing w:line="480" w:lineRule="auto"/>
        <w:ind w:left="144" w:firstLine="576"/>
        <w:jc w:val="both"/>
        <w:rPr>
          <w:rFonts w:ascii="Book Antiqua" w:hAnsi="Book Antiqua"/>
          <w:szCs w:val="24"/>
        </w:rPr>
      </w:pPr>
      <w:r>
        <w:rPr>
          <w:rFonts w:ascii="Book Antiqua" w:hAnsi="Book Antiqua"/>
          <w:szCs w:val="24"/>
        </w:rPr>
        <w:lastRenderedPageBreak/>
        <w:t xml:space="preserve">As to </w:t>
      </w:r>
      <w:r w:rsidRPr="00F42685">
        <w:rPr>
          <w:rFonts w:ascii="Book Antiqua" w:hAnsi="Book Antiqua"/>
          <w:szCs w:val="24"/>
          <w:u w:val="single"/>
        </w:rPr>
        <w:t>Rule 48</w:t>
      </w:r>
      <w:r>
        <w:rPr>
          <w:rFonts w:ascii="Book Antiqua" w:hAnsi="Book Antiqua"/>
          <w:szCs w:val="24"/>
        </w:rPr>
        <w:t xml:space="preserve">, the </w:t>
      </w:r>
      <w:r w:rsidR="00F42685">
        <w:rPr>
          <w:rFonts w:ascii="Book Antiqua" w:hAnsi="Book Antiqua"/>
          <w:szCs w:val="24"/>
        </w:rPr>
        <w:t>permanent</w:t>
      </w:r>
      <w:r>
        <w:rPr>
          <w:rFonts w:ascii="Book Antiqua" w:hAnsi="Book Antiqua"/>
          <w:szCs w:val="24"/>
        </w:rPr>
        <w:t xml:space="preserve"> rule should reflect those changes made to Rule 48 by the adoption of R-23-0001.  Specifically, the proposed language in Mr. Byer’s Comment regarding Time to Review under Rule 48 should be adopted as subsection (e), not (g).</w:t>
      </w:r>
    </w:p>
    <w:p w14:paraId="30DA617C" w14:textId="2EDEDD2F" w:rsidR="00F42685" w:rsidRDefault="00F42685" w:rsidP="00CF7BC9">
      <w:pPr>
        <w:spacing w:line="480" w:lineRule="auto"/>
        <w:ind w:left="144" w:firstLine="576"/>
        <w:jc w:val="both"/>
        <w:rPr>
          <w:rFonts w:ascii="Book Antiqua" w:hAnsi="Book Antiqua"/>
          <w:szCs w:val="24"/>
          <w:u w:val="single"/>
        </w:rPr>
      </w:pPr>
      <w:r>
        <w:rPr>
          <w:rFonts w:ascii="Book Antiqua" w:hAnsi="Book Antiqua"/>
          <w:szCs w:val="24"/>
        </w:rPr>
        <w:t xml:space="preserve">As to </w:t>
      </w:r>
      <w:r w:rsidRPr="00F42685">
        <w:rPr>
          <w:rFonts w:ascii="Book Antiqua" w:hAnsi="Book Antiqua"/>
          <w:szCs w:val="24"/>
          <w:u w:val="single"/>
        </w:rPr>
        <w:t>Rules 47, 47.1, 47.2, and 48</w:t>
      </w:r>
      <w:r>
        <w:rPr>
          <w:rFonts w:ascii="Book Antiqua" w:hAnsi="Book Antiqua"/>
          <w:szCs w:val="24"/>
        </w:rPr>
        <w:t>, the Court may wish to consider using the language “Acting on the Motion” in the header to parallel Mr. Byers’ proposed language for Rules 44.1, and 45.</w:t>
      </w:r>
    </w:p>
    <w:p w14:paraId="23BB5D70" w14:textId="77777777" w:rsidR="00900F3E" w:rsidRDefault="005C79BD" w:rsidP="00CF7BC9">
      <w:pPr>
        <w:spacing w:line="480" w:lineRule="auto"/>
        <w:ind w:left="144" w:firstLine="576"/>
        <w:jc w:val="both"/>
        <w:rPr>
          <w:rFonts w:ascii="Book Antiqua" w:hAnsi="Book Antiqua"/>
          <w:szCs w:val="24"/>
        </w:rPr>
      </w:pPr>
      <w:r w:rsidRPr="005C79BD">
        <w:rPr>
          <w:rFonts w:ascii="Book Antiqua" w:hAnsi="Book Antiqua"/>
          <w:szCs w:val="24"/>
        </w:rPr>
        <w:t xml:space="preserve">As to </w:t>
      </w:r>
      <w:r w:rsidRPr="00F42685">
        <w:rPr>
          <w:rFonts w:ascii="Book Antiqua" w:hAnsi="Book Antiqua"/>
          <w:szCs w:val="24"/>
          <w:u w:val="single"/>
        </w:rPr>
        <w:t>Rule 30</w:t>
      </w:r>
      <w:r w:rsidRPr="005C79BD">
        <w:rPr>
          <w:rFonts w:ascii="Book Antiqua" w:hAnsi="Book Antiqua"/>
          <w:szCs w:val="24"/>
        </w:rPr>
        <w:t xml:space="preserve">, the Committee received a comment that Rule 30 is somewhat duplicitous of </w:t>
      </w:r>
      <w:r w:rsidR="00F42685">
        <w:rPr>
          <w:rFonts w:ascii="Book Antiqua" w:hAnsi="Book Antiqua"/>
          <w:szCs w:val="24"/>
        </w:rPr>
        <w:t xml:space="preserve">aspirational language of </w:t>
      </w:r>
      <w:r w:rsidRPr="005C79BD">
        <w:rPr>
          <w:rFonts w:ascii="Book Antiqua" w:hAnsi="Book Antiqua"/>
          <w:szCs w:val="24"/>
        </w:rPr>
        <w:t xml:space="preserve">Rule 1(b), ARFLP.  The comment proposed alternative language as follows for Rule 30: </w:t>
      </w:r>
      <w:r w:rsidR="00F42685">
        <w:rPr>
          <w:rFonts w:ascii="Book Antiqua" w:hAnsi="Book Antiqua"/>
          <w:szCs w:val="24"/>
        </w:rPr>
        <w:t>“</w:t>
      </w:r>
      <w:r w:rsidRPr="005C79BD">
        <w:rPr>
          <w:rFonts w:ascii="Book Antiqua" w:hAnsi="Book Antiqua"/>
          <w:szCs w:val="24"/>
        </w:rPr>
        <w:t>To help ensure that the parties in a domestic relations action have their disputes timely resolved, courts must abide by the time limits imposed by Rules 43.1, 44.1, 45, 47, 47.1, 47.2, 48, and 91.5.</w:t>
      </w:r>
      <w:r>
        <w:rPr>
          <w:rFonts w:ascii="Book Antiqua" w:hAnsi="Book Antiqua"/>
          <w:szCs w:val="24"/>
        </w:rPr>
        <w:t>”   The Committee believes this alternative language is preferable and provides for additional clarity in the event a party challenges whether a judicial officer has acted in a timely manner.</w:t>
      </w:r>
      <w:r w:rsidR="00CF7BC9">
        <w:rPr>
          <w:rFonts w:ascii="Book Antiqua" w:hAnsi="Book Antiqua"/>
          <w:szCs w:val="24"/>
        </w:rPr>
        <w:t xml:space="preserve"> </w:t>
      </w:r>
    </w:p>
    <w:p w14:paraId="1D68A63B" w14:textId="2C3AC83E" w:rsidR="00900F3E" w:rsidRDefault="00900F3E" w:rsidP="00CF7BC9">
      <w:pPr>
        <w:spacing w:line="480" w:lineRule="auto"/>
        <w:ind w:left="144" w:firstLine="576"/>
        <w:jc w:val="both"/>
        <w:rPr>
          <w:rFonts w:ascii="Book Antiqua" w:hAnsi="Book Antiqua"/>
          <w:szCs w:val="24"/>
        </w:rPr>
      </w:pPr>
      <w:r>
        <w:rPr>
          <w:rFonts w:ascii="Book Antiqua" w:hAnsi="Book Antiqua"/>
          <w:szCs w:val="24"/>
        </w:rPr>
        <w:t xml:space="preserve">As to </w:t>
      </w:r>
      <w:r w:rsidRPr="00900F3E">
        <w:rPr>
          <w:rFonts w:ascii="Book Antiqua" w:hAnsi="Book Antiqua"/>
          <w:szCs w:val="24"/>
          <w:u w:val="single"/>
        </w:rPr>
        <w:t>Rule 91.5</w:t>
      </w:r>
      <w:r>
        <w:rPr>
          <w:rFonts w:ascii="Book Antiqua" w:hAnsi="Book Antiqua"/>
          <w:szCs w:val="24"/>
        </w:rPr>
        <w:t xml:space="preserve">, the Committee request the Court to consider adopting a permanent rule with the following modified language to parallel the changes to the other rules: </w:t>
      </w:r>
    </w:p>
    <w:p w14:paraId="584593AB" w14:textId="2665435A" w:rsidR="00900F3E" w:rsidRPr="00900F3E" w:rsidRDefault="00900F3E" w:rsidP="00900F3E">
      <w:pPr>
        <w:spacing w:line="480" w:lineRule="auto"/>
        <w:ind w:left="720"/>
        <w:jc w:val="both"/>
        <w:rPr>
          <w:rFonts w:ascii="Book Antiqua" w:hAnsi="Book Antiqua"/>
          <w:szCs w:val="24"/>
        </w:rPr>
      </w:pPr>
      <w:r w:rsidRPr="00900F3E">
        <w:rPr>
          <w:rFonts w:ascii="Book Antiqua" w:hAnsi="Book Antiqua"/>
        </w:rPr>
        <w:t>(c) Hearing. Under A.R.S. § 25-414, within twenty-five days of service of the petition, the court must hold a hearing or conference before a judge, commissioner, or person appointed by the court to review noncompliance with a visitation or parenting time order. The court must rule on the petition no later than 21 days after the hearing or conference</w:t>
      </w:r>
      <w:r>
        <w:rPr>
          <w:rFonts w:ascii="Book Antiqua" w:hAnsi="Book Antiqua"/>
        </w:rPr>
        <w:t xml:space="preserve"> </w:t>
      </w:r>
      <w:r w:rsidRPr="00900F3E">
        <w:rPr>
          <w:rFonts w:ascii="Book Antiqua" w:hAnsi="Book Antiqua"/>
          <w:u w:val="single"/>
        </w:rPr>
        <w:t>is concluded</w:t>
      </w:r>
      <w:r w:rsidRPr="00900F3E">
        <w:rPr>
          <w:rFonts w:ascii="Book Antiqua" w:hAnsi="Book Antiqua"/>
        </w:rPr>
        <w:t>.</w:t>
      </w:r>
    </w:p>
    <w:p w14:paraId="61465246" w14:textId="76587468" w:rsidR="00CF7BC9" w:rsidRDefault="00CF7BC9" w:rsidP="00CF7BC9">
      <w:pPr>
        <w:spacing w:line="480" w:lineRule="auto"/>
        <w:ind w:left="144" w:firstLine="576"/>
        <w:jc w:val="both"/>
        <w:rPr>
          <w:rFonts w:ascii="Book Antiqua" w:hAnsi="Book Antiqua"/>
          <w:szCs w:val="24"/>
        </w:rPr>
      </w:pPr>
      <w:r>
        <w:rPr>
          <w:rFonts w:ascii="Book Antiqua" w:hAnsi="Book Antiqua"/>
          <w:szCs w:val="24"/>
        </w:rPr>
        <w:lastRenderedPageBreak/>
        <w:t xml:space="preserve">Also, while not previously addressed, the Committee urges the Court to consider modifying </w:t>
      </w:r>
      <w:r w:rsidRPr="00F42685">
        <w:rPr>
          <w:rFonts w:ascii="Book Antiqua" w:hAnsi="Book Antiqua"/>
          <w:szCs w:val="24"/>
          <w:u w:val="single"/>
        </w:rPr>
        <w:t>Rule 45.1</w:t>
      </w:r>
      <w:r>
        <w:rPr>
          <w:rFonts w:ascii="Book Antiqua" w:hAnsi="Book Antiqua"/>
          <w:szCs w:val="24"/>
        </w:rPr>
        <w:t xml:space="preserve"> which governs summary consent decrees</w:t>
      </w:r>
      <w:r w:rsidR="00B25902">
        <w:rPr>
          <w:rFonts w:ascii="Book Antiqua" w:hAnsi="Book Antiqua"/>
          <w:szCs w:val="24"/>
        </w:rPr>
        <w:t xml:space="preserve"> to include a similar requirement for a timely ruling</w:t>
      </w:r>
      <w:r>
        <w:rPr>
          <w:rFonts w:ascii="Book Antiqua" w:hAnsi="Book Antiqua"/>
          <w:szCs w:val="24"/>
        </w:rPr>
        <w:t xml:space="preserve">. The Petition and the amendments adopted in August </w:t>
      </w:r>
      <w:r w:rsidR="00F42685">
        <w:rPr>
          <w:rFonts w:ascii="Book Antiqua" w:hAnsi="Book Antiqua"/>
          <w:szCs w:val="24"/>
        </w:rPr>
        <w:t xml:space="preserve">2023 on an emergency basis </w:t>
      </w:r>
      <w:r>
        <w:rPr>
          <w:rFonts w:ascii="Book Antiqua" w:hAnsi="Book Antiqua"/>
          <w:szCs w:val="24"/>
        </w:rPr>
        <w:t xml:space="preserve">addressed consent decrees under Rule 45, but not summary consent decrees under Rule 45.1.  The most likely reason is that the </w:t>
      </w:r>
      <w:r w:rsidR="00B25902">
        <w:rPr>
          <w:rFonts w:ascii="Book Antiqua" w:hAnsi="Book Antiqua"/>
          <w:szCs w:val="24"/>
        </w:rPr>
        <w:t xml:space="preserve">pending </w:t>
      </w:r>
      <w:r>
        <w:rPr>
          <w:rFonts w:ascii="Book Antiqua" w:hAnsi="Book Antiqua"/>
          <w:szCs w:val="24"/>
        </w:rPr>
        <w:t xml:space="preserve">Petition was filed before Rule 45.1 was permanently adopted.  </w:t>
      </w:r>
      <w:r w:rsidR="00B25902">
        <w:rPr>
          <w:rFonts w:ascii="Book Antiqua" w:hAnsi="Book Antiqua"/>
          <w:szCs w:val="24"/>
        </w:rPr>
        <w:t xml:space="preserve">As such, the Court request the Court to add the following </w:t>
      </w:r>
      <w:r w:rsidR="00900F3E">
        <w:rPr>
          <w:rFonts w:ascii="Book Antiqua" w:hAnsi="Book Antiqua"/>
          <w:szCs w:val="24"/>
        </w:rPr>
        <w:t>underlined</w:t>
      </w:r>
      <w:r w:rsidR="00F42685">
        <w:rPr>
          <w:rFonts w:ascii="Book Antiqua" w:hAnsi="Book Antiqua"/>
          <w:szCs w:val="24"/>
        </w:rPr>
        <w:t xml:space="preserve"> </w:t>
      </w:r>
      <w:r w:rsidR="00B25902">
        <w:rPr>
          <w:rFonts w:ascii="Book Antiqua" w:hAnsi="Book Antiqua"/>
          <w:szCs w:val="24"/>
        </w:rPr>
        <w:t>language to Rule 45.1(d)(</w:t>
      </w:r>
      <w:r w:rsidR="00F42685">
        <w:rPr>
          <w:rFonts w:ascii="Book Antiqua" w:hAnsi="Book Antiqua"/>
          <w:szCs w:val="24"/>
        </w:rPr>
        <w:t>3</w:t>
      </w:r>
      <w:r w:rsidR="00B25902">
        <w:rPr>
          <w:rFonts w:ascii="Book Antiqua" w:hAnsi="Book Antiqua"/>
          <w:szCs w:val="24"/>
        </w:rPr>
        <w:t>)</w:t>
      </w:r>
      <w:r w:rsidR="00B25902" w:rsidRPr="00B25902">
        <w:rPr>
          <w:rFonts w:ascii="Book Antiqua" w:hAnsi="Book Antiqua"/>
          <w:szCs w:val="24"/>
        </w:rPr>
        <w:t>:</w:t>
      </w:r>
    </w:p>
    <w:p w14:paraId="3DF8F1A3" w14:textId="61969FA6" w:rsidR="00B25902" w:rsidRDefault="00B25902" w:rsidP="00F42685">
      <w:pPr>
        <w:spacing w:line="480" w:lineRule="auto"/>
        <w:ind w:firstLine="144"/>
        <w:jc w:val="both"/>
        <w:rPr>
          <w:rFonts w:ascii="Book Antiqua" w:hAnsi="Book Antiqua"/>
          <w:b/>
          <w:bCs/>
          <w:szCs w:val="24"/>
        </w:rPr>
      </w:pPr>
      <w:r w:rsidRPr="00B25902">
        <w:rPr>
          <w:rFonts w:ascii="Book Antiqua" w:hAnsi="Book Antiqua"/>
          <w:b/>
          <w:bCs/>
          <w:szCs w:val="24"/>
        </w:rPr>
        <w:t>Rule 45.1 Summary Consent Decree</w:t>
      </w:r>
    </w:p>
    <w:p w14:paraId="1289B905" w14:textId="5B25EFEB" w:rsidR="00F42685" w:rsidRPr="00F42685" w:rsidRDefault="00F42685" w:rsidP="00F42685">
      <w:pPr>
        <w:spacing w:line="480" w:lineRule="auto"/>
        <w:ind w:left="720"/>
        <w:jc w:val="both"/>
        <w:rPr>
          <w:rFonts w:ascii="Book Antiqua" w:hAnsi="Book Antiqua"/>
          <w:b/>
          <w:bCs/>
          <w:szCs w:val="24"/>
        </w:rPr>
      </w:pPr>
      <w:r w:rsidRPr="00F42685">
        <w:rPr>
          <w:rFonts w:ascii="Book Antiqua" w:hAnsi="Book Antiqua" w:cs="Arial"/>
          <w:color w:val="212121"/>
          <w:szCs w:val="24"/>
          <w:shd w:val="clear" w:color="auto" w:fill="FFFFFF"/>
        </w:rPr>
        <w:t>(3) </w:t>
      </w:r>
      <w:r w:rsidRPr="00F42685">
        <w:rPr>
          <w:rStyle w:val="Emphasis"/>
          <w:rFonts w:ascii="Book Antiqua" w:hAnsi="Book Antiqua" w:cs="Arial"/>
          <w:color w:val="212121"/>
          <w:szCs w:val="24"/>
          <w:shd w:val="clear" w:color="auto" w:fill="FFFFFF"/>
        </w:rPr>
        <w:t>Waiting Period; Hearing.</w:t>
      </w:r>
      <w:r w:rsidRPr="00F42685">
        <w:rPr>
          <w:rFonts w:ascii="Book Antiqua" w:hAnsi="Book Antiqua" w:cs="Arial"/>
          <w:color w:val="212121"/>
          <w:szCs w:val="24"/>
          <w:shd w:val="clear" w:color="auto" w:fill="FFFFFF"/>
        </w:rPr>
        <w:t> The court may not enter a final summary consent decree earlier than 60 days after the filing date of the summary consent petition and response. After 60 days, the court may enter a summary consent decree without a hearing if it has determined that the parties have met the requirements for a summary consent decree. Alternatively, the court may set a hearing on specified issues or enter other appropriate orders.</w:t>
      </w:r>
      <w:r>
        <w:rPr>
          <w:rFonts w:ascii="Book Antiqua" w:hAnsi="Book Antiqua" w:cs="Arial"/>
          <w:color w:val="212121"/>
          <w:szCs w:val="24"/>
          <w:shd w:val="clear" w:color="auto" w:fill="FFFFFF"/>
        </w:rPr>
        <w:t xml:space="preserve">  </w:t>
      </w:r>
      <w:r w:rsidRPr="00900F3E">
        <w:rPr>
          <w:rFonts w:ascii="Book Antiqua" w:hAnsi="Book Antiqua" w:cs="Arial"/>
          <w:color w:val="212121"/>
          <w:szCs w:val="24"/>
          <w:u w:val="single"/>
          <w:shd w:val="clear" w:color="auto" w:fill="FFFFFF"/>
        </w:rPr>
        <w:t>The court must set the matter for hearing or rule on the lodged summary consent decree no later than 81 days after the filing date.</w:t>
      </w:r>
    </w:p>
    <w:p w14:paraId="1D50E781" w14:textId="629DE2BA" w:rsidR="00CF7BC9" w:rsidRDefault="00B25902" w:rsidP="00B25902">
      <w:pPr>
        <w:spacing w:line="480" w:lineRule="auto"/>
        <w:ind w:left="144"/>
        <w:jc w:val="both"/>
        <w:rPr>
          <w:rFonts w:ascii="Book Antiqua" w:hAnsi="Book Antiqua"/>
          <w:szCs w:val="24"/>
        </w:rPr>
      </w:pPr>
      <w:r>
        <w:rPr>
          <w:rFonts w:ascii="Book Antiqua" w:hAnsi="Book Antiqua"/>
          <w:szCs w:val="24"/>
        </w:rPr>
        <w:t xml:space="preserve">This proposed language tracks that language for Rule 45 contained in Mr. Byers’ Comment.  </w:t>
      </w:r>
      <w:r w:rsidR="00CF7BC9">
        <w:rPr>
          <w:rFonts w:ascii="Book Antiqua" w:hAnsi="Book Antiqua"/>
          <w:szCs w:val="24"/>
        </w:rPr>
        <w:t>If the Court wishes the Committee to file a separate Petition to modify Rule 45.1, it will do so.</w:t>
      </w:r>
    </w:p>
    <w:p w14:paraId="648586B4" w14:textId="77777777" w:rsidR="00900F3E" w:rsidRDefault="00900F3E" w:rsidP="00B25902">
      <w:pPr>
        <w:spacing w:line="480" w:lineRule="auto"/>
        <w:ind w:left="144"/>
        <w:jc w:val="both"/>
        <w:rPr>
          <w:rFonts w:ascii="Book Antiqua" w:hAnsi="Book Antiqua"/>
          <w:szCs w:val="24"/>
        </w:rPr>
      </w:pPr>
    </w:p>
    <w:p w14:paraId="5FBA028A" w14:textId="77777777" w:rsidR="00900F3E" w:rsidRDefault="00900F3E" w:rsidP="00B25902">
      <w:pPr>
        <w:spacing w:line="480" w:lineRule="auto"/>
        <w:ind w:left="144"/>
        <w:jc w:val="both"/>
        <w:rPr>
          <w:rFonts w:ascii="Book Antiqua" w:hAnsi="Book Antiqua"/>
          <w:szCs w:val="24"/>
        </w:rPr>
      </w:pPr>
    </w:p>
    <w:p w14:paraId="313FCFA3" w14:textId="77777777" w:rsidR="00900F3E" w:rsidRPr="00CF7BC9" w:rsidRDefault="00900F3E" w:rsidP="00B25902">
      <w:pPr>
        <w:spacing w:line="480" w:lineRule="auto"/>
        <w:ind w:left="144"/>
        <w:jc w:val="both"/>
        <w:rPr>
          <w:rFonts w:ascii="Book Antiqua" w:hAnsi="Book Antiqua"/>
          <w:szCs w:val="24"/>
          <w:u w:val="single"/>
        </w:rPr>
      </w:pPr>
    </w:p>
    <w:p w14:paraId="4BE565C8" w14:textId="77777777" w:rsidR="00C41CA7" w:rsidRPr="00E931EE" w:rsidRDefault="00C41CA7" w:rsidP="007E4DB1">
      <w:pPr>
        <w:spacing w:line="480" w:lineRule="auto"/>
        <w:ind w:left="144"/>
        <w:jc w:val="center"/>
        <w:rPr>
          <w:rFonts w:ascii="Book Antiqua" w:hAnsi="Book Antiqua"/>
          <w:b/>
          <w:szCs w:val="24"/>
        </w:rPr>
      </w:pPr>
      <w:r w:rsidRPr="00E931EE">
        <w:rPr>
          <w:rFonts w:ascii="Book Antiqua" w:hAnsi="Book Antiqua"/>
          <w:b/>
          <w:szCs w:val="24"/>
        </w:rPr>
        <w:lastRenderedPageBreak/>
        <w:t>CONCLUSION</w:t>
      </w:r>
    </w:p>
    <w:p w14:paraId="3A7E7B07" w14:textId="08C793D9" w:rsidR="00C41CA7" w:rsidRPr="00E931EE" w:rsidRDefault="007E4DB1" w:rsidP="007D2FAD">
      <w:pPr>
        <w:spacing w:line="480" w:lineRule="auto"/>
        <w:ind w:left="144"/>
        <w:jc w:val="both"/>
        <w:rPr>
          <w:rFonts w:ascii="Book Antiqua" w:hAnsi="Book Antiqua"/>
          <w:bCs/>
          <w:szCs w:val="24"/>
        </w:rPr>
      </w:pPr>
      <w:r w:rsidRPr="00E931EE">
        <w:rPr>
          <w:rFonts w:ascii="Book Antiqua" w:hAnsi="Book Antiqua"/>
          <w:bCs/>
          <w:szCs w:val="24"/>
        </w:rPr>
        <w:tab/>
        <w:t xml:space="preserve">The </w:t>
      </w:r>
      <w:r w:rsidR="00BA4C8D" w:rsidRPr="00E931EE">
        <w:rPr>
          <w:rFonts w:ascii="Book Antiqua" w:hAnsi="Book Antiqua"/>
          <w:bCs/>
          <w:szCs w:val="24"/>
        </w:rPr>
        <w:t xml:space="preserve">Committee </w:t>
      </w:r>
      <w:r w:rsidR="00C41CA7" w:rsidRPr="00E931EE">
        <w:rPr>
          <w:rFonts w:ascii="Book Antiqua" w:hAnsi="Book Antiqua"/>
          <w:bCs/>
          <w:szCs w:val="24"/>
        </w:rPr>
        <w:t>respectfully request</w:t>
      </w:r>
      <w:r w:rsidR="00BA4C8D" w:rsidRPr="00E931EE">
        <w:rPr>
          <w:rFonts w:ascii="Book Antiqua" w:hAnsi="Book Antiqua"/>
          <w:bCs/>
          <w:szCs w:val="24"/>
        </w:rPr>
        <w:t>s</w:t>
      </w:r>
      <w:r w:rsidR="00C41CA7" w:rsidRPr="00E931EE">
        <w:rPr>
          <w:rFonts w:ascii="Book Antiqua" w:hAnsi="Book Antiqua"/>
          <w:bCs/>
          <w:szCs w:val="24"/>
        </w:rPr>
        <w:t xml:space="preserve"> that the Court </w:t>
      </w:r>
      <w:r w:rsidR="009D0114" w:rsidRPr="00E931EE">
        <w:rPr>
          <w:rFonts w:ascii="Book Antiqua" w:hAnsi="Book Antiqua"/>
          <w:bCs/>
          <w:szCs w:val="24"/>
        </w:rPr>
        <w:t xml:space="preserve">consider this </w:t>
      </w:r>
      <w:r w:rsidR="00F42685">
        <w:rPr>
          <w:rFonts w:ascii="Book Antiqua" w:hAnsi="Book Antiqua"/>
          <w:bCs/>
          <w:szCs w:val="24"/>
        </w:rPr>
        <w:t>Reply</w:t>
      </w:r>
      <w:r w:rsidR="009D0114" w:rsidRPr="00E931EE">
        <w:rPr>
          <w:rFonts w:ascii="Book Antiqua" w:hAnsi="Book Antiqua"/>
          <w:bCs/>
          <w:szCs w:val="24"/>
        </w:rPr>
        <w:t xml:space="preserve"> and </w:t>
      </w:r>
      <w:r w:rsidR="00C41CA7" w:rsidRPr="00E931EE">
        <w:rPr>
          <w:rFonts w:ascii="Book Antiqua" w:hAnsi="Book Antiqua"/>
          <w:bCs/>
          <w:szCs w:val="24"/>
        </w:rPr>
        <w:t xml:space="preserve">adopt the </w:t>
      </w:r>
      <w:r w:rsidR="00511B7B" w:rsidRPr="00E931EE">
        <w:rPr>
          <w:rFonts w:ascii="Book Antiqua" w:hAnsi="Book Antiqua"/>
          <w:bCs/>
          <w:szCs w:val="24"/>
        </w:rPr>
        <w:t>rule</w:t>
      </w:r>
      <w:r w:rsidR="00F42685">
        <w:rPr>
          <w:rFonts w:ascii="Book Antiqua" w:hAnsi="Book Antiqua"/>
          <w:bCs/>
          <w:szCs w:val="24"/>
        </w:rPr>
        <w:t>s as proposed on a permanent basis</w:t>
      </w:r>
      <w:r w:rsidR="00C41CA7" w:rsidRPr="00E931EE">
        <w:rPr>
          <w:rFonts w:ascii="Book Antiqua" w:hAnsi="Book Antiqua"/>
          <w:bCs/>
          <w:szCs w:val="24"/>
        </w:rPr>
        <w:t>.</w:t>
      </w:r>
    </w:p>
    <w:p w14:paraId="13EAD0F2" w14:textId="635B1D62" w:rsidR="00C41CA7" w:rsidRPr="00E931EE" w:rsidRDefault="00511B7B" w:rsidP="00511B7B">
      <w:pPr>
        <w:rPr>
          <w:rFonts w:ascii="Book Antiqua" w:hAnsi="Book Antiqua"/>
          <w:szCs w:val="24"/>
        </w:rPr>
      </w:pPr>
      <w:r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r>
      <w:r w:rsidR="00C41CA7" w:rsidRPr="00E931EE">
        <w:rPr>
          <w:rFonts w:ascii="Book Antiqua" w:hAnsi="Book Antiqua"/>
          <w:szCs w:val="24"/>
        </w:rPr>
        <w:t>DATED this</w:t>
      </w:r>
      <w:r w:rsidR="003E3740">
        <w:rPr>
          <w:rFonts w:ascii="Book Antiqua" w:hAnsi="Book Antiqua"/>
          <w:szCs w:val="24"/>
        </w:rPr>
        <w:t xml:space="preserve"> 26th</w:t>
      </w:r>
      <w:r w:rsidR="00C41CA7" w:rsidRPr="00E931EE">
        <w:rPr>
          <w:rFonts w:ascii="Book Antiqua" w:hAnsi="Book Antiqua"/>
          <w:szCs w:val="24"/>
        </w:rPr>
        <w:t xml:space="preserve"> day of </w:t>
      </w:r>
      <w:r w:rsidR="00F42685">
        <w:rPr>
          <w:rFonts w:ascii="Book Antiqua" w:hAnsi="Book Antiqua"/>
          <w:szCs w:val="24"/>
        </w:rPr>
        <w:t>October 2</w:t>
      </w:r>
      <w:r w:rsidR="00C41CA7" w:rsidRPr="00E931EE">
        <w:rPr>
          <w:rFonts w:ascii="Book Antiqua" w:hAnsi="Book Antiqua"/>
          <w:szCs w:val="24"/>
        </w:rPr>
        <w:t>0</w:t>
      </w:r>
      <w:r w:rsidR="00FA3A0D" w:rsidRPr="00E931EE">
        <w:rPr>
          <w:rFonts w:ascii="Book Antiqua" w:hAnsi="Book Antiqua"/>
          <w:szCs w:val="24"/>
        </w:rPr>
        <w:t>2</w:t>
      </w:r>
      <w:r w:rsidR="00F42685">
        <w:rPr>
          <w:rFonts w:ascii="Book Antiqua" w:hAnsi="Book Antiqua"/>
          <w:szCs w:val="24"/>
        </w:rPr>
        <w:t>3</w:t>
      </w:r>
      <w:r w:rsidR="00C41CA7" w:rsidRPr="00E931EE">
        <w:rPr>
          <w:rFonts w:ascii="Book Antiqua" w:hAnsi="Book Antiqua"/>
          <w:szCs w:val="24"/>
        </w:rPr>
        <w:t>.</w:t>
      </w:r>
    </w:p>
    <w:p w14:paraId="325E9E2B" w14:textId="77777777" w:rsidR="00C41CA7" w:rsidRPr="00E931EE" w:rsidRDefault="00C41CA7">
      <w:pPr>
        <w:jc w:val="both"/>
        <w:rPr>
          <w:rFonts w:ascii="Book Antiqua" w:hAnsi="Book Antiqua"/>
          <w:szCs w:val="24"/>
        </w:rPr>
      </w:pPr>
    </w:p>
    <w:p w14:paraId="257CB363" w14:textId="464FB67B" w:rsidR="00C41CA7" w:rsidRPr="00E931EE" w:rsidRDefault="00FF2B36" w:rsidP="00B44D1E">
      <w:pPr>
        <w:jc w:val="both"/>
        <w:rPr>
          <w:rFonts w:ascii="Book Antiqua" w:hAnsi="Book Antiqua"/>
          <w:szCs w:val="24"/>
        </w:rPr>
      </w:pPr>
      <w:r w:rsidRPr="00E931EE">
        <w:rPr>
          <w:rFonts w:ascii="Book Antiqua" w:hAnsi="Book Antiqua"/>
          <w:szCs w:val="24"/>
        </w:rPr>
        <w:tab/>
      </w:r>
      <w:r w:rsidRPr="00E931EE">
        <w:rPr>
          <w:rFonts w:ascii="Book Antiqua" w:hAnsi="Book Antiqua"/>
          <w:szCs w:val="24"/>
        </w:rPr>
        <w:tab/>
      </w:r>
      <w:r w:rsidR="00DD4E3C" w:rsidRPr="00E931EE">
        <w:rPr>
          <w:rFonts w:ascii="Book Antiqua" w:hAnsi="Book Antiqua"/>
          <w:szCs w:val="24"/>
        </w:rPr>
        <w:tab/>
      </w:r>
      <w:r w:rsidR="00DD4E3C"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r>
      <w:r w:rsidR="00F42685">
        <w:rPr>
          <w:rFonts w:ascii="Book Antiqua" w:hAnsi="Book Antiqua"/>
          <w:szCs w:val="24"/>
        </w:rPr>
        <w:t>Greg Sakall</w:t>
      </w:r>
    </w:p>
    <w:p w14:paraId="081CDB18" w14:textId="4795EF9B" w:rsidR="00656F65" w:rsidRPr="00E931EE" w:rsidRDefault="00656F65" w:rsidP="00B44D1E">
      <w:pPr>
        <w:jc w:val="both"/>
        <w:rPr>
          <w:rFonts w:ascii="Book Antiqua" w:hAnsi="Book Antiqua"/>
          <w:szCs w:val="24"/>
        </w:rPr>
      </w:pPr>
      <w:r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r>
      <w:r w:rsidRPr="00E931EE">
        <w:rPr>
          <w:rFonts w:ascii="Book Antiqua" w:hAnsi="Book Antiqua"/>
          <w:szCs w:val="24"/>
        </w:rPr>
        <w:tab/>
        <w:t>Chair, FCIC</w:t>
      </w:r>
    </w:p>
    <w:p w14:paraId="3BFA9A08" w14:textId="77777777" w:rsidR="0041229A" w:rsidRPr="00E931EE" w:rsidRDefault="0041229A" w:rsidP="00FF2B36">
      <w:pPr>
        <w:jc w:val="both"/>
        <w:rPr>
          <w:rFonts w:ascii="Book Antiqua" w:hAnsi="Book Antiqua"/>
          <w:szCs w:val="24"/>
        </w:rPr>
      </w:pPr>
    </w:p>
    <w:p w14:paraId="42356FC3" w14:textId="36EAE8D3" w:rsidR="0041229A" w:rsidRPr="001F3F71" w:rsidRDefault="0041229A" w:rsidP="0041229A">
      <w:pPr>
        <w:spacing w:line="480" w:lineRule="auto"/>
        <w:jc w:val="both"/>
        <w:rPr>
          <w:sz w:val="28"/>
          <w:szCs w:val="28"/>
        </w:rPr>
      </w:pPr>
    </w:p>
    <w:p w14:paraId="3A429070" w14:textId="044BC89A" w:rsidR="00E63346" w:rsidRPr="00E63346" w:rsidRDefault="00E63346" w:rsidP="00F42685">
      <w:pPr>
        <w:rPr>
          <w:sz w:val="28"/>
          <w:szCs w:val="28"/>
        </w:rPr>
      </w:pPr>
    </w:p>
    <w:sectPr w:rsidR="00E63346" w:rsidRPr="00E63346" w:rsidSect="00EE2BC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C4B3" w14:textId="77777777" w:rsidR="008847F7" w:rsidRDefault="008847F7">
      <w:r>
        <w:separator/>
      </w:r>
    </w:p>
  </w:endnote>
  <w:endnote w:type="continuationSeparator" w:id="0">
    <w:p w14:paraId="045A41A2" w14:textId="77777777" w:rsidR="008847F7" w:rsidRDefault="0088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67BA" w14:textId="62691BC1"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fldSimple w:instr=" NUMPAGES ">
      <w:r w:rsidR="00E03DC7">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ED8A" w14:textId="77777777" w:rsidR="008847F7" w:rsidRDefault="008847F7">
      <w:r>
        <w:separator/>
      </w:r>
    </w:p>
  </w:footnote>
  <w:footnote w:type="continuationSeparator" w:id="0">
    <w:p w14:paraId="649301C1" w14:textId="77777777" w:rsidR="008847F7" w:rsidRDefault="0088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3E72" w14:textId="77777777" w:rsidR="00AB3FAA" w:rsidRDefault="00AB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222724A8" w:rsidR="003D73E0" w:rsidRDefault="003D73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6"/>
  </w:num>
  <w:num w:numId="3" w16cid:durableId="370226306">
    <w:abstractNumId w:val="8"/>
  </w:num>
  <w:num w:numId="4" w16cid:durableId="367801761">
    <w:abstractNumId w:val="1"/>
  </w:num>
  <w:num w:numId="5" w16cid:durableId="1139834692">
    <w:abstractNumId w:val="9"/>
  </w:num>
  <w:num w:numId="6" w16cid:durableId="499737626">
    <w:abstractNumId w:val="7"/>
  </w:num>
  <w:num w:numId="7" w16cid:durableId="978533070">
    <w:abstractNumId w:val="3"/>
  </w:num>
  <w:num w:numId="8" w16cid:durableId="1097822676">
    <w:abstractNumId w:val="5"/>
  </w:num>
  <w:num w:numId="9" w16cid:durableId="1751077909">
    <w:abstractNumId w:val="4"/>
  </w:num>
  <w:num w:numId="10" w16cid:durableId="502553845">
    <w:abstractNumId w:val="10"/>
  </w:num>
  <w:num w:numId="11" w16cid:durableId="128175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4019A"/>
    <w:rsid w:val="000409A2"/>
    <w:rsid w:val="00041FC5"/>
    <w:rsid w:val="0004337F"/>
    <w:rsid w:val="000463A4"/>
    <w:rsid w:val="00051848"/>
    <w:rsid w:val="00063A90"/>
    <w:rsid w:val="00063BA6"/>
    <w:rsid w:val="000648F0"/>
    <w:rsid w:val="00064955"/>
    <w:rsid w:val="00073A6B"/>
    <w:rsid w:val="000751FA"/>
    <w:rsid w:val="00083898"/>
    <w:rsid w:val="000840E6"/>
    <w:rsid w:val="00085CF0"/>
    <w:rsid w:val="000901C7"/>
    <w:rsid w:val="00096F15"/>
    <w:rsid w:val="000A1FDC"/>
    <w:rsid w:val="000A3E8A"/>
    <w:rsid w:val="000A717F"/>
    <w:rsid w:val="000B3931"/>
    <w:rsid w:val="000B4DFE"/>
    <w:rsid w:val="000B659A"/>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20C0B"/>
    <w:rsid w:val="001239F6"/>
    <w:rsid w:val="001273D0"/>
    <w:rsid w:val="00127D52"/>
    <w:rsid w:val="00130F4B"/>
    <w:rsid w:val="00130FC7"/>
    <w:rsid w:val="001312F8"/>
    <w:rsid w:val="001344CE"/>
    <w:rsid w:val="00144F99"/>
    <w:rsid w:val="001451DE"/>
    <w:rsid w:val="00146B6B"/>
    <w:rsid w:val="00152F78"/>
    <w:rsid w:val="00170385"/>
    <w:rsid w:val="00183BD6"/>
    <w:rsid w:val="00192F27"/>
    <w:rsid w:val="00195CF1"/>
    <w:rsid w:val="001A3658"/>
    <w:rsid w:val="001A7EF9"/>
    <w:rsid w:val="001B0885"/>
    <w:rsid w:val="001B1E56"/>
    <w:rsid w:val="001B24C0"/>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2D6"/>
    <w:rsid w:val="002D5B9B"/>
    <w:rsid w:val="002E007E"/>
    <w:rsid w:val="002E4500"/>
    <w:rsid w:val="002E475E"/>
    <w:rsid w:val="002F4789"/>
    <w:rsid w:val="002F5030"/>
    <w:rsid w:val="002F52F0"/>
    <w:rsid w:val="002F68BE"/>
    <w:rsid w:val="00300D46"/>
    <w:rsid w:val="003037A0"/>
    <w:rsid w:val="00305EF7"/>
    <w:rsid w:val="0030696F"/>
    <w:rsid w:val="00307CA9"/>
    <w:rsid w:val="0031002A"/>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B5BA5"/>
    <w:rsid w:val="003D26D4"/>
    <w:rsid w:val="003D2C42"/>
    <w:rsid w:val="003D5C2F"/>
    <w:rsid w:val="003D73E0"/>
    <w:rsid w:val="003E081A"/>
    <w:rsid w:val="003E0E59"/>
    <w:rsid w:val="003E248E"/>
    <w:rsid w:val="003E3740"/>
    <w:rsid w:val="003E5250"/>
    <w:rsid w:val="003E7271"/>
    <w:rsid w:val="003E7C14"/>
    <w:rsid w:val="003F3D6C"/>
    <w:rsid w:val="003F4010"/>
    <w:rsid w:val="003F5521"/>
    <w:rsid w:val="003F7559"/>
    <w:rsid w:val="004057D7"/>
    <w:rsid w:val="00410AFB"/>
    <w:rsid w:val="0041229A"/>
    <w:rsid w:val="00415027"/>
    <w:rsid w:val="00430699"/>
    <w:rsid w:val="004323A2"/>
    <w:rsid w:val="004332E1"/>
    <w:rsid w:val="0043489C"/>
    <w:rsid w:val="00434DBF"/>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A315C"/>
    <w:rsid w:val="004A330A"/>
    <w:rsid w:val="004A7FEA"/>
    <w:rsid w:val="004B7C64"/>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F1FBA"/>
    <w:rsid w:val="005F2E95"/>
    <w:rsid w:val="005F7BBA"/>
    <w:rsid w:val="006007F5"/>
    <w:rsid w:val="0060153C"/>
    <w:rsid w:val="0060188F"/>
    <w:rsid w:val="006052DE"/>
    <w:rsid w:val="00605591"/>
    <w:rsid w:val="006072CC"/>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41AC"/>
    <w:rsid w:val="00707AF0"/>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3789"/>
    <w:rsid w:val="007640C5"/>
    <w:rsid w:val="00771B9A"/>
    <w:rsid w:val="00792D43"/>
    <w:rsid w:val="007977BA"/>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847F7"/>
    <w:rsid w:val="008908F0"/>
    <w:rsid w:val="00896BBC"/>
    <w:rsid w:val="008A2501"/>
    <w:rsid w:val="008A38E5"/>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13E"/>
    <w:rsid w:val="00A42F0E"/>
    <w:rsid w:val="00A52967"/>
    <w:rsid w:val="00A530BF"/>
    <w:rsid w:val="00A603F5"/>
    <w:rsid w:val="00A61FF5"/>
    <w:rsid w:val="00A63081"/>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F2BF1"/>
    <w:rsid w:val="00AF381A"/>
    <w:rsid w:val="00AF3BF5"/>
    <w:rsid w:val="00B021F3"/>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E69E3"/>
    <w:rsid w:val="00BF086C"/>
    <w:rsid w:val="00BF4EFC"/>
    <w:rsid w:val="00BF6C43"/>
    <w:rsid w:val="00C04B6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2696"/>
    <w:rsid w:val="00D8168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42D45"/>
    <w:rsid w:val="00E46545"/>
    <w:rsid w:val="00E47AB7"/>
    <w:rsid w:val="00E507A4"/>
    <w:rsid w:val="00E516B1"/>
    <w:rsid w:val="00E542D8"/>
    <w:rsid w:val="00E56FBC"/>
    <w:rsid w:val="00E6068E"/>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ckard@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BE67CC-A821-473D-B7B3-6BAF97065E84}">
  <ds:schemaRefs>
    <ds:schemaRef ds:uri="http://schemas.microsoft.com/sharepoint/v3/contenttype/forms"/>
  </ds:schemaRefs>
</ds:datastoreItem>
</file>

<file path=customXml/itemProps4.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Pickard, Susan</cp:lastModifiedBy>
  <cp:revision>3</cp:revision>
  <cp:lastPrinted>2023-10-26T15:55:00Z</cp:lastPrinted>
  <dcterms:created xsi:type="dcterms:W3CDTF">2023-10-26T15:55:00Z</dcterms:created>
  <dcterms:modified xsi:type="dcterms:W3CDTF">2023-10-26T15:56:00Z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