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AB7D" w14:textId="77777777" w:rsidR="0013271D" w:rsidRPr="006E3367" w:rsidRDefault="0013271D" w:rsidP="0013271D">
      <w:pPr>
        <w:pStyle w:val="AttorneyName"/>
        <w:rPr>
          <w:sz w:val="28"/>
          <w:szCs w:val="28"/>
        </w:rPr>
      </w:pPr>
      <w:r w:rsidRPr="006E3367">
        <w:rPr>
          <w:sz w:val="28"/>
          <w:szCs w:val="28"/>
        </w:rPr>
        <w:t>The Law Office of Denise M. Quinterri, PLLC</w:t>
      </w:r>
    </w:p>
    <w:p w14:paraId="1F8BB3BA" w14:textId="77777777" w:rsidR="0013271D" w:rsidRPr="006E3367" w:rsidRDefault="0013271D" w:rsidP="0013271D">
      <w:pPr>
        <w:pStyle w:val="AttorneyName"/>
        <w:rPr>
          <w:sz w:val="28"/>
          <w:szCs w:val="28"/>
        </w:rPr>
      </w:pPr>
      <w:r w:rsidRPr="006E3367">
        <w:rPr>
          <w:sz w:val="28"/>
          <w:szCs w:val="28"/>
        </w:rPr>
        <w:t>161 E. Inverness Dr.</w:t>
      </w:r>
    </w:p>
    <w:p w14:paraId="4D7AADD4" w14:textId="77777777" w:rsidR="0013271D" w:rsidRPr="006E3367" w:rsidRDefault="0013271D" w:rsidP="0013271D">
      <w:pPr>
        <w:pStyle w:val="AttorneyName"/>
        <w:rPr>
          <w:sz w:val="28"/>
          <w:szCs w:val="28"/>
        </w:rPr>
      </w:pPr>
      <w:r w:rsidRPr="006E3367">
        <w:rPr>
          <w:sz w:val="28"/>
          <w:szCs w:val="28"/>
        </w:rPr>
        <w:t>Tucson, AZ 85737</w:t>
      </w:r>
    </w:p>
    <w:p w14:paraId="766B6DE3" w14:textId="77777777" w:rsidR="0013271D" w:rsidRPr="006E3367" w:rsidRDefault="0013271D" w:rsidP="0013271D">
      <w:pPr>
        <w:pStyle w:val="AttorneyName"/>
        <w:rPr>
          <w:sz w:val="28"/>
          <w:szCs w:val="28"/>
        </w:rPr>
      </w:pPr>
      <w:r w:rsidRPr="006E3367">
        <w:rPr>
          <w:sz w:val="28"/>
          <w:szCs w:val="28"/>
        </w:rPr>
        <w:t>Telephone: 480-239-9807</w:t>
      </w:r>
    </w:p>
    <w:p w14:paraId="12638F6F" w14:textId="77777777" w:rsidR="0013271D" w:rsidRPr="006E3367" w:rsidRDefault="0013271D" w:rsidP="0013271D">
      <w:pPr>
        <w:pStyle w:val="AttorneyName"/>
        <w:rPr>
          <w:sz w:val="28"/>
          <w:szCs w:val="28"/>
        </w:rPr>
      </w:pPr>
      <w:bookmarkStart w:id="0" w:name="AttorneyName"/>
      <w:bookmarkEnd w:id="0"/>
      <w:r w:rsidRPr="006E3367">
        <w:rPr>
          <w:sz w:val="28"/>
          <w:szCs w:val="28"/>
        </w:rPr>
        <w:t>dmq@azethicslaw.com</w:t>
      </w:r>
    </w:p>
    <w:p w14:paraId="10825371" w14:textId="77777777" w:rsidR="0013271D" w:rsidRPr="006E3367" w:rsidRDefault="0013271D" w:rsidP="0013271D">
      <w:pPr>
        <w:pStyle w:val="AttorneyName"/>
        <w:rPr>
          <w:sz w:val="28"/>
          <w:szCs w:val="28"/>
        </w:rPr>
      </w:pPr>
      <w:r w:rsidRPr="006E3367">
        <w:rPr>
          <w:sz w:val="28"/>
          <w:szCs w:val="28"/>
        </w:rPr>
        <w:t>Denise M. Quinterri, State Bar No. 020637</w:t>
      </w:r>
    </w:p>
    <w:p w14:paraId="72C7DFC7" w14:textId="39689EAC" w:rsidR="0013271D" w:rsidRPr="006E3367" w:rsidRDefault="0013271D" w:rsidP="0013271D">
      <w:pPr>
        <w:pStyle w:val="AttorneyName"/>
        <w:rPr>
          <w:sz w:val="28"/>
          <w:szCs w:val="28"/>
        </w:rPr>
      </w:pPr>
    </w:p>
    <w:p w14:paraId="61615623" w14:textId="3B5BF116" w:rsidR="009F0E74" w:rsidRPr="0013271D" w:rsidRDefault="009F0E74">
      <w:pPr>
        <w:pStyle w:val="AttorneyName"/>
        <w:rPr>
          <w:sz w:val="28"/>
          <w:szCs w:val="28"/>
        </w:rPr>
      </w:pPr>
    </w:p>
    <w:p w14:paraId="1E853C5C" w14:textId="7CA73AFD" w:rsidR="009F0E74" w:rsidRPr="0011213D" w:rsidRDefault="000C50F1" w:rsidP="0011213D">
      <w:pPr>
        <w:pStyle w:val="Court"/>
        <w:spacing w:line="240" w:lineRule="auto"/>
        <w:rPr>
          <w:rStyle w:val="CourtNameChar"/>
          <w:b/>
          <w:caps/>
          <w:sz w:val="28"/>
          <w:szCs w:val="28"/>
        </w:rPr>
      </w:pPr>
      <w:r w:rsidRPr="0011213D">
        <w:rPr>
          <w:b/>
          <w:sz w:val="28"/>
          <w:szCs w:val="28"/>
        </w:rPr>
        <w:t>IN THE SUPREME COURT</w:t>
      </w:r>
      <w:r w:rsidRPr="0011213D">
        <w:rPr>
          <w:b/>
          <w:sz w:val="28"/>
          <w:szCs w:val="28"/>
        </w:rPr>
        <w:br/>
      </w:r>
      <w:r w:rsidR="001B10D5">
        <w:rPr>
          <w:b/>
          <w:sz w:val="28"/>
          <w:szCs w:val="28"/>
        </w:rPr>
        <w:t xml:space="preserve">of the </w:t>
      </w:r>
      <w:r w:rsidRPr="0011213D">
        <w:rPr>
          <w:b/>
          <w:sz w:val="28"/>
          <w:szCs w:val="28"/>
        </w:rPr>
        <w:t>STATE OF ARIZONA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13271D" w14:paraId="0A124A82" w14:textId="77777777">
        <w:tc>
          <w:tcPr>
            <w:tcW w:w="2500" w:type="pct"/>
            <w:tcBorders>
              <w:bottom w:val="single" w:sz="4" w:space="0" w:color="auto"/>
              <w:right w:val="single" w:sz="4" w:space="0" w:color="auto"/>
            </w:tcBorders>
          </w:tcPr>
          <w:p w14:paraId="3FFB6D01" w14:textId="77777777" w:rsidR="00CE42C9" w:rsidRDefault="00CE42C9" w:rsidP="00414B87">
            <w:pPr>
              <w:spacing w:line="264" w:lineRule="auto"/>
              <w:ind w:firstLine="0"/>
              <w:rPr>
                <w:bCs/>
                <w:sz w:val="28"/>
                <w:szCs w:val="28"/>
              </w:rPr>
            </w:pPr>
          </w:p>
          <w:p w14:paraId="1E49D633" w14:textId="5E09FB52" w:rsidR="00414B87" w:rsidRPr="00414B87" w:rsidRDefault="00414B87" w:rsidP="00414B87">
            <w:pPr>
              <w:spacing w:line="264" w:lineRule="auto"/>
              <w:ind w:firstLine="0"/>
              <w:rPr>
                <w:bCs/>
                <w:sz w:val="28"/>
                <w:szCs w:val="28"/>
              </w:rPr>
            </w:pPr>
            <w:r w:rsidRPr="00414B87">
              <w:rPr>
                <w:bCs/>
                <w:sz w:val="28"/>
                <w:szCs w:val="28"/>
              </w:rPr>
              <w:t>In the Matter of:</w:t>
            </w:r>
          </w:p>
          <w:p w14:paraId="11AB1BDA" w14:textId="77777777" w:rsidR="00414B87" w:rsidRPr="00414B87" w:rsidRDefault="00414B87" w:rsidP="00414B87">
            <w:pPr>
              <w:spacing w:line="264" w:lineRule="auto"/>
              <w:ind w:firstLine="0"/>
              <w:rPr>
                <w:bCs/>
                <w:sz w:val="28"/>
                <w:szCs w:val="28"/>
              </w:rPr>
            </w:pPr>
          </w:p>
          <w:p w14:paraId="6C582BF2" w14:textId="77777777" w:rsidR="00414B87" w:rsidRPr="00414B87" w:rsidRDefault="00414B87" w:rsidP="00414B87">
            <w:pPr>
              <w:spacing w:line="264" w:lineRule="auto"/>
              <w:ind w:firstLine="0"/>
              <w:rPr>
                <w:bCs/>
                <w:sz w:val="28"/>
                <w:szCs w:val="28"/>
              </w:rPr>
            </w:pPr>
          </w:p>
          <w:p w14:paraId="3720D945" w14:textId="3E2F3928" w:rsidR="009F0E74" w:rsidRPr="00DB0BD5" w:rsidRDefault="00414B87" w:rsidP="00414B87">
            <w:pPr>
              <w:spacing w:line="264" w:lineRule="auto"/>
              <w:ind w:firstLine="0"/>
              <w:rPr>
                <w:b/>
                <w:bCs/>
                <w:sz w:val="28"/>
                <w:szCs w:val="28"/>
              </w:rPr>
            </w:pPr>
            <w:r w:rsidRPr="00DB0BD5">
              <w:rPr>
                <w:b/>
                <w:bCs/>
                <w:sz w:val="28"/>
                <w:szCs w:val="28"/>
              </w:rPr>
              <w:t xml:space="preserve">PETITION TO AMEND RULE </w:t>
            </w:r>
            <w:r w:rsidR="00B94813" w:rsidRPr="00DB0BD5">
              <w:rPr>
                <w:b/>
                <w:bCs/>
                <w:sz w:val="28"/>
                <w:szCs w:val="28"/>
              </w:rPr>
              <w:t>36</w:t>
            </w:r>
            <w:r w:rsidRPr="00DB0BD5">
              <w:rPr>
                <w:b/>
                <w:bCs/>
                <w:sz w:val="28"/>
                <w:szCs w:val="28"/>
              </w:rPr>
              <w:t xml:space="preserve">, </w:t>
            </w:r>
            <w:r w:rsidR="00260A2D">
              <w:rPr>
                <w:b/>
                <w:bCs/>
                <w:sz w:val="28"/>
                <w:szCs w:val="28"/>
              </w:rPr>
              <w:t xml:space="preserve">ARIZONA </w:t>
            </w:r>
            <w:r w:rsidRPr="00DB0BD5">
              <w:rPr>
                <w:b/>
                <w:bCs/>
                <w:sz w:val="28"/>
                <w:szCs w:val="28"/>
              </w:rPr>
              <w:t xml:space="preserve">RULES OF THE SUPREME COURT </w:t>
            </w:r>
          </w:p>
          <w:p w14:paraId="5F845EA1" w14:textId="4F3F3608" w:rsidR="00F4756B" w:rsidRPr="0013271D" w:rsidRDefault="00F4756B" w:rsidP="00414B87">
            <w:pPr>
              <w:spacing w:line="264" w:lineRule="auto"/>
              <w:ind w:firstLine="0"/>
              <w:rPr>
                <w:sz w:val="28"/>
                <w:szCs w:val="28"/>
              </w:rPr>
            </w:pPr>
          </w:p>
        </w:tc>
        <w:tc>
          <w:tcPr>
            <w:tcW w:w="2500" w:type="pct"/>
            <w:tcBorders>
              <w:left w:val="nil"/>
            </w:tcBorders>
            <w:tcMar>
              <w:left w:w="115" w:type="dxa"/>
            </w:tcMar>
          </w:tcPr>
          <w:p w14:paraId="742F3789" w14:textId="3CED4A6E" w:rsidR="009F0E74" w:rsidRPr="0013271D" w:rsidRDefault="005574BF">
            <w:pPr>
              <w:pStyle w:val="CaseNo"/>
              <w:rPr>
                <w:sz w:val="28"/>
                <w:szCs w:val="28"/>
              </w:rPr>
            </w:pPr>
            <w:r>
              <w:rPr>
                <w:sz w:val="28"/>
                <w:szCs w:val="28"/>
              </w:rPr>
              <w:t xml:space="preserve">Supreme Court No. </w:t>
            </w:r>
            <w:r w:rsidR="00B94813">
              <w:rPr>
                <w:sz w:val="28"/>
                <w:szCs w:val="28"/>
              </w:rPr>
              <w:t>______</w:t>
            </w:r>
            <w:r w:rsidR="00FE2E3F" w:rsidRPr="0013271D">
              <w:rPr>
                <w:sz w:val="28"/>
                <w:szCs w:val="28"/>
              </w:rPr>
              <w:t xml:space="preserve"> </w:t>
            </w:r>
          </w:p>
          <w:sdt>
            <w:sdtPr>
              <w:rPr>
                <w:b/>
                <w:bCs/>
                <w:sz w:val="28"/>
                <w:szCs w:val="28"/>
              </w:rPr>
              <w:alias w:val="Enter pleading title:"/>
              <w:tag w:val=""/>
              <w:id w:val="1390306954"/>
              <w:placeholder>
                <w:docPart w:val="503515F0243546BAB34AE127EF60EFB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52726826" w14:textId="53A8D0C7" w:rsidR="009F0E74" w:rsidRPr="0013271D" w:rsidRDefault="00733EA8" w:rsidP="0077251F">
                <w:pPr>
                  <w:pStyle w:val="Pleadingtitle"/>
                  <w:rPr>
                    <w:sz w:val="28"/>
                    <w:szCs w:val="28"/>
                  </w:rPr>
                </w:pPr>
                <w:r>
                  <w:rPr>
                    <w:b/>
                    <w:bCs/>
                    <w:sz w:val="28"/>
                    <w:szCs w:val="28"/>
                  </w:rPr>
                  <w:t>Petition</w:t>
                </w:r>
              </w:p>
            </w:sdtContent>
          </w:sdt>
        </w:tc>
      </w:tr>
    </w:tbl>
    <w:p w14:paraId="7AC10263" w14:textId="77777777" w:rsidR="009F0E74" w:rsidRPr="0013271D" w:rsidRDefault="009F0E74">
      <w:pPr>
        <w:pStyle w:val="NoSpacing"/>
        <w:rPr>
          <w:sz w:val="28"/>
          <w:szCs w:val="28"/>
        </w:rPr>
      </w:pPr>
    </w:p>
    <w:p w14:paraId="4C1EBD5F" w14:textId="1F91941C" w:rsidR="00B94813" w:rsidRPr="00EC58DD" w:rsidRDefault="000C3749" w:rsidP="00EC58DD">
      <w:pPr>
        <w:ind w:firstLine="720"/>
        <w:jc w:val="both"/>
        <w:rPr>
          <w:rFonts w:ascii="Times New Roman" w:hAnsi="Times New Roman"/>
          <w:sz w:val="28"/>
          <w:szCs w:val="28"/>
        </w:rPr>
      </w:pPr>
      <w:r>
        <w:rPr>
          <w:sz w:val="28"/>
          <w:szCs w:val="28"/>
        </w:rPr>
        <w:t xml:space="preserve">Pursuant to </w:t>
      </w:r>
      <w:r w:rsidR="00E47C60">
        <w:rPr>
          <w:sz w:val="28"/>
          <w:szCs w:val="28"/>
        </w:rPr>
        <w:t>Rule</w:t>
      </w:r>
      <w:r w:rsidR="000E72F6">
        <w:rPr>
          <w:sz w:val="28"/>
          <w:szCs w:val="28"/>
        </w:rPr>
        <w:t xml:space="preserve"> 28</w:t>
      </w:r>
      <w:r w:rsidR="00967CA8">
        <w:rPr>
          <w:sz w:val="28"/>
          <w:szCs w:val="28"/>
        </w:rPr>
        <w:t xml:space="preserve">, Arizona Rules of the Supreme Court, undersigned counsel </w:t>
      </w:r>
      <w:r w:rsidR="00CB32B3">
        <w:rPr>
          <w:sz w:val="28"/>
          <w:szCs w:val="28"/>
        </w:rPr>
        <w:t xml:space="preserve">(“Petitioner”) </w:t>
      </w:r>
      <w:r w:rsidR="00032CF1">
        <w:rPr>
          <w:sz w:val="28"/>
          <w:szCs w:val="28"/>
        </w:rPr>
        <w:t xml:space="preserve">petitions the Supreme Court </w:t>
      </w:r>
      <w:r w:rsidR="00B42F3B">
        <w:rPr>
          <w:sz w:val="28"/>
          <w:szCs w:val="28"/>
        </w:rPr>
        <w:t xml:space="preserve">to amend Rule </w:t>
      </w:r>
      <w:r w:rsidR="00D92957">
        <w:rPr>
          <w:sz w:val="28"/>
          <w:szCs w:val="28"/>
        </w:rPr>
        <w:t>36(g)</w:t>
      </w:r>
      <w:r w:rsidR="00247670">
        <w:rPr>
          <w:sz w:val="28"/>
          <w:szCs w:val="28"/>
        </w:rPr>
        <w:t>(6)</w:t>
      </w:r>
      <w:r w:rsidR="00D92957">
        <w:rPr>
          <w:sz w:val="28"/>
          <w:szCs w:val="28"/>
        </w:rPr>
        <w:t>, Ariz. R. Sup. Ct., to</w:t>
      </w:r>
      <w:r w:rsidR="00B60458">
        <w:rPr>
          <w:sz w:val="28"/>
          <w:szCs w:val="28"/>
        </w:rPr>
        <w:t xml:space="preserve"> allow </w:t>
      </w:r>
      <w:r w:rsidR="008232C7">
        <w:rPr>
          <w:sz w:val="28"/>
          <w:szCs w:val="28"/>
        </w:rPr>
        <w:t>a hearing on a</w:t>
      </w:r>
      <w:r w:rsidR="00023182">
        <w:rPr>
          <w:sz w:val="28"/>
          <w:szCs w:val="28"/>
        </w:rPr>
        <w:t>n alleged</w:t>
      </w:r>
      <w:r w:rsidR="008232C7">
        <w:rPr>
          <w:sz w:val="28"/>
          <w:szCs w:val="28"/>
        </w:rPr>
        <w:t xml:space="preserve"> violation of a term of conditional admission to </w:t>
      </w:r>
      <w:r w:rsidR="00150A22">
        <w:rPr>
          <w:sz w:val="28"/>
          <w:szCs w:val="28"/>
        </w:rPr>
        <w:t>be heard by a panel of 5 members of the Committee of Character and Fitness</w:t>
      </w:r>
      <w:r w:rsidR="002720E8">
        <w:rPr>
          <w:sz w:val="28"/>
          <w:szCs w:val="28"/>
        </w:rPr>
        <w:t>, instead of requiring a majority of the committee members to attend</w:t>
      </w:r>
      <w:r w:rsidR="00150A22">
        <w:rPr>
          <w:sz w:val="28"/>
          <w:szCs w:val="28"/>
        </w:rPr>
        <w:t xml:space="preserve">. </w:t>
      </w:r>
      <w:r w:rsidR="00D92957">
        <w:rPr>
          <w:sz w:val="28"/>
          <w:szCs w:val="28"/>
        </w:rPr>
        <w:t xml:space="preserve"> </w:t>
      </w:r>
      <w:r w:rsidR="00150A22">
        <w:rPr>
          <w:sz w:val="28"/>
          <w:szCs w:val="28"/>
        </w:rPr>
        <w:t xml:space="preserve">This would align the rule with </w:t>
      </w:r>
      <w:r w:rsidR="002720E8">
        <w:rPr>
          <w:sz w:val="28"/>
          <w:szCs w:val="28"/>
        </w:rPr>
        <w:t xml:space="preserve">the current requirements for formal hearings under </w:t>
      </w:r>
      <w:r w:rsidR="00706D53">
        <w:rPr>
          <w:sz w:val="28"/>
          <w:szCs w:val="28"/>
        </w:rPr>
        <w:t>Rule 36(f)(2)(A)</w:t>
      </w:r>
      <w:r w:rsidR="0079438F">
        <w:rPr>
          <w:sz w:val="28"/>
          <w:szCs w:val="28"/>
        </w:rPr>
        <w:t xml:space="preserve">, </w:t>
      </w:r>
      <w:r w:rsidR="000537C6">
        <w:rPr>
          <w:sz w:val="28"/>
          <w:szCs w:val="28"/>
        </w:rPr>
        <w:t xml:space="preserve">Ariz. R. Sup. Ct., </w:t>
      </w:r>
      <w:r w:rsidR="0079438F">
        <w:rPr>
          <w:sz w:val="28"/>
          <w:szCs w:val="28"/>
        </w:rPr>
        <w:t xml:space="preserve">and </w:t>
      </w:r>
      <w:r w:rsidR="00AD0FBE">
        <w:rPr>
          <w:sz w:val="28"/>
          <w:szCs w:val="28"/>
        </w:rPr>
        <w:t xml:space="preserve">would be </w:t>
      </w:r>
      <w:r w:rsidR="000537C6">
        <w:rPr>
          <w:sz w:val="28"/>
          <w:szCs w:val="28"/>
        </w:rPr>
        <w:t>preferable for the reasons discussed below.</w:t>
      </w:r>
      <w:r w:rsidR="008D65F4">
        <w:rPr>
          <w:sz w:val="28"/>
          <w:szCs w:val="28"/>
        </w:rPr>
        <w:t xml:space="preserve">  </w:t>
      </w:r>
      <w:r w:rsidR="00A53F85">
        <w:rPr>
          <w:sz w:val="28"/>
          <w:szCs w:val="28"/>
        </w:rPr>
        <w:t xml:space="preserve">In addition, </w:t>
      </w:r>
      <w:r w:rsidR="00CB32B3">
        <w:rPr>
          <w:sz w:val="28"/>
          <w:szCs w:val="28"/>
        </w:rPr>
        <w:t xml:space="preserve">Petitioner </w:t>
      </w:r>
      <w:r w:rsidR="00F67304">
        <w:rPr>
          <w:sz w:val="28"/>
          <w:szCs w:val="28"/>
        </w:rPr>
        <w:t xml:space="preserve">suggests the rule be changed slightly to allow a consent agreement between the State Bar and the Applicant, rather than requiring </w:t>
      </w:r>
      <w:r w:rsidR="009A6F53">
        <w:rPr>
          <w:sz w:val="28"/>
          <w:szCs w:val="28"/>
        </w:rPr>
        <w:t xml:space="preserve">a hearing by the Committee.  </w:t>
      </w:r>
      <w:r w:rsidR="00860160">
        <w:rPr>
          <w:sz w:val="28"/>
          <w:szCs w:val="28"/>
        </w:rPr>
        <w:t xml:space="preserve">The consent agreement could be proffered to the </w:t>
      </w:r>
      <w:r w:rsidR="00860160">
        <w:rPr>
          <w:sz w:val="28"/>
          <w:szCs w:val="28"/>
        </w:rPr>
        <w:lastRenderedPageBreak/>
        <w:t xml:space="preserve">Committee for its approval in </w:t>
      </w:r>
      <w:r w:rsidR="00EC58DD">
        <w:rPr>
          <w:sz w:val="28"/>
          <w:szCs w:val="28"/>
        </w:rPr>
        <w:t>a similar</w:t>
      </w:r>
      <w:r w:rsidR="00860160">
        <w:rPr>
          <w:sz w:val="28"/>
          <w:szCs w:val="28"/>
        </w:rPr>
        <w:t xml:space="preserve"> fashion </w:t>
      </w:r>
      <w:r w:rsidR="00912A5A">
        <w:rPr>
          <w:sz w:val="28"/>
          <w:szCs w:val="28"/>
        </w:rPr>
        <w:t>to</w:t>
      </w:r>
      <w:r w:rsidR="00860160">
        <w:rPr>
          <w:sz w:val="28"/>
          <w:szCs w:val="28"/>
        </w:rPr>
        <w:t xml:space="preserve"> a consent agreement between a Respondent and the State Bar i</w:t>
      </w:r>
      <w:r w:rsidR="005355AC">
        <w:rPr>
          <w:sz w:val="28"/>
          <w:szCs w:val="28"/>
        </w:rPr>
        <w:t>n the disciplinary context (</w:t>
      </w:r>
      <w:r w:rsidR="005355AC" w:rsidRPr="00EC58DD">
        <w:rPr>
          <w:i/>
          <w:iCs/>
          <w:sz w:val="28"/>
          <w:szCs w:val="28"/>
        </w:rPr>
        <w:t>see</w:t>
      </w:r>
      <w:r w:rsidR="00EC58DD">
        <w:rPr>
          <w:i/>
          <w:iCs/>
          <w:sz w:val="28"/>
          <w:szCs w:val="28"/>
        </w:rPr>
        <w:t>, e.g.,</w:t>
      </w:r>
      <w:r w:rsidR="005355AC">
        <w:rPr>
          <w:sz w:val="28"/>
          <w:szCs w:val="28"/>
        </w:rPr>
        <w:t xml:space="preserve"> Rule </w:t>
      </w:r>
      <w:r w:rsidR="00EC58DD">
        <w:rPr>
          <w:sz w:val="28"/>
          <w:szCs w:val="28"/>
        </w:rPr>
        <w:t xml:space="preserve">57, Ariz. R. Sup. Ct.).  </w:t>
      </w:r>
      <w:r w:rsidR="008D65F4">
        <w:rPr>
          <w:rFonts w:ascii="Times New Roman" w:hAnsi="Times New Roman"/>
          <w:sz w:val="28"/>
          <w:szCs w:val="28"/>
        </w:rPr>
        <w:t>The text of the proposed amendment</w:t>
      </w:r>
      <w:r w:rsidR="00EC58DD">
        <w:rPr>
          <w:rFonts w:ascii="Times New Roman" w:hAnsi="Times New Roman"/>
          <w:sz w:val="28"/>
          <w:szCs w:val="28"/>
        </w:rPr>
        <w:t>s</w:t>
      </w:r>
      <w:r w:rsidR="008D65F4">
        <w:rPr>
          <w:rFonts w:ascii="Times New Roman" w:hAnsi="Times New Roman"/>
          <w:sz w:val="28"/>
          <w:szCs w:val="28"/>
        </w:rPr>
        <w:t xml:space="preserve"> </w:t>
      </w:r>
      <w:r w:rsidR="00EC58DD">
        <w:rPr>
          <w:rFonts w:ascii="Times New Roman" w:hAnsi="Times New Roman"/>
          <w:sz w:val="28"/>
          <w:szCs w:val="28"/>
        </w:rPr>
        <w:t>is</w:t>
      </w:r>
      <w:r w:rsidR="008D65F4">
        <w:rPr>
          <w:rFonts w:ascii="Times New Roman" w:hAnsi="Times New Roman"/>
          <w:sz w:val="28"/>
          <w:szCs w:val="28"/>
        </w:rPr>
        <w:t xml:space="preserve"> set forth in </w:t>
      </w:r>
      <w:r w:rsidR="00733EA8">
        <w:rPr>
          <w:rFonts w:ascii="Times New Roman" w:hAnsi="Times New Roman"/>
          <w:sz w:val="28"/>
          <w:szCs w:val="28"/>
        </w:rPr>
        <w:t>Appendix</w:t>
      </w:r>
      <w:r w:rsidR="008D65F4">
        <w:rPr>
          <w:rFonts w:ascii="Times New Roman" w:hAnsi="Times New Roman"/>
          <w:sz w:val="28"/>
          <w:szCs w:val="28"/>
        </w:rPr>
        <w:t xml:space="preserve"> A (attached). </w:t>
      </w:r>
    </w:p>
    <w:p w14:paraId="28087431" w14:textId="3F51CE3D" w:rsidR="00642D64" w:rsidRPr="00AC427D" w:rsidRDefault="00A170AA" w:rsidP="00A170AA">
      <w:pPr>
        <w:ind w:firstLine="0"/>
        <w:jc w:val="center"/>
        <w:rPr>
          <w:b/>
          <w:bCs/>
          <w:color w:val="000000"/>
          <w:sz w:val="28"/>
          <w:szCs w:val="28"/>
          <w:u w:val="single"/>
        </w:rPr>
      </w:pPr>
      <w:r w:rsidRPr="00AC427D">
        <w:rPr>
          <w:b/>
          <w:bCs/>
          <w:color w:val="000000"/>
          <w:sz w:val="28"/>
          <w:szCs w:val="28"/>
          <w:u w:val="single"/>
        </w:rPr>
        <w:t>DISCUSSION</w:t>
      </w:r>
    </w:p>
    <w:p w14:paraId="43CB4791" w14:textId="1F36FCE6" w:rsidR="00330108" w:rsidRPr="00124AAB" w:rsidRDefault="00FD0917" w:rsidP="00124AAB">
      <w:pPr>
        <w:ind w:firstLine="0"/>
        <w:jc w:val="both"/>
        <w:rPr>
          <w:color w:val="000000"/>
          <w:sz w:val="28"/>
          <w:szCs w:val="28"/>
          <w:u w:val="single"/>
        </w:rPr>
      </w:pPr>
      <w:r w:rsidRPr="00FD0917">
        <w:rPr>
          <w:color w:val="000000"/>
          <w:sz w:val="28"/>
          <w:szCs w:val="28"/>
        </w:rPr>
        <w:t>A.</w:t>
      </w:r>
      <w:r w:rsidRPr="00FD0917">
        <w:rPr>
          <w:color w:val="000000"/>
          <w:sz w:val="28"/>
          <w:szCs w:val="28"/>
        </w:rPr>
        <w:tab/>
      </w:r>
      <w:r w:rsidR="00BE0FD1" w:rsidRPr="00BE0FD1">
        <w:rPr>
          <w:color w:val="000000"/>
          <w:sz w:val="28"/>
          <w:szCs w:val="28"/>
          <w:u w:val="single"/>
        </w:rPr>
        <w:t xml:space="preserve">The </w:t>
      </w:r>
      <w:r w:rsidR="00330108" w:rsidRPr="00124AAB">
        <w:rPr>
          <w:color w:val="000000"/>
          <w:sz w:val="28"/>
          <w:szCs w:val="28"/>
          <w:u w:val="single"/>
        </w:rPr>
        <w:t>Number of Committee Members Required at Hearing</w:t>
      </w:r>
      <w:r w:rsidR="00BE0FD1">
        <w:rPr>
          <w:color w:val="000000"/>
          <w:sz w:val="28"/>
          <w:szCs w:val="28"/>
          <w:u w:val="single"/>
        </w:rPr>
        <w:t xml:space="preserve"> Should Be Reduced.</w:t>
      </w:r>
    </w:p>
    <w:p w14:paraId="3A09BEDE" w14:textId="77777777" w:rsidR="00CC7FF8" w:rsidRDefault="00CC0704" w:rsidP="00CC7FF8">
      <w:pPr>
        <w:ind w:firstLine="720"/>
        <w:jc w:val="both"/>
        <w:rPr>
          <w:color w:val="000000"/>
          <w:sz w:val="28"/>
          <w:szCs w:val="28"/>
        </w:rPr>
      </w:pPr>
      <w:r>
        <w:rPr>
          <w:color w:val="000000"/>
          <w:sz w:val="28"/>
          <w:szCs w:val="28"/>
        </w:rPr>
        <w:t xml:space="preserve">The number of </w:t>
      </w:r>
      <w:r w:rsidR="00CC7FF8">
        <w:rPr>
          <w:color w:val="000000"/>
          <w:sz w:val="28"/>
          <w:szCs w:val="28"/>
        </w:rPr>
        <w:t>Committee members required to attend a hearing regarding a possible violation of an Order of Conditional Admission should be reduced to 5 members, just like the requirement for formal hearings.</w:t>
      </w:r>
    </w:p>
    <w:p w14:paraId="25589ABE" w14:textId="54617671" w:rsidR="001E0280" w:rsidRDefault="001E0280" w:rsidP="00CC7FF8">
      <w:pPr>
        <w:ind w:firstLine="720"/>
        <w:jc w:val="both"/>
        <w:rPr>
          <w:color w:val="000000"/>
          <w:sz w:val="28"/>
          <w:szCs w:val="28"/>
        </w:rPr>
      </w:pPr>
      <w:r>
        <w:rPr>
          <w:color w:val="000000"/>
          <w:sz w:val="28"/>
          <w:szCs w:val="28"/>
        </w:rPr>
        <w:t xml:space="preserve">Prior to 2015, formal hearings required a majority of the Committee to attend.  </w:t>
      </w:r>
    </w:p>
    <w:p w14:paraId="533535F3" w14:textId="0E0EFAB4" w:rsidR="001E0280" w:rsidRPr="00A170AA" w:rsidRDefault="00BF43DA" w:rsidP="001E0280">
      <w:pPr>
        <w:ind w:firstLine="0"/>
        <w:jc w:val="both"/>
        <w:rPr>
          <w:color w:val="000000"/>
          <w:sz w:val="28"/>
          <w:szCs w:val="28"/>
        </w:rPr>
      </w:pPr>
      <w:r>
        <w:rPr>
          <w:color w:val="000000"/>
          <w:sz w:val="28"/>
          <w:szCs w:val="28"/>
        </w:rPr>
        <w:t xml:space="preserve">On January 1, 2015, it was </w:t>
      </w:r>
      <w:r w:rsidR="001E0280">
        <w:rPr>
          <w:color w:val="000000"/>
          <w:sz w:val="28"/>
          <w:szCs w:val="28"/>
        </w:rPr>
        <w:t xml:space="preserve">reduced to </w:t>
      </w:r>
      <w:r w:rsidR="00107549">
        <w:rPr>
          <w:color w:val="000000"/>
          <w:sz w:val="28"/>
          <w:szCs w:val="28"/>
        </w:rPr>
        <w:t>5</w:t>
      </w:r>
      <w:r w:rsidR="001E0280">
        <w:rPr>
          <w:color w:val="000000"/>
          <w:sz w:val="28"/>
          <w:szCs w:val="28"/>
        </w:rPr>
        <w:t xml:space="preserve"> members.  (</w:t>
      </w:r>
      <w:r w:rsidR="001E0280" w:rsidRPr="00336F38">
        <w:rPr>
          <w:i/>
          <w:iCs/>
          <w:color w:val="000000"/>
          <w:sz w:val="28"/>
          <w:szCs w:val="28"/>
        </w:rPr>
        <w:t>See</w:t>
      </w:r>
      <w:r w:rsidR="001E0280">
        <w:rPr>
          <w:color w:val="000000"/>
          <w:sz w:val="28"/>
          <w:szCs w:val="28"/>
        </w:rPr>
        <w:t xml:space="preserve"> Petition R-14-0011 and resulting Supreme Court Order filed 10/14/2014.)</w:t>
      </w:r>
      <w:r>
        <w:rPr>
          <w:color w:val="000000"/>
          <w:sz w:val="28"/>
          <w:szCs w:val="28"/>
        </w:rPr>
        <w:t xml:space="preserve">  </w:t>
      </w:r>
      <w:r w:rsidR="00E25F6A">
        <w:rPr>
          <w:color w:val="000000"/>
          <w:sz w:val="28"/>
          <w:szCs w:val="28"/>
        </w:rPr>
        <w:t>I</w:t>
      </w:r>
      <w:r>
        <w:rPr>
          <w:color w:val="000000"/>
          <w:sz w:val="28"/>
          <w:szCs w:val="28"/>
        </w:rPr>
        <w:t xml:space="preserve"> </w:t>
      </w:r>
      <w:r w:rsidR="00AE579E">
        <w:rPr>
          <w:color w:val="000000"/>
          <w:sz w:val="28"/>
          <w:szCs w:val="28"/>
        </w:rPr>
        <w:t xml:space="preserve">do not recall being involved in the discussions leading to those changes, likely because </w:t>
      </w:r>
      <w:r w:rsidR="00E25F6A">
        <w:rPr>
          <w:color w:val="000000"/>
          <w:sz w:val="28"/>
          <w:szCs w:val="28"/>
        </w:rPr>
        <w:t>I</w:t>
      </w:r>
      <w:r w:rsidR="00AE579E">
        <w:rPr>
          <w:color w:val="000000"/>
          <w:sz w:val="28"/>
          <w:szCs w:val="28"/>
        </w:rPr>
        <w:t xml:space="preserve"> moved to Texas in 2014</w:t>
      </w:r>
      <w:r w:rsidR="005C0247">
        <w:rPr>
          <w:color w:val="000000"/>
          <w:sz w:val="28"/>
          <w:szCs w:val="28"/>
        </w:rPr>
        <w:t xml:space="preserve"> (I returned to Arizona full-time in 2020)</w:t>
      </w:r>
      <w:r w:rsidR="000B17EF">
        <w:rPr>
          <w:color w:val="000000"/>
          <w:sz w:val="28"/>
          <w:szCs w:val="28"/>
        </w:rPr>
        <w:t xml:space="preserve">.  </w:t>
      </w:r>
      <w:r w:rsidR="005C0247">
        <w:rPr>
          <w:color w:val="000000"/>
          <w:sz w:val="28"/>
          <w:szCs w:val="28"/>
        </w:rPr>
        <w:t>I</w:t>
      </w:r>
      <w:r w:rsidR="000B17EF">
        <w:rPr>
          <w:color w:val="000000"/>
          <w:sz w:val="28"/>
          <w:szCs w:val="28"/>
        </w:rPr>
        <w:t xml:space="preserve"> assume the reasoning was that it had always been difficult to </w:t>
      </w:r>
      <w:r w:rsidR="00994168">
        <w:rPr>
          <w:color w:val="000000"/>
          <w:sz w:val="28"/>
          <w:szCs w:val="28"/>
        </w:rPr>
        <w:t xml:space="preserve">schedule formal hearings </w:t>
      </w:r>
      <w:r w:rsidR="009A3850">
        <w:rPr>
          <w:color w:val="000000"/>
          <w:sz w:val="28"/>
          <w:szCs w:val="28"/>
        </w:rPr>
        <w:t xml:space="preserve">with a majority of the Committee in attendance.  There are currently 19 members of the Committee. </w:t>
      </w:r>
      <w:r w:rsidR="00FA360C">
        <w:rPr>
          <w:color w:val="000000"/>
          <w:sz w:val="28"/>
          <w:szCs w:val="28"/>
        </w:rPr>
        <w:t xml:space="preserve"> It seems to me that there were less in the past, but even if there were 17, a majority would be </w:t>
      </w:r>
      <w:r w:rsidR="00CF3F85">
        <w:rPr>
          <w:color w:val="000000"/>
          <w:sz w:val="28"/>
          <w:szCs w:val="28"/>
        </w:rPr>
        <w:t xml:space="preserve">9, and that is a significant number of </w:t>
      </w:r>
      <w:r w:rsidR="00107549">
        <w:rPr>
          <w:color w:val="000000"/>
          <w:sz w:val="28"/>
          <w:szCs w:val="28"/>
        </w:rPr>
        <w:t>volunteers</w:t>
      </w:r>
      <w:r w:rsidR="00CF3F85">
        <w:rPr>
          <w:color w:val="000000"/>
          <w:sz w:val="28"/>
          <w:szCs w:val="28"/>
        </w:rPr>
        <w:t xml:space="preserve"> to coordinate</w:t>
      </w:r>
      <w:r w:rsidR="00107549">
        <w:rPr>
          <w:color w:val="000000"/>
          <w:sz w:val="28"/>
          <w:szCs w:val="28"/>
        </w:rPr>
        <w:t>—not to mention the Applicant and the Applicant’s counsel and witnesses, if any.</w:t>
      </w:r>
      <w:r w:rsidR="009A3850">
        <w:rPr>
          <w:color w:val="000000"/>
          <w:sz w:val="28"/>
          <w:szCs w:val="28"/>
        </w:rPr>
        <w:t xml:space="preserve"> </w:t>
      </w:r>
      <w:r w:rsidR="001E0280">
        <w:rPr>
          <w:color w:val="000000"/>
          <w:sz w:val="28"/>
          <w:szCs w:val="28"/>
        </w:rPr>
        <w:t xml:space="preserve"> </w:t>
      </w:r>
      <w:r w:rsidR="001C341E">
        <w:rPr>
          <w:color w:val="000000"/>
          <w:sz w:val="28"/>
          <w:szCs w:val="28"/>
        </w:rPr>
        <w:t xml:space="preserve">With a 19-member Committee, that means 10 </w:t>
      </w:r>
      <w:r w:rsidR="002B3DD4">
        <w:rPr>
          <w:color w:val="000000"/>
          <w:sz w:val="28"/>
          <w:szCs w:val="28"/>
        </w:rPr>
        <w:t xml:space="preserve">members would have to be in attendance.  </w:t>
      </w:r>
      <w:r w:rsidR="00107549">
        <w:rPr>
          <w:color w:val="000000"/>
          <w:sz w:val="28"/>
          <w:szCs w:val="28"/>
        </w:rPr>
        <w:t>The reduction to 5 members made sense and has worked out satisfactorily.</w:t>
      </w:r>
      <w:r w:rsidR="001E0280">
        <w:rPr>
          <w:color w:val="000000"/>
          <w:sz w:val="28"/>
          <w:szCs w:val="28"/>
        </w:rPr>
        <w:t xml:space="preserve">    </w:t>
      </w:r>
    </w:p>
    <w:p w14:paraId="7BE63F3A" w14:textId="3CEEDE71" w:rsidR="00394BCC" w:rsidRDefault="00BC66CD" w:rsidP="00107549">
      <w:pPr>
        <w:ind w:firstLine="720"/>
        <w:jc w:val="both"/>
        <w:rPr>
          <w:color w:val="000000"/>
          <w:sz w:val="28"/>
          <w:szCs w:val="28"/>
        </w:rPr>
      </w:pPr>
      <w:r>
        <w:rPr>
          <w:color w:val="000000"/>
          <w:sz w:val="28"/>
          <w:szCs w:val="28"/>
        </w:rPr>
        <w:lastRenderedPageBreak/>
        <w:t xml:space="preserve">I have </w:t>
      </w:r>
      <w:r w:rsidR="002E3EAC">
        <w:rPr>
          <w:color w:val="000000"/>
          <w:sz w:val="28"/>
          <w:szCs w:val="28"/>
        </w:rPr>
        <w:t xml:space="preserve">represented </w:t>
      </w:r>
      <w:r w:rsidR="004E1A98">
        <w:rPr>
          <w:color w:val="000000"/>
          <w:sz w:val="28"/>
          <w:szCs w:val="28"/>
        </w:rPr>
        <w:t xml:space="preserve">well </w:t>
      </w:r>
      <w:r w:rsidR="002E3EAC">
        <w:rPr>
          <w:color w:val="000000"/>
          <w:sz w:val="28"/>
          <w:szCs w:val="28"/>
        </w:rPr>
        <w:t xml:space="preserve">over </w:t>
      </w:r>
      <w:r w:rsidR="004E1A98">
        <w:rPr>
          <w:color w:val="000000"/>
          <w:sz w:val="28"/>
          <w:szCs w:val="28"/>
        </w:rPr>
        <w:t>2</w:t>
      </w:r>
      <w:r w:rsidR="002E3EAC">
        <w:rPr>
          <w:color w:val="000000"/>
          <w:sz w:val="28"/>
          <w:szCs w:val="28"/>
        </w:rPr>
        <w:t xml:space="preserve">00 </w:t>
      </w:r>
      <w:r w:rsidR="004E1A98">
        <w:rPr>
          <w:color w:val="000000"/>
          <w:sz w:val="28"/>
          <w:szCs w:val="28"/>
        </w:rPr>
        <w:t xml:space="preserve">character and fitness </w:t>
      </w:r>
      <w:r w:rsidR="00504D78">
        <w:rPr>
          <w:color w:val="000000"/>
          <w:sz w:val="28"/>
          <w:szCs w:val="28"/>
        </w:rPr>
        <w:t>A</w:t>
      </w:r>
      <w:r w:rsidR="002E3EAC">
        <w:rPr>
          <w:color w:val="000000"/>
          <w:sz w:val="28"/>
          <w:szCs w:val="28"/>
        </w:rPr>
        <w:t>pplicants</w:t>
      </w:r>
      <w:r w:rsidR="004E1A98">
        <w:rPr>
          <w:color w:val="000000"/>
          <w:sz w:val="28"/>
          <w:szCs w:val="28"/>
        </w:rPr>
        <w:t xml:space="preserve"> </w:t>
      </w:r>
      <w:r w:rsidR="002E3EAC">
        <w:rPr>
          <w:color w:val="000000"/>
          <w:sz w:val="28"/>
          <w:szCs w:val="28"/>
        </w:rPr>
        <w:t>since approximately 2008.</w:t>
      </w:r>
      <w:r w:rsidR="00FE5981">
        <w:rPr>
          <w:color w:val="000000"/>
          <w:sz w:val="28"/>
          <w:szCs w:val="28"/>
        </w:rPr>
        <w:t xml:space="preserve">  </w:t>
      </w:r>
      <w:r w:rsidR="00834F44">
        <w:rPr>
          <w:color w:val="000000"/>
          <w:sz w:val="28"/>
          <w:szCs w:val="28"/>
        </w:rPr>
        <w:t xml:space="preserve">However, although </w:t>
      </w:r>
      <w:r>
        <w:rPr>
          <w:color w:val="000000"/>
          <w:sz w:val="28"/>
          <w:szCs w:val="28"/>
        </w:rPr>
        <w:t>I have</w:t>
      </w:r>
      <w:r w:rsidR="00834F44">
        <w:rPr>
          <w:color w:val="000000"/>
          <w:sz w:val="28"/>
          <w:szCs w:val="28"/>
        </w:rPr>
        <w:t xml:space="preserve"> </w:t>
      </w:r>
      <w:r w:rsidR="00504D78">
        <w:rPr>
          <w:color w:val="000000"/>
          <w:sz w:val="28"/>
          <w:szCs w:val="28"/>
        </w:rPr>
        <w:t>represented</w:t>
      </w:r>
      <w:r w:rsidR="00834F44">
        <w:rPr>
          <w:color w:val="000000"/>
          <w:sz w:val="28"/>
          <w:szCs w:val="28"/>
        </w:rPr>
        <w:t xml:space="preserve"> </w:t>
      </w:r>
      <w:r w:rsidR="00504D78">
        <w:rPr>
          <w:color w:val="000000"/>
          <w:sz w:val="28"/>
          <w:szCs w:val="28"/>
        </w:rPr>
        <w:t xml:space="preserve">Applicants in numerous </w:t>
      </w:r>
      <w:r w:rsidR="00834F44">
        <w:rPr>
          <w:color w:val="000000"/>
          <w:sz w:val="28"/>
          <w:szCs w:val="28"/>
        </w:rPr>
        <w:t xml:space="preserve">informal inquiries and formal hearings, </w:t>
      </w:r>
      <w:r>
        <w:rPr>
          <w:color w:val="000000"/>
          <w:sz w:val="28"/>
          <w:szCs w:val="28"/>
        </w:rPr>
        <w:t>I had</w:t>
      </w:r>
      <w:r w:rsidR="008D2103">
        <w:rPr>
          <w:color w:val="000000"/>
          <w:sz w:val="28"/>
          <w:szCs w:val="28"/>
        </w:rPr>
        <w:t xml:space="preserve"> not, until recently, had occasion to represent a </w:t>
      </w:r>
      <w:r w:rsidR="00504D78">
        <w:rPr>
          <w:color w:val="000000"/>
          <w:sz w:val="28"/>
          <w:szCs w:val="28"/>
        </w:rPr>
        <w:t>C</w:t>
      </w:r>
      <w:r w:rsidR="008D2103">
        <w:rPr>
          <w:color w:val="000000"/>
          <w:sz w:val="28"/>
          <w:szCs w:val="28"/>
        </w:rPr>
        <w:t xml:space="preserve">onditional </w:t>
      </w:r>
      <w:r w:rsidR="00504D78">
        <w:rPr>
          <w:color w:val="000000"/>
          <w:sz w:val="28"/>
          <w:szCs w:val="28"/>
        </w:rPr>
        <w:t>A</w:t>
      </w:r>
      <w:r w:rsidR="008D2103">
        <w:rPr>
          <w:color w:val="000000"/>
          <w:sz w:val="28"/>
          <w:szCs w:val="28"/>
        </w:rPr>
        <w:t xml:space="preserve">dmittee </w:t>
      </w:r>
      <w:r w:rsidR="001652D0">
        <w:rPr>
          <w:color w:val="000000"/>
          <w:sz w:val="28"/>
          <w:szCs w:val="28"/>
        </w:rPr>
        <w:t>pertaining to</w:t>
      </w:r>
      <w:r w:rsidR="00F7240B">
        <w:rPr>
          <w:color w:val="000000"/>
          <w:sz w:val="28"/>
          <w:szCs w:val="28"/>
        </w:rPr>
        <w:t xml:space="preserve"> </w:t>
      </w:r>
      <w:r w:rsidR="00CF616E">
        <w:rPr>
          <w:color w:val="000000"/>
          <w:sz w:val="28"/>
          <w:szCs w:val="28"/>
        </w:rPr>
        <w:t>an alleged violation of Order of Conditional Admission</w:t>
      </w:r>
      <w:r w:rsidR="001652D0">
        <w:rPr>
          <w:color w:val="000000"/>
          <w:sz w:val="28"/>
          <w:szCs w:val="28"/>
        </w:rPr>
        <w:t xml:space="preserve">.  </w:t>
      </w:r>
      <w:r>
        <w:rPr>
          <w:color w:val="000000"/>
          <w:sz w:val="28"/>
          <w:szCs w:val="28"/>
        </w:rPr>
        <w:t xml:space="preserve">Consequently, I </w:t>
      </w:r>
      <w:r w:rsidR="001652D0">
        <w:rPr>
          <w:color w:val="000000"/>
          <w:sz w:val="28"/>
          <w:szCs w:val="28"/>
        </w:rPr>
        <w:t>only recently noticed tha</w:t>
      </w:r>
      <w:r w:rsidR="00BC1ED7">
        <w:rPr>
          <w:color w:val="000000"/>
          <w:sz w:val="28"/>
          <w:szCs w:val="28"/>
        </w:rPr>
        <w:t xml:space="preserve">t a majority of </w:t>
      </w:r>
      <w:r w:rsidR="00A0429A">
        <w:rPr>
          <w:color w:val="000000"/>
          <w:sz w:val="28"/>
          <w:szCs w:val="28"/>
        </w:rPr>
        <w:t>the Committee is</w:t>
      </w:r>
      <w:r w:rsidR="009C6CDD">
        <w:rPr>
          <w:color w:val="000000"/>
          <w:sz w:val="28"/>
          <w:szCs w:val="28"/>
        </w:rPr>
        <w:t xml:space="preserve"> required for a hearing under </w:t>
      </w:r>
      <w:r w:rsidR="0022369F">
        <w:rPr>
          <w:color w:val="000000"/>
          <w:sz w:val="28"/>
          <w:szCs w:val="28"/>
        </w:rPr>
        <w:t>Rule 36(f)(6</w:t>
      </w:r>
      <w:r w:rsidR="00997C56">
        <w:rPr>
          <w:color w:val="000000"/>
          <w:sz w:val="28"/>
          <w:szCs w:val="28"/>
        </w:rPr>
        <w:t>), in contrast to</w:t>
      </w:r>
      <w:r w:rsidR="009C6CDD">
        <w:rPr>
          <w:color w:val="000000"/>
          <w:sz w:val="28"/>
          <w:szCs w:val="28"/>
        </w:rPr>
        <w:t xml:space="preserve"> </w:t>
      </w:r>
      <w:r w:rsidR="00997C56">
        <w:rPr>
          <w:color w:val="000000"/>
          <w:sz w:val="28"/>
          <w:szCs w:val="28"/>
        </w:rPr>
        <w:t>the 5</w:t>
      </w:r>
      <w:r w:rsidR="00881EB7">
        <w:rPr>
          <w:color w:val="000000"/>
          <w:sz w:val="28"/>
          <w:szCs w:val="28"/>
        </w:rPr>
        <w:t>-</w:t>
      </w:r>
      <w:r w:rsidR="00514A41">
        <w:rPr>
          <w:color w:val="000000"/>
          <w:sz w:val="28"/>
          <w:szCs w:val="28"/>
        </w:rPr>
        <w:t>member</w:t>
      </w:r>
      <w:r w:rsidR="00997C56">
        <w:rPr>
          <w:color w:val="000000"/>
          <w:sz w:val="28"/>
          <w:szCs w:val="28"/>
        </w:rPr>
        <w:t xml:space="preserve"> requirement for formal hearings</w:t>
      </w:r>
      <w:r w:rsidR="00514A41">
        <w:rPr>
          <w:color w:val="000000"/>
          <w:sz w:val="28"/>
          <w:szCs w:val="28"/>
        </w:rPr>
        <w:t>.</w:t>
      </w:r>
      <w:r w:rsidR="00881EB7">
        <w:rPr>
          <w:color w:val="000000"/>
          <w:sz w:val="28"/>
          <w:szCs w:val="28"/>
        </w:rPr>
        <w:t xml:space="preserve">  </w:t>
      </w:r>
      <w:r w:rsidR="00FD0146">
        <w:rPr>
          <w:color w:val="000000"/>
          <w:sz w:val="28"/>
          <w:szCs w:val="28"/>
        </w:rPr>
        <w:t xml:space="preserve">It is not clear why </w:t>
      </w:r>
      <w:r w:rsidR="00A93962">
        <w:rPr>
          <w:color w:val="000000"/>
          <w:sz w:val="28"/>
          <w:szCs w:val="28"/>
        </w:rPr>
        <w:t>there is a difference.</w:t>
      </w:r>
      <w:r w:rsidR="00D472AF">
        <w:rPr>
          <w:color w:val="000000"/>
          <w:sz w:val="28"/>
          <w:szCs w:val="28"/>
        </w:rPr>
        <w:t xml:space="preserve"> </w:t>
      </w:r>
      <w:r w:rsidR="00A93962">
        <w:rPr>
          <w:color w:val="000000"/>
          <w:sz w:val="28"/>
          <w:szCs w:val="28"/>
        </w:rPr>
        <w:t xml:space="preserve"> </w:t>
      </w:r>
    </w:p>
    <w:p w14:paraId="016B5411" w14:textId="340ED368" w:rsidR="00A170AA" w:rsidRDefault="00394BCC" w:rsidP="00107549">
      <w:pPr>
        <w:ind w:firstLine="720"/>
        <w:jc w:val="both"/>
        <w:rPr>
          <w:color w:val="000000"/>
          <w:sz w:val="28"/>
          <w:szCs w:val="28"/>
        </w:rPr>
      </w:pPr>
      <w:r>
        <w:rPr>
          <w:color w:val="000000"/>
          <w:sz w:val="28"/>
          <w:szCs w:val="28"/>
        </w:rPr>
        <w:t>Recently, a hearing for a Conditional Admittee was vacated</w:t>
      </w:r>
      <w:r w:rsidR="009A4C90">
        <w:rPr>
          <w:color w:val="000000"/>
          <w:sz w:val="28"/>
          <w:szCs w:val="28"/>
        </w:rPr>
        <w:t xml:space="preserve"> the evening before</w:t>
      </w:r>
      <w:r w:rsidR="00306A11">
        <w:rPr>
          <w:color w:val="000000"/>
          <w:sz w:val="28"/>
          <w:szCs w:val="28"/>
        </w:rPr>
        <w:t xml:space="preserve">, due to an inability to have a majority of the Committee members present.  </w:t>
      </w:r>
      <w:r w:rsidR="002E693A">
        <w:rPr>
          <w:color w:val="000000"/>
          <w:sz w:val="28"/>
          <w:szCs w:val="28"/>
        </w:rPr>
        <w:t xml:space="preserve">If only 5 members had to attend out of 19, the likelihood of something like that occurring drastically declines. </w:t>
      </w:r>
      <w:r w:rsidR="005F72D9">
        <w:rPr>
          <w:color w:val="000000"/>
          <w:sz w:val="28"/>
          <w:szCs w:val="28"/>
        </w:rPr>
        <w:t xml:space="preserve"> This would be beneficial for all concerned.  </w:t>
      </w:r>
      <w:r w:rsidR="006F274D">
        <w:rPr>
          <w:color w:val="000000"/>
          <w:sz w:val="28"/>
          <w:szCs w:val="28"/>
        </w:rPr>
        <w:t xml:space="preserve">The Conditional Admittee would still have </w:t>
      </w:r>
      <w:r w:rsidR="00B5586F">
        <w:rPr>
          <w:color w:val="000000"/>
          <w:sz w:val="28"/>
          <w:szCs w:val="28"/>
        </w:rPr>
        <w:t>the</w:t>
      </w:r>
      <w:r w:rsidR="006F274D">
        <w:rPr>
          <w:color w:val="000000"/>
          <w:sz w:val="28"/>
          <w:szCs w:val="28"/>
        </w:rPr>
        <w:t xml:space="preserve"> opportunity to appeal any adverse decision to this Court</w:t>
      </w:r>
      <w:r w:rsidR="00330108">
        <w:rPr>
          <w:color w:val="000000"/>
          <w:sz w:val="28"/>
          <w:szCs w:val="28"/>
        </w:rPr>
        <w:t xml:space="preserve">, so I see no concern about giving up any rights.  </w:t>
      </w:r>
      <w:r w:rsidR="00514A41">
        <w:rPr>
          <w:color w:val="000000"/>
          <w:sz w:val="28"/>
          <w:szCs w:val="28"/>
        </w:rPr>
        <w:t xml:space="preserve"> </w:t>
      </w:r>
    </w:p>
    <w:p w14:paraId="14482E9F" w14:textId="7070F766" w:rsidR="00C645F0" w:rsidRDefault="00FD0917" w:rsidP="00FD0917">
      <w:pPr>
        <w:ind w:left="720" w:hanging="720"/>
        <w:jc w:val="both"/>
        <w:rPr>
          <w:color w:val="000000"/>
          <w:sz w:val="28"/>
          <w:szCs w:val="28"/>
          <w:u w:val="single"/>
        </w:rPr>
      </w:pPr>
      <w:r>
        <w:rPr>
          <w:color w:val="000000"/>
          <w:sz w:val="28"/>
          <w:szCs w:val="28"/>
        </w:rPr>
        <w:t>B.</w:t>
      </w:r>
      <w:r>
        <w:rPr>
          <w:color w:val="000000"/>
          <w:sz w:val="28"/>
          <w:szCs w:val="28"/>
        </w:rPr>
        <w:tab/>
      </w:r>
      <w:r w:rsidR="00C645F0" w:rsidRPr="00FD0917">
        <w:rPr>
          <w:color w:val="000000"/>
          <w:sz w:val="28"/>
          <w:szCs w:val="28"/>
          <w:u w:val="single"/>
        </w:rPr>
        <w:t xml:space="preserve">The State Bar and the Conditional Admittee Should </w:t>
      </w:r>
      <w:r w:rsidR="00124AAB" w:rsidRPr="00FD0917">
        <w:rPr>
          <w:color w:val="000000"/>
          <w:sz w:val="28"/>
          <w:szCs w:val="28"/>
          <w:u w:val="single"/>
        </w:rPr>
        <w:t>Be Allowed to Submit a Proposed Consent Agreement.</w:t>
      </w:r>
    </w:p>
    <w:p w14:paraId="08D07C29" w14:textId="46DEC731" w:rsidR="00BE0FD1" w:rsidRDefault="00564797" w:rsidP="00307E4A">
      <w:pPr>
        <w:ind w:firstLine="720"/>
        <w:jc w:val="both"/>
        <w:rPr>
          <w:color w:val="000000"/>
          <w:sz w:val="28"/>
          <w:szCs w:val="28"/>
        </w:rPr>
      </w:pPr>
      <w:r>
        <w:rPr>
          <w:color w:val="000000"/>
          <w:sz w:val="28"/>
          <w:szCs w:val="28"/>
        </w:rPr>
        <w:t xml:space="preserve">Currently, the rule provides that </w:t>
      </w:r>
      <w:r w:rsidR="00AC085F">
        <w:rPr>
          <w:color w:val="000000"/>
          <w:sz w:val="28"/>
          <w:szCs w:val="28"/>
        </w:rPr>
        <w:t>the Committee “must” hold a hearing to determine if there has been a violation of an Order of Conditional Admission.</w:t>
      </w:r>
    </w:p>
    <w:p w14:paraId="70BE9A52" w14:textId="6B9E0B9F" w:rsidR="00344D21" w:rsidRDefault="00A135F5" w:rsidP="00344D21">
      <w:pPr>
        <w:spacing w:line="240" w:lineRule="auto"/>
        <w:ind w:left="720" w:right="720" w:firstLine="720"/>
        <w:jc w:val="both"/>
        <w:rPr>
          <w:color w:val="000000"/>
          <w:sz w:val="28"/>
          <w:szCs w:val="28"/>
        </w:rPr>
      </w:pPr>
      <w:r w:rsidRPr="00A135F5">
        <w:rPr>
          <w:color w:val="000000"/>
          <w:sz w:val="28"/>
          <w:szCs w:val="28"/>
        </w:rPr>
        <w:t xml:space="preserve">6. Violation of Order of Conditional Admission. Upon determining that the conditional admittee has materially violated the terms of the conditional admission, bar counsel must file a notice of violation with the Committee and serve a copy on the conditional admittee. The filing of a notice of violation will automatically extend the conditional admission until the matter is resolved by the Committee. </w:t>
      </w:r>
      <w:r w:rsidRPr="00DB3D0F">
        <w:rPr>
          <w:color w:val="000000"/>
          <w:sz w:val="28"/>
          <w:szCs w:val="28"/>
          <w:u w:val="single"/>
        </w:rPr>
        <w:lastRenderedPageBreak/>
        <w:t>As soon as practicable, the Committee must hold a hearing to determine if the order has been violated.</w:t>
      </w:r>
      <w:r w:rsidRPr="00A135F5">
        <w:rPr>
          <w:color w:val="000000"/>
          <w:sz w:val="28"/>
          <w:szCs w:val="28"/>
        </w:rPr>
        <w:t xml:space="preserve"> The Committee chair, by order, shall establish the procedures associated with such hearing. The hearing panel for the violation hearing will consist of at least a majority of the current members of the Committee. The Chair or his or her designee will preside over the hearing. Bar counsel must prove a material violation by a preponderance of the evidence. The Committee's decision will require a concurrence of a majority of the panel members. If the Committee determines that a material violation has been proved, the Committee may revoke, extend, or modify the Order of Conditional Admission. The Committee's decision is final subject to the filing of a petition for review pursuant to paragraph (h). If the Committee determines that there was a material violation of the terms based on a violation of the ethical rules but did not revoke the Order of Conditional Admission, the Committee may refer the matter to the State Bar for discipline proceedings pursuant to Rule 55.</w:t>
      </w:r>
    </w:p>
    <w:p w14:paraId="47F65C25" w14:textId="77777777" w:rsidR="00DB3D0F" w:rsidRDefault="00DB3D0F" w:rsidP="00344D21">
      <w:pPr>
        <w:spacing w:line="240" w:lineRule="auto"/>
        <w:ind w:left="720" w:right="720" w:firstLine="720"/>
        <w:jc w:val="both"/>
        <w:rPr>
          <w:color w:val="000000"/>
          <w:sz w:val="28"/>
          <w:szCs w:val="28"/>
        </w:rPr>
      </w:pPr>
    </w:p>
    <w:p w14:paraId="16787272" w14:textId="7DEA324A" w:rsidR="00A135F5" w:rsidRDefault="00923EDC" w:rsidP="00344D21">
      <w:pPr>
        <w:ind w:firstLine="0"/>
        <w:jc w:val="both"/>
        <w:rPr>
          <w:color w:val="000000"/>
          <w:sz w:val="28"/>
          <w:szCs w:val="28"/>
        </w:rPr>
      </w:pPr>
      <w:r>
        <w:rPr>
          <w:color w:val="000000"/>
          <w:sz w:val="28"/>
          <w:szCs w:val="28"/>
        </w:rPr>
        <w:t xml:space="preserve">Rule 36(g)(6), Ariz. R. Sup. Ct. (emphasis added).  </w:t>
      </w:r>
    </w:p>
    <w:p w14:paraId="4B97515E" w14:textId="5431FD7E" w:rsidR="00307E4A" w:rsidRPr="00FD0917" w:rsidRDefault="00923EDC" w:rsidP="00307E4A">
      <w:pPr>
        <w:ind w:firstLine="720"/>
        <w:jc w:val="both"/>
        <w:rPr>
          <w:color w:val="000000"/>
          <w:sz w:val="28"/>
          <w:szCs w:val="28"/>
        </w:rPr>
      </w:pPr>
      <w:r>
        <w:rPr>
          <w:color w:val="000000"/>
          <w:sz w:val="28"/>
          <w:szCs w:val="28"/>
        </w:rPr>
        <w:t>This seems unnecessary</w:t>
      </w:r>
      <w:r w:rsidR="00B901FE">
        <w:rPr>
          <w:color w:val="000000"/>
          <w:sz w:val="28"/>
          <w:szCs w:val="28"/>
        </w:rPr>
        <w:t xml:space="preserve"> in some situations.  For example, w</w:t>
      </w:r>
      <w:r w:rsidR="00661641">
        <w:rPr>
          <w:color w:val="000000"/>
          <w:sz w:val="28"/>
          <w:szCs w:val="28"/>
        </w:rPr>
        <w:t>here the State Bar and the Conditional Admittee could agree</w:t>
      </w:r>
      <w:r w:rsidR="00E80A61">
        <w:rPr>
          <w:color w:val="000000"/>
          <w:sz w:val="28"/>
          <w:szCs w:val="28"/>
        </w:rPr>
        <w:t xml:space="preserve"> on</w:t>
      </w:r>
      <w:r w:rsidR="007303D8">
        <w:rPr>
          <w:color w:val="000000"/>
          <w:sz w:val="28"/>
          <w:szCs w:val="28"/>
        </w:rPr>
        <w:t xml:space="preserve"> an extension and/or modification of the </w:t>
      </w:r>
      <w:r w:rsidR="00E80A61">
        <w:rPr>
          <w:color w:val="000000"/>
          <w:sz w:val="28"/>
          <w:szCs w:val="28"/>
        </w:rPr>
        <w:t>Terms of Conditional Admission</w:t>
      </w:r>
      <w:r w:rsidR="00B901FE">
        <w:rPr>
          <w:color w:val="000000"/>
          <w:sz w:val="28"/>
          <w:szCs w:val="28"/>
        </w:rPr>
        <w:t xml:space="preserve">, they could present a consent agreement to the Committee for approval.  This would save time </w:t>
      </w:r>
      <w:r w:rsidR="00B35364">
        <w:rPr>
          <w:color w:val="000000"/>
          <w:sz w:val="28"/>
          <w:szCs w:val="28"/>
        </w:rPr>
        <w:t xml:space="preserve">for the Committee members, the </w:t>
      </w:r>
      <w:r w:rsidR="00B901FE">
        <w:rPr>
          <w:color w:val="000000"/>
          <w:sz w:val="28"/>
          <w:szCs w:val="28"/>
        </w:rPr>
        <w:t xml:space="preserve">State </w:t>
      </w:r>
      <w:r w:rsidR="00B35364">
        <w:rPr>
          <w:color w:val="000000"/>
          <w:sz w:val="28"/>
          <w:szCs w:val="28"/>
        </w:rPr>
        <w:t>Bar, the Court staff</w:t>
      </w:r>
      <w:r w:rsidR="00B901FE">
        <w:rPr>
          <w:color w:val="000000"/>
          <w:sz w:val="28"/>
          <w:szCs w:val="28"/>
        </w:rPr>
        <w:t>, and the Conditional Admittee</w:t>
      </w:r>
      <w:r w:rsidR="00B35364">
        <w:rPr>
          <w:color w:val="000000"/>
          <w:sz w:val="28"/>
          <w:szCs w:val="28"/>
        </w:rPr>
        <w:t>.</w:t>
      </w:r>
      <w:r w:rsidR="00B901FE">
        <w:rPr>
          <w:color w:val="000000"/>
          <w:sz w:val="28"/>
          <w:szCs w:val="28"/>
        </w:rPr>
        <w:t xml:space="preserve">  This is what happens in the disciplinary context.  </w:t>
      </w:r>
      <w:r w:rsidR="00B901FE">
        <w:rPr>
          <w:i/>
          <w:iCs/>
          <w:sz w:val="28"/>
          <w:szCs w:val="28"/>
        </w:rPr>
        <w:t>S</w:t>
      </w:r>
      <w:r w:rsidR="00B901FE" w:rsidRPr="00EC58DD">
        <w:rPr>
          <w:i/>
          <w:iCs/>
          <w:sz w:val="28"/>
          <w:szCs w:val="28"/>
        </w:rPr>
        <w:t>ee</w:t>
      </w:r>
      <w:r w:rsidR="00B901FE">
        <w:rPr>
          <w:sz w:val="28"/>
          <w:szCs w:val="28"/>
        </w:rPr>
        <w:t xml:space="preserve"> Rule 57</w:t>
      </w:r>
      <w:r w:rsidR="00C01D1B">
        <w:rPr>
          <w:sz w:val="28"/>
          <w:szCs w:val="28"/>
        </w:rPr>
        <w:t>(a)</w:t>
      </w:r>
      <w:r w:rsidR="00B901FE">
        <w:rPr>
          <w:sz w:val="28"/>
          <w:szCs w:val="28"/>
        </w:rPr>
        <w:t xml:space="preserve">, Ariz. R. Sup. Ct.  The Presiding Disciplinary Judge (“PDJ”) has the ability to accept or reject the consent agreement.  </w:t>
      </w:r>
      <w:r w:rsidR="003F750A" w:rsidRPr="00AD24E9">
        <w:rPr>
          <w:i/>
          <w:iCs/>
          <w:sz w:val="28"/>
          <w:szCs w:val="28"/>
        </w:rPr>
        <w:t>See id.</w:t>
      </w:r>
      <w:r w:rsidR="003F750A">
        <w:rPr>
          <w:sz w:val="28"/>
          <w:szCs w:val="28"/>
        </w:rPr>
        <w:t xml:space="preserve"> at </w:t>
      </w:r>
      <w:r w:rsidR="00C01D1B">
        <w:rPr>
          <w:sz w:val="28"/>
          <w:szCs w:val="28"/>
        </w:rPr>
        <w:t>sub (a)(</w:t>
      </w:r>
      <w:r w:rsidR="00AD24E9">
        <w:rPr>
          <w:sz w:val="28"/>
          <w:szCs w:val="28"/>
        </w:rPr>
        <w:t>4</w:t>
      </w:r>
      <w:r w:rsidR="00C01D1B">
        <w:rPr>
          <w:sz w:val="28"/>
          <w:szCs w:val="28"/>
        </w:rPr>
        <w:t xml:space="preserve">).  </w:t>
      </w:r>
      <w:r w:rsidR="00B901FE">
        <w:rPr>
          <w:sz w:val="28"/>
          <w:szCs w:val="28"/>
        </w:rPr>
        <w:t xml:space="preserve">The PDJ also has the ability to </w:t>
      </w:r>
      <w:r w:rsidR="00C31D8F">
        <w:rPr>
          <w:sz w:val="28"/>
          <w:szCs w:val="28"/>
        </w:rPr>
        <w:t>make suggested changes</w:t>
      </w:r>
      <w:r w:rsidR="00E80A61">
        <w:rPr>
          <w:sz w:val="28"/>
          <w:szCs w:val="28"/>
        </w:rPr>
        <w:t xml:space="preserve"> to the agreement</w:t>
      </w:r>
      <w:r w:rsidR="00C31D8F">
        <w:rPr>
          <w:sz w:val="28"/>
          <w:szCs w:val="28"/>
        </w:rPr>
        <w:t xml:space="preserve">.  </w:t>
      </w:r>
      <w:r w:rsidR="004230D4" w:rsidRPr="004230D4">
        <w:rPr>
          <w:i/>
          <w:iCs/>
          <w:sz w:val="28"/>
          <w:szCs w:val="28"/>
        </w:rPr>
        <w:t>Id</w:t>
      </w:r>
      <w:r w:rsidR="004230D4">
        <w:rPr>
          <w:sz w:val="28"/>
          <w:szCs w:val="28"/>
        </w:rPr>
        <w:t xml:space="preserve">.  </w:t>
      </w:r>
      <w:r w:rsidR="00D17D63">
        <w:rPr>
          <w:sz w:val="28"/>
          <w:szCs w:val="28"/>
        </w:rPr>
        <w:t>The same could apply in the character and fitness context—the State Bar and Conditional Admittee could submit a proposed consent agreement and the Committee could determine whether to accept</w:t>
      </w:r>
      <w:r w:rsidR="00785D01">
        <w:rPr>
          <w:sz w:val="28"/>
          <w:szCs w:val="28"/>
        </w:rPr>
        <w:t xml:space="preserve"> it</w:t>
      </w:r>
      <w:r w:rsidR="00D17D63">
        <w:rPr>
          <w:sz w:val="28"/>
          <w:szCs w:val="28"/>
        </w:rPr>
        <w:t>, reject</w:t>
      </w:r>
      <w:r w:rsidR="00785D01">
        <w:rPr>
          <w:sz w:val="28"/>
          <w:szCs w:val="28"/>
        </w:rPr>
        <w:t xml:space="preserve"> it</w:t>
      </w:r>
      <w:r w:rsidR="00D17D63">
        <w:rPr>
          <w:sz w:val="28"/>
          <w:szCs w:val="28"/>
        </w:rPr>
        <w:t>, or propose mo</w:t>
      </w:r>
      <w:r w:rsidR="00785D01">
        <w:rPr>
          <w:sz w:val="28"/>
          <w:szCs w:val="28"/>
        </w:rPr>
        <w:t xml:space="preserve">difications </w:t>
      </w:r>
      <w:r w:rsidR="00785D01">
        <w:rPr>
          <w:sz w:val="28"/>
          <w:szCs w:val="28"/>
        </w:rPr>
        <w:lastRenderedPageBreak/>
        <w:t xml:space="preserve">to it.  Thus, if there was any reason the Committee felt that it really needed to see the Conditional Admittee in person, that avenue would still be available.  </w:t>
      </w:r>
      <w:r w:rsidR="00046E5C">
        <w:rPr>
          <w:sz w:val="28"/>
          <w:szCs w:val="28"/>
        </w:rPr>
        <w:t xml:space="preserve">Proposed language will be included in </w:t>
      </w:r>
      <w:r w:rsidR="008F2957">
        <w:rPr>
          <w:sz w:val="28"/>
          <w:szCs w:val="28"/>
        </w:rPr>
        <w:t>the accompanying Appendix</w:t>
      </w:r>
      <w:r w:rsidR="00046E5C">
        <w:rPr>
          <w:sz w:val="28"/>
          <w:szCs w:val="28"/>
        </w:rPr>
        <w:t xml:space="preserve">  A. </w:t>
      </w:r>
    </w:p>
    <w:p w14:paraId="73770A19" w14:textId="25FBE3C2" w:rsidR="00A170AA" w:rsidRPr="00AC427D" w:rsidRDefault="00A170AA" w:rsidP="00A170AA">
      <w:pPr>
        <w:ind w:firstLine="0"/>
        <w:jc w:val="center"/>
        <w:rPr>
          <w:b/>
          <w:bCs/>
          <w:color w:val="000000"/>
          <w:sz w:val="28"/>
          <w:szCs w:val="28"/>
          <w:u w:val="single"/>
        </w:rPr>
      </w:pPr>
      <w:r w:rsidRPr="00AC427D">
        <w:rPr>
          <w:b/>
          <w:bCs/>
          <w:color w:val="000000"/>
          <w:sz w:val="28"/>
          <w:szCs w:val="28"/>
          <w:u w:val="single"/>
        </w:rPr>
        <w:t>CONCLUSION</w:t>
      </w:r>
    </w:p>
    <w:p w14:paraId="5FF7374B" w14:textId="6AD06D21" w:rsidR="009C3595" w:rsidRPr="00AC427D" w:rsidRDefault="003530D4" w:rsidP="00AC427D">
      <w:pPr>
        <w:pStyle w:val="Body"/>
        <w:widowControl w:val="0"/>
        <w:tabs>
          <w:tab w:val="left" w:pos="720"/>
        </w:tabs>
        <w:spacing w:line="480" w:lineRule="auto"/>
        <w:ind w:firstLine="0"/>
        <w:jc w:val="both"/>
        <w:rPr>
          <w:spacing w:val="-3"/>
          <w:sz w:val="28"/>
          <w:szCs w:val="28"/>
        </w:rPr>
      </w:pPr>
      <w:r>
        <w:rPr>
          <w:b/>
          <w:bCs/>
          <w:color w:val="000000"/>
          <w:sz w:val="28"/>
          <w:szCs w:val="28"/>
        </w:rPr>
        <w:tab/>
      </w:r>
      <w:r>
        <w:rPr>
          <w:color w:val="000000"/>
          <w:sz w:val="28"/>
          <w:szCs w:val="28"/>
        </w:rPr>
        <w:t xml:space="preserve">Petitioner </w:t>
      </w:r>
      <w:r w:rsidR="009B5579" w:rsidRPr="006F63FD">
        <w:rPr>
          <w:sz w:val="28"/>
          <w:szCs w:val="28"/>
        </w:rPr>
        <w:t>respectfully request</w:t>
      </w:r>
      <w:r w:rsidR="009B5579">
        <w:rPr>
          <w:sz w:val="28"/>
          <w:szCs w:val="28"/>
        </w:rPr>
        <w:t>s</w:t>
      </w:r>
      <w:r w:rsidR="009B5579" w:rsidRPr="006F63FD">
        <w:rPr>
          <w:sz w:val="28"/>
          <w:szCs w:val="28"/>
        </w:rPr>
        <w:t xml:space="preserve"> </w:t>
      </w:r>
      <w:r w:rsidR="009B5579">
        <w:rPr>
          <w:sz w:val="28"/>
          <w:szCs w:val="28"/>
        </w:rPr>
        <w:t xml:space="preserve">amendment of Rule 36(f), Ariz. R. Sup. Ct., for the reasons stated </w:t>
      </w:r>
      <w:r w:rsidR="00AC427D">
        <w:rPr>
          <w:sz w:val="28"/>
          <w:szCs w:val="28"/>
        </w:rPr>
        <w:t>above</w:t>
      </w:r>
      <w:r w:rsidR="009B5579">
        <w:rPr>
          <w:sz w:val="28"/>
          <w:szCs w:val="28"/>
        </w:rPr>
        <w:t xml:space="preserve"> and as proposed in </w:t>
      </w:r>
      <w:r w:rsidR="008B1B6F">
        <w:rPr>
          <w:sz w:val="28"/>
          <w:szCs w:val="28"/>
        </w:rPr>
        <w:t>Appendix</w:t>
      </w:r>
      <w:r w:rsidR="009B5579">
        <w:rPr>
          <w:sz w:val="28"/>
          <w:szCs w:val="28"/>
        </w:rPr>
        <w:t xml:space="preserve"> A submitted with this petition.</w:t>
      </w:r>
    </w:p>
    <w:p w14:paraId="74828D28" w14:textId="5EC40400" w:rsidR="009F0E74" w:rsidRDefault="00486644" w:rsidP="00AC427D">
      <w:pPr>
        <w:pStyle w:val="Date"/>
        <w:ind w:firstLine="720"/>
        <w:rPr>
          <w:sz w:val="28"/>
          <w:szCs w:val="28"/>
        </w:rPr>
      </w:pPr>
      <w:r>
        <w:rPr>
          <w:sz w:val="28"/>
          <w:szCs w:val="28"/>
        </w:rPr>
        <w:t xml:space="preserve">Respectfully submitted this </w:t>
      </w:r>
      <w:r w:rsidR="00B94813">
        <w:rPr>
          <w:sz w:val="28"/>
          <w:szCs w:val="28"/>
        </w:rPr>
        <w:t>__</w:t>
      </w:r>
      <w:r w:rsidR="002D3B2E">
        <w:rPr>
          <w:sz w:val="28"/>
          <w:szCs w:val="28"/>
        </w:rPr>
        <w:t>16th</w:t>
      </w:r>
      <w:r w:rsidR="00B94813">
        <w:rPr>
          <w:sz w:val="28"/>
          <w:szCs w:val="28"/>
        </w:rPr>
        <w:t>__</w:t>
      </w:r>
      <w:r>
        <w:rPr>
          <w:sz w:val="28"/>
          <w:szCs w:val="28"/>
        </w:rPr>
        <w:t xml:space="preserve"> day</w:t>
      </w:r>
      <w:r w:rsidR="00AE557D" w:rsidRPr="0013271D">
        <w:rPr>
          <w:sz w:val="28"/>
          <w:szCs w:val="28"/>
        </w:rPr>
        <w:t xml:space="preserve"> </w:t>
      </w:r>
      <w:r w:rsidR="00B425C8">
        <w:rPr>
          <w:sz w:val="28"/>
          <w:szCs w:val="28"/>
        </w:rPr>
        <w:t xml:space="preserve">of </w:t>
      </w:r>
      <w:r>
        <w:rPr>
          <w:sz w:val="28"/>
          <w:szCs w:val="28"/>
        </w:rPr>
        <w:t>October</w:t>
      </w:r>
      <w:r w:rsidR="00FE2E3F" w:rsidRPr="0013271D">
        <w:rPr>
          <w:sz w:val="28"/>
          <w:szCs w:val="28"/>
        </w:rPr>
        <w:t>,</w:t>
      </w:r>
      <w:r>
        <w:rPr>
          <w:sz w:val="28"/>
          <w:szCs w:val="28"/>
        </w:rPr>
        <w:t xml:space="preserve"> 202</w:t>
      </w:r>
      <w:r w:rsidR="00B94813">
        <w:rPr>
          <w:sz w:val="28"/>
          <w:szCs w:val="28"/>
        </w:rPr>
        <w:t>3</w:t>
      </w:r>
      <w:r w:rsidR="00FE2E3F" w:rsidRPr="0013271D">
        <w:rPr>
          <w:sz w:val="28"/>
          <w:szCs w:val="28"/>
        </w:rPr>
        <w:t>.</w:t>
      </w:r>
    </w:p>
    <w:p w14:paraId="582807FF" w14:textId="78B1AD0A" w:rsidR="000F46A9" w:rsidRDefault="00D542FD" w:rsidP="000F46A9">
      <w:r>
        <w:tab/>
      </w:r>
      <w:r>
        <w:tab/>
      </w:r>
      <w:r>
        <w:tab/>
      </w:r>
      <w:r>
        <w:tab/>
      </w:r>
      <w:r>
        <w:tab/>
      </w:r>
      <w:r>
        <w:rPr>
          <w:noProof/>
        </w:rPr>
        <w:drawing>
          <wp:inline distT="0" distB="0" distL="0" distR="0" wp14:anchorId="38663A67" wp14:editId="5D755102">
            <wp:extent cx="2076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pic:spPr>
                </pic:pic>
              </a:graphicData>
            </a:graphic>
          </wp:inline>
        </w:drawing>
      </w:r>
    </w:p>
    <w:p w14:paraId="123C3F9C" w14:textId="77777777" w:rsidR="000F46A9" w:rsidRPr="000F46A9" w:rsidRDefault="000F46A9" w:rsidP="000F46A9"/>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RPr="0013271D" w14:paraId="52711836" w14:textId="77777777" w:rsidTr="00895FB1">
        <w:tc>
          <w:tcPr>
            <w:tcW w:w="9350" w:type="dxa"/>
          </w:tcPr>
          <w:p w14:paraId="4F6E3842" w14:textId="2FF52AEA" w:rsidR="00396944" w:rsidRPr="0013271D" w:rsidRDefault="00486644" w:rsidP="006E2BD1">
            <w:pPr>
              <w:pStyle w:val="AttorneyName"/>
              <w:rPr>
                <w:sz w:val="28"/>
                <w:szCs w:val="28"/>
              </w:rPr>
            </w:pPr>
            <w:r>
              <w:rPr>
                <w:sz w:val="28"/>
                <w:szCs w:val="28"/>
              </w:rPr>
              <w:t>Denise M. Quinterri</w:t>
            </w:r>
          </w:p>
        </w:tc>
      </w:tr>
    </w:tbl>
    <w:p w14:paraId="28426F8D" w14:textId="77777777" w:rsidR="008B1B6F" w:rsidRDefault="008B1B6F" w:rsidP="008B1B6F">
      <w:pPr>
        <w:ind w:firstLine="0"/>
        <w:rPr>
          <w:sz w:val="28"/>
          <w:szCs w:val="28"/>
        </w:rPr>
      </w:pPr>
    </w:p>
    <w:p w14:paraId="392D3B2D" w14:textId="77777777" w:rsidR="007D5E03" w:rsidRPr="007D5E03" w:rsidRDefault="007D5E03" w:rsidP="007D5E03">
      <w:pPr>
        <w:spacing w:line="240" w:lineRule="auto"/>
        <w:ind w:firstLine="0"/>
        <w:rPr>
          <w:sz w:val="28"/>
          <w:szCs w:val="28"/>
        </w:rPr>
      </w:pPr>
      <w:r w:rsidRPr="007D5E03">
        <w:rPr>
          <w:b/>
          <w:bCs/>
          <w:sz w:val="28"/>
          <w:szCs w:val="28"/>
        </w:rPr>
        <w:t>ELECTRONICALLY</w:t>
      </w:r>
      <w:r w:rsidRPr="007D5E03">
        <w:rPr>
          <w:sz w:val="28"/>
          <w:szCs w:val="28"/>
        </w:rPr>
        <w:t xml:space="preserve"> filed </w:t>
      </w:r>
    </w:p>
    <w:p w14:paraId="1743F821" w14:textId="51ED3077" w:rsidR="007D5E03" w:rsidRPr="007D5E03" w:rsidRDefault="00A415D5" w:rsidP="007D5E03">
      <w:pPr>
        <w:spacing w:line="240" w:lineRule="auto"/>
        <w:ind w:firstLine="0"/>
        <w:rPr>
          <w:sz w:val="28"/>
          <w:szCs w:val="28"/>
        </w:rPr>
      </w:pPr>
      <w:r>
        <w:rPr>
          <w:sz w:val="28"/>
          <w:szCs w:val="28"/>
        </w:rPr>
        <w:t>o</w:t>
      </w:r>
      <w:r w:rsidR="00094FDF">
        <w:rPr>
          <w:sz w:val="28"/>
          <w:szCs w:val="28"/>
        </w:rPr>
        <w:t>n the Cou</w:t>
      </w:r>
      <w:r>
        <w:rPr>
          <w:sz w:val="28"/>
          <w:szCs w:val="28"/>
        </w:rPr>
        <w:t xml:space="preserve">rt Rules Forum of </w:t>
      </w:r>
      <w:r w:rsidR="007D5E03" w:rsidRPr="007D5E03">
        <w:rPr>
          <w:sz w:val="28"/>
          <w:szCs w:val="28"/>
        </w:rPr>
        <w:t>the Arizona Supreme Court</w:t>
      </w:r>
    </w:p>
    <w:p w14:paraId="32C4F444" w14:textId="0571C557" w:rsidR="007D5E03" w:rsidRDefault="007D5E03" w:rsidP="007D5E03">
      <w:pPr>
        <w:spacing w:line="240" w:lineRule="auto"/>
        <w:ind w:firstLine="0"/>
        <w:rPr>
          <w:sz w:val="28"/>
          <w:szCs w:val="28"/>
        </w:rPr>
      </w:pPr>
      <w:r w:rsidRPr="007D5E03">
        <w:rPr>
          <w:sz w:val="28"/>
          <w:szCs w:val="28"/>
        </w:rPr>
        <w:t>this</w:t>
      </w:r>
      <w:r w:rsidR="00A415D5">
        <w:rPr>
          <w:sz w:val="28"/>
          <w:szCs w:val="28"/>
        </w:rPr>
        <w:t xml:space="preserve"> __</w:t>
      </w:r>
      <w:r w:rsidR="002D3B2E">
        <w:rPr>
          <w:sz w:val="28"/>
          <w:szCs w:val="28"/>
        </w:rPr>
        <w:t>16th</w:t>
      </w:r>
      <w:r w:rsidR="00A415D5">
        <w:rPr>
          <w:sz w:val="28"/>
          <w:szCs w:val="28"/>
        </w:rPr>
        <w:t>_ day of October, 2023.</w:t>
      </w:r>
    </w:p>
    <w:p w14:paraId="7E12D144" w14:textId="77777777" w:rsidR="008B1B6F" w:rsidRDefault="008B1B6F" w:rsidP="008B1B6F">
      <w:pPr>
        <w:ind w:firstLine="0"/>
        <w:rPr>
          <w:sz w:val="28"/>
          <w:szCs w:val="28"/>
        </w:rPr>
      </w:pPr>
    </w:p>
    <w:p w14:paraId="306DE608" w14:textId="4174F1C8" w:rsidR="00E50B61" w:rsidRDefault="00E50B61">
      <w:pPr>
        <w:rPr>
          <w:sz w:val="28"/>
          <w:szCs w:val="28"/>
        </w:rPr>
      </w:pPr>
      <w:r>
        <w:rPr>
          <w:sz w:val="28"/>
          <w:szCs w:val="28"/>
        </w:rPr>
        <w:br w:type="page"/>
      </w:r>
    </w:p>
    <w:p w14:paraId="3E6C58D4" w14:textId="37B519BF" w:rsidR="008B1B6F" w:rsidRPr="009C220A" w:rsidRDefault="009C220A" w:rsidP="009C220A">
      <w:pPr>
        <w:ind w:firstLine="0"/>
        <w:jc w:val="center"/>
        <w:rPr>
          <w:b/>
          <w:bCs/>
          <w:sz w:val="28"/>
          <w:szCs w:val="28"/>
        </w:rPr>
      </w:pPr>
      <w:r w:rsidRPr="009C220A">
        <w:rPr>
          <w:b/>
          <w:bCs/>
          <w:sz w:val="28"/>
          <w:szCs w:val="28"/>
        </w:rPr>
        <w:lastRenderedPageBreak/>
        <w:t>APPENDIX A</w:t>
      </w:r>
    </w:p>
    <w:p w14:paraId="3854DDA8" w14:textId="49465DA9" w:rsidR="009C220A" w:rsidRPr="009C220A" w:rsidRDefault="009C220A" w:rsidP="009C220A">
      <w:pPr>
        <w:ind w:firstLine="0"/>
        <w:jc w:val="center"/>
        <w:rPr>
          <w:b/>
          <w:bCs/>
          <w:sz w:val="28"/>
          <w:szCs w:val="28"/>
        </w:rPr>
      </w:pPr>
      <w:r w:rsidRPr="009C220A">
        <w:rPr>
          <w:b/>
          <w:bCs/>
          <w:sz w:val="28"/>
          <w:szCs w:val="28"/>
        </w:rPr>
        <w:t>ARIZONA RULES OF THE SUPREME COURT</w:t>
      </w:r>
    </w:p>
    <w:p w14:paraId="7E31687F" w14:textId="087B93EB" w:rsidR="009C220A" w:rsidRPr="001B1726" w:rsidRDefault="009C220A" w:rsidP="0038061E">
      <w:pPr>
        <w:ind w:firstLine="0"/>
        <w:jc w:val="center"/>
        <w:rPr>
          <w:b/>
          <w:bCs/>
          <w:sz w:val="28"/>
          <w:szCs w:val="28"/>
        </w:rPr>
      </w:pPr>
      <w:r w:rsidRPr="001B1726">
        <w:rPr>
          <w:b/>
          <w:bCs/>
          <w:sz w:val="28"/>
          <w:szCs w:val="28"/>
        </w:rPr>
        <w:t>Rule 36.</w:t>
      </w:r>
      <w:r w:rsidR="0038061E" w:rsidRPr="001B1726">
        <w:rPr>
          <w:b/>
          <w:bCs/>
          <w:sz w:val="28"/>
          <w:szCs w:val="28"/>
        </w:rPr>
        <w:t xml:space="preserve">  Procedure Before the Committee on Character and Fitness</w:t>
      </w:r>
    </w:p>
    <w:p w14:paraId="5B7AAAB4" w14:textId="7B463F8D" w:rsidR="00494E68" w:rsidRDefault="00873DE7" w:rsidP="008B1B6F">
      <w:pPr>
        <w:ind w:firstLine="0"/>
        <w:rPr>
          <w:sz w:val="28"/>
          <w:szCs w:val="28"/>
        </w:rPr>
      </w:pPr>
      <w:r>
        <w:rPr>
          <w:sz w:val="28"/>
          <w:szCs w:val="28"/>
        </w:rPr>
        <w:t>[. . . ]</w:t>
      </w:r>
    </w:p>
    <w:p w14:paraId="2B95A37E" w14:textId="1A783786" w:rsidR="00873DE7" w:rsidRPr="00F879A9" w:rsidRDefault="00F879A9" w:rsidP="008B1B6F">
      <w:pPr>
        <w:ind w:firstLine="0"/>
        <w:rPr>
          <w:b/>
          <w:bCs/>
          <w:sz w:val="28"/>
          <w:szCs w:val="28"/>
        </w:rPr>
      </w:pPr>
      <w:r w:rsidRPr="00F879A9">
        <w:rPr>
          <w:b/>
          <w:bCs/>
          <w:sz w:val="28"/>
          <w:szCs w:val="28"/>
        </w:rPr>
        <w:t>(g) Conditional Admission.</w:t>
      </w:r>
    </w:p>
    <w:p w14:paraId="66B7DB0B" w14:textId="70E9A193" w:rsidR="00F879A9" w:rsidRDefault="00F879A9" w:rsidP="008B1B6F">
      <w:pPr>
        <w:ind w:firstLine="0"/>
        <w:rPr>
          <w:sz w:val="28"/>
          <w:szCs w:val="28"/>
        </w:rPr>
      </w:pPr>
      <w:r>
        <w:rPr>
          <w:sz w:val="28"/>
          <w:szCs w:val="28"/>
        </w:rPr>
        <w:t>[. . .]</w:t>
      </w:r>
    </w:p>
    <w:p w14:paraId="69B5DCC3" w14:textId="7CF0F6AB" w:rsidR="00F879A9" w:rsidRPr="0013271D" w:rsidRDefault="00B74C0C" w:rsidP="00D4115C">
      <w:pPr>
        <w:spacing w:line="360" w:lineRule="exact"/>
        <w:ind w:left="288" w:right="288" w:firstLine="0"/>
        <w:jc w:val="both"/>
        <w:rPr>
          <w:sz w:val="28"/>
          <w:szCs w:val="28"/>
        </w:rPr>
      </w:pPr>
      <w:r w:rsidRPr="00B74C0C">
        <w:rPr>
          <w:sz w:val="28"/>
          <w:szCs w:val="28"/>
        </w:rPr>
        <w:t xml:space="preserve">6. </w:t>
      </w:r>
      <w:r w:rsidRPr="00B74C0C">
        <w:rPr>
          <w:i/>
          <w:iCs/>
          <w:sz w:val="28"/>
          <w:szCs w:val="28"/>
        </w:rPr>
        <w:t>Violation of Order of Conditional Admission.</w:t>
      </w:r>
      <w:r w:rsidRPr="00B74C0C">
        <w:rPr>
          <w:sz w:val="28"/>
          <w:szCs w:val="28"/>
        </w:rPr>
        <w:t xml:space="preserve"> Upon determining that the conditional admittee has materially violated the terms of the conditional admission, bar counsel must file a notice of violation with the Committee and serve a copy on the conditional admittee. The filing of a notice of violation will automatically extend the conditional admission until the matter is resolved by the Committee</w:t>
      </w:r>
      <w:r w:rsidR="00EA3238">
        <w:rPr>
          <w:sz w:val="28"/>
          <w:szCs w:val="28"/>
        </w:rPr>
        <w:t xml:space="preserve">, </w:t>
      </w:r>
      <w:r w:rsidR="00EA3238" w:rsidRPr="00E306C6">
        <w:rPr>
          <w:sz w:val="28"/>
          <w:szCs w:val="28"/>
          <w:u w:val="single"/>
        </w:rPr>
        <w:t xml:space="preserve">by way of hearing or </w:t>
      </w:r>
      <w:r w:rsidR="00E306C6" w:rsidRPr="00E306C6">
        <w:rPr>
          <w:sz w:val="28"/>
          <w:szCs w:val="28"/>
          <w:u w:val="single"/>
        </w:rPr>
        <w:t>accepted consent agreement</w:t>
      </w:r>
      <w:r w:rsidRPr="00BA74C3">
        <w:rPr>
          <w:sz w:val="28"/>
          <w:szCs w:val="28"/>
          <w:u w:val="single"/>
        </w:rPr>
        <w:t xml:space="preserve">. </w:t>
      </w:r>
      <w:r w:rsidR="00AE2481" w:rsidRPr="00BA74C3">
        <w:rPr>
          <w:sz w:val="28"/>
          <w:szCs w:val="28"/>
          <w:u w:val="single"/>
        </w:rPr>
        <w:t xml:space="preserve">Within 30 days of the </w:t>
      </w:r>
      <w:r w:rsidR="009F1964" w:rsidRPr="00BA74C3">
        <w:rPr>
          <w:sz w:val="28"/>
          <w:szCs w:val="28"/>
          <w:u w:val="single"/>
        </w:rPr>
        <w:t>filing of the notice of violation, t</w:t>
      </w:r>
      <w:r w:rsidR="00AE2481" w:rsidRPr="00BA74C3">
        <w:rPr>
          <w:sz w:val="28"/>
          <w:szCs w:val="28"/>
          <w:u w:val="single"/>
        </w:rPr>
        <w:t xml:space="preserve">he conditional admittee and the State Bar may </w:t>
      </w:r>
      <w:r w:rsidR="009F1964" w:rsidRPr="00BA74C3">
        <w:rPr>
          <w:sz w:val="28"/>
          <w:szCs w:val="28"/>
          <w:u w:val="single"/>
        </w:rPr>
        <w:t>submit a proposed consent agreement to the Committee</w:t>
      </w:r>
      <w:r w:rsidR="00BA74C3" w:rsidRPr="00BA74C3">
        <w:rPr>
          <w:sz w:val="28"/>
          <w:szCs w:val="28"/>
          <w:u w:val="single"/>
        </w:rPr>
        <w:t>. T</w:t>
      </w:r>
      <w:r w:rsidR="009F1964" w:rsidRPr="00BA74C3">
        <w:rPr>
          <w:sz w:val="28"/>
          <w:szCs w:val="28"/>
          <w:u w:val="single"/>
        </w:rPr>
        <w:t xml:space="preserve">he Committee may accept, </w:t>
      </w:r>
      <w:r w:rsidR="00BA74C3" w:rsidRPr="00BA74C3">
        <w:rPr>
          <w:sz w:val="28"/>
          <w:szCs w:val="28"/>
          <w:u w:val="single"/>
        </w:rPr>
        <w:t>reject, or recommend modification of</w:t>
      </w:r>
      <w:r w:rsidR="00BA74C3">
        <w:rPr>
          <w:sz w:val="28"/>
          <w:szCs w:val="28"/>
          <w:u w:val="single"/>
        </w:rPr>
        <w:t xml:space="preserve"> </w:t>
      </w:r>
      <w:r w:rsidR="00D0193B">
        <w:rPr>
          <w:sz w:val="28"/>
          <w:szCs w:val="28"/>
          <w:u w:val="single"/>
        </w:rPr>
        <w:t xml:space="preserve">the proposed agreement. </w:t>
      </w:r>
      <w:r w:rsidR="00182FD1">
        <w:rPr>
          <w:sz w:val="28"/>
          <w:szCs w:val="28"/>
          <w:u w:val="single"/>
        </w:rPr>
        <w:t xml:space="preserve">If the Committee rejects the proposed agreement and/or the conditional admittee rejects the Committee’s proposed </w:t>
      </w:r>
      <w:r w:rsidR="00BC4AE2">
        <w:rPr>
          <w:sz w:val="28"/>
          <w:szCs w:val="28"/>
          <w:u w:val="single"/>
        </w:rPr>
        <w:t>modifications</w:t>
      </w:r>
      <w:r w:rsidR="00956668">
        <w:rPr>
          <w:sz w:val="28"/>
          <w:szCs w:val="28"/>
          <w:u w:val="single"/>
        </w:rPr>
        <w:t xml:space="preserve"> </w:t>
      </w:r>
      <w:r w:rsidR="003D154D">
        <w:rPr>
          <w:sz w:val="28"/>
          <w:szCs w:val="28"/>
          <w:u w:val="single"/>
        </w:rPr>
        <w:t>and/or refuses to enter a consent agreement with the State Bar</w:t>
      </w:r>
      <w:r w:rsidRPr="00B74C0C">
        <w:rPr>
          <w:sz w:val="28"/>
          <w:szCs w:val="28"/>
        </w:rPr>
        <w:t xml:space="preserve">, the Committee </w:t>
      </w:r>
      <w:r w:rsidRPr="00BC4AE2">
        <w:rPr>
          <w:sz w:val="28"/>
          <w:szCs w:val="28"/>
        </w:rPr>
        <w:t>must</w:t>
      </w:r>
      <w:r w:rsidRPr="00B74C0C">
        <w:rPr>
          <w:sz w:val="28"/>
          <w:szCs w:val="28"/>
        </w:rPr>
        <w:t xml:space="preserve"> hold a hearing to determine if the order has been violated. The Committee chair, by order, shall establish the procedures associated with such hearing. The hearing panel for the violation hearing</w:t>
      </w:r>
      <w:r w:rsidR="00D4115C">
        <w:rPr>
          <w:sz w:val="28"/>
          <w:szCs w:val="28"/>
        </w:rPr>
        <w:t xml:space="preserve"> </w:t>
      </w:r>
      <w:r w:rsidR="00D4115C" w:rsidRPr="00D4115C">
        <w:rPr>
          <w:strike/>
          <w:sz w:val="28"/>
          <w:szCs w:val="28"/>
        </w:rPr>
        <w:t>will consist of at least a majority of the current members of the Committee.</w:t>
      </w:r>
      <w:r w:rsidR="00D4115C" w:rsidRPr="00B74C0C">
        <w:rPr>
          <w:sz w:val="28"/>
          <w:szCs w:val="28"/>
        </w:rPr>
        <w:t xml:space="preserve"> </w:t>
      </w:r>
      <w:r w:rsidR="00D4115C" w:rsidRPr="00D4115C">
        <w:rPr>
          <w:sz w:val="28"/>
          <w:szCs w:val="28"/>
          <w:u w:val="single"/>
        </w:rPr>
        <w:t>must consist of five members, including Committee</w:t>
      </w:r>
      <w:r w:rsidR="00902781">
        <w:rPr>
          <w:sz w:val="28"/>
          <w:szCs w:val="28"/>
          <w:u w:val="single"/>
        </w:rPr>
        <w:t xml:space="preserve"> chair</w:t>
      </w:r>
      <w:r w:rsidR="00D4115C" w:rsidRPr="00D4115C">
        <w:rPr>
          <w:sz w:val="28"/>
          <w:szCs w:val="28"/>
          <w:u w:val="single"/>
        </w:rPr>
        <w:t xml:space="preserve"> or his or her designee, at least two attorney members of the Committee, and at least one public member of the Committee</w:t>
      </w:r>
      <w:r w:rsidR="00D4115C" w:rsidRPr="00D4115C">
        <w:rPr>
          <w:sz w:val="28"/>
          <w:szCs w:val="28"/>
        </w:rPr>
        <w:t>.</w:t>
      </w:r>
      <w:r w:rsidRPr="00B74C0C">
        <w:rPr>
          <w:sz w:val="28"/>
          <w:szCs w:val="28"/>
        </w:rPr>
        <w:t xml:space="preserve"> The Chair or his or her designee will preside over the hearing. Bar counsel must prove a material violation by a preponderance of the evidence. The Committee's decision will require a concurrence of a majority of the panel members. If the Committee determines that a material violation has been proved, the Committee may revoke, extend, or modify the Order of Conditional Admission. The Committee's decision is final subject to the filing of a petition for review pursuant to paragraph (h). If the Committee determines that there was a </w:t>
      </w:r>
      <w:r w:rsidRPr="00B74C0C">
        <w:rPr>
          <w:sz w:val="28"/>
          <w:szCs w:val="28"/>
        </w:rPr>
        <w:lastRenderedPageBreak/>
        <w:t>material violation of the terms based on a violation of the ethical rules but did not revoke the Order of Conditional Admission, the Committee may refer the matter to the State Bar for discipline proceedings pursuant to Rule 55.</w:t>
      </w:r>
    </w:p>
    <w:sectPr w:rsidR="00F879A9" w:rsidRPr="0013271D">
      <w:headerReference w:type="default" r:id="rId12"/>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4210" w14:textId="77777777" w:rsidR="00745E38" w:rsidRDefault="00745E38">
      <w:r>
        <w:separator/>
      </w:r>
    </w:p>
    <w:p w14:paraId="50AD529A" w14:textId="77777777" w:rsidR="00745E38" w:rsidRDefault="00745E38"/>
  </w:endnote>
  <w:endnote w:type="continuationSeparator" w:id="0">
    <w:p w14:paraId="4997D996" w14:textId="77777777" w:rsidR="00745E38" w:rsidRDefault="00745E38">
      <w:r>
        <w:continuationSeparator/>
      </w:r>
    </w:p>
    <w:p w14:paraId="61832762" w14:textId="77777777" w:rsidR="00745E38" w:rsidRDefault="0074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C42E" w14:textId="77777777" w:rsidR="00745E38" w:rsidRDefault="00745E38">
      <w:r>
        <w:separator/>
      </w:r>
    </w:p>
    <w:p w14:paraId="48580EDF" w14:textId="77777777" w:rsidR="00745E38" w:rsidRDefault="00745E38"/>
  </w:footnote>
  <w:footnote w:type="continuationSeparator" w:id="0">
    <w:p w14:paraId="1D1F7141" w14:textId="77777777" w:rsidR="00745E38" w:rsidRDefault="00745E38">
      <w:r>
        <w:continuationSeparator/>
      </w:r>
    </w:p>
    <w:p w14:paraId="5A488D13" w14:textId="77777777" w:rsidR="00745E38" w:rsidRDefault="00745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BC3F"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6D50FD33" wp14:editId="570E875C">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808DCCA"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636BBBBF" wp14:editId="370E7ABC">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BBBF"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309D"/>
    <w:multiLevelType w:val="hybridMultilevel"/>
    <w:tmpl w:val="848422DA"/>
    <w:lvl w:ilvl="0" w:tplc="5846F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135D7"/>
    <w:multiLevelType w:val="hybridMultilevel"/>
    <w:tmpl w:val="D8EE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C4B50"/>
    <w:multiLevelType w:val="hybridMultilevel"/>
    <w:tmpl w:val="8F4E08CA"/>
    <w:lvl w:ilvl="0" w:tplc="E294F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422F52"/>
    <w:multiLevelType w:val="hybridMultilevel"/>
    <w:tmpl w:val="22AEED9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880095">
    <w:abstractNumId w:val="9"/>
  </w:num>
  <w:num w:numId="2" w16cid:durableId="1973830227">
    <w:abstractNumId w:val="7"/>
  </w:num>
  <w:num w:numId="3" w16cid:durableId="807436248">
    <w:abstractNumId w:val="6"/>
  </w:num>
  <w:num w:numId="4" w16cid:durableId="1293319422">
    <w:abstractNumId w:val="5"/>
  </w:num>
  <w:num w:numId="5" w16cid:durableId="1264535261">
    <w:abstractNumId w:val="4"/>
  </w:num>
  <w:num w:numId="6" w16cid:durableId="953514308">
    <w:abstractNumId w:val="8"/>
  </w:num>
  <w:num w:numId="7" w16cid:durableId="410154058">
    <w:abstractNumId w:val="3"/>
  </w:num>
  <w:num w:numId="8" w16cid:durableId="2052923413">
    <w:abstractNumId w:val="2"/>
  </w:num>
  <w:num w:numId="9" w16cid:durableId="1204827933">
    <w:abstractNumId w:val="1"/>
  </w:num>
  <w:num w:numId="10" w16cid:durableId="492839120">
    <w:abstractNumId w:val="0"/>
  </w:num>
  <w:num w:numId="11" w16cid:durableId="1277715201">
    <w:abstractNumId w:val="12"/>
  </w:num>
  <w:num w:numId="12" w16cid:durableId="573324245">
    <w:abstractNumId w:val="10"/>
  </w:num>
  <w:num w:numId="13" w16cid:durableId="584388334">
    <w:abstractNumId w:val="11"/>
  </w:num>
  <w:num w:numId="14" w16cid:durableId="326398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D"/>
    <w:rsid w:val="00006C3A"/>
    <w:rsid w:val="000128E1"/>
    <w:rsid w:val="00023182"/>
    <w:rsid w:val="00025E02"/>
    <w:rsid w:val="00031DD7"/>
    <w:rsid w:val="00032CF1"/>
    <w:rsid w:val="00046E5C"/>
    <w:rsid w:val="000528DC"/>
    <w:rsid w:val="000537C6"/>
    <w:rsid w:val="000722D0"/>
    <w:rsid w:val="00094FDF"/>
    <w:rsid w:val="000A2655"/>
    <w:rsid w:val="000A4030"/>
    <w:rsid w:val="000B17EF"/>
    <w:rsid w:val="000B67D2"/>
    <w:rsid w:val="000C0B96"/>
    <w:rsid w:val="000C3749"/>
    <w:rsid w:val="000C3FB2"/>
    <w:rsid w:val="000C50F1"/>
    <w:rsid w:val="000D10C3"/>
    <w:rsid w:val="000E72F6"/>
    <w:rsid w:val="000F2C70"/>
    <w:rsid w:val="000F46A9"/>
    <w:rsid w:val="00107549"/>
    <w:rsid w:val="0011213D"/>
    <w:rsid w:val="0012000B"/>
    <w:rsid w:val="00124AAB"/>
    <w:rsid w:val="0013271D"/>
    <w:rsid w:val="00150A22"/>
    <w:rsid w:val="001652D0"/>
    <w:rsid w:val="001800FD"/>
    <w:rsid w:val="00182FD1"/>
    <w:rsid w:val="00192313"/>
    <w:rsid w:val="001B10D5"/>
    <w:rsid w:val="001B1726"/>
    <w:rsid w:val="001C341E"/>
    <w:rsid w:val="001D62EE"/>
    <w:rsid w:val="001E0280"/>
    <w:rsid w:val="0022340C"/>
    <w:rsid w:val="0022369F"/>
    <w:rsid w:val="002275A0"/>
    <w:rsid w:val="00231407"/>
    <w:rsid w:val="00231D9C"/>
    <w:rsid w:val="00247670"/>
    <w:rsid w:val="00260A2D"/>
    <w:rsid w:val="002659FD"/>
    <w:rsid w:val="002720E8"/>
    <w:rsid w:val="002739EB"/>
    <w:rsid w:val="00293BDA"/>
    <w:rsid w:val="002B3DD4"/>
    <w:rsid w:val="002C4561"/>
    <w:rsid w:val="002D3B2E"/>
    <w:rsid w:val="002D65FF"/>
    <w:rsid w:val="002E3EAC"/>
    <w:rsid w:val="002E693A"/>
    <w:rsid w:val="002F7AD4"/>
    <w:rsid w:val="003033E3"/>
    <w:rsid w:val="00306A11"/>
    <w:rsid w:val="00307E4A"/>
    <w:rsid w:val="00317CDC"/>
    <w:rsid w:val="00330108"/>
    <w:rsid w:val="00336F38"/>
    <w:rsid w:val="00344D21"/>
    <w:rsid w:val="003512FC"/>
    <w:rsid w:val="003530D4"/>
    <w:rsid w:val="003600FC"/>
    <w:rsid w:val="0036726E"/>
    <w:rsid w:val="0037080F"/>
    <w:rsid w:val="0038061E"/>
    <w:rsid w:val="00394BCC"/>
    <w:rsid w:val="00396944"/>
    <w:rsid w:val="003A2162"/>
    <w:rsid w:val="003A65EA"/>
    <w:rsid w:val="003C32A3"/>
    <w:rsid w:val="003D154D"/>
    <w:rsid w:val="003F04FC"/>
    <w:rsid w:val="003F750A"/>
    <w:rsid w:val="0040003E"/>
    <w:rsid w:val="00414B87"/>
    <w:rsid w:val="004230D4"/>
    <w:rsid w:val="00423CD3"/>
    <w:rsid w:val="00425BB1"/>
    <w:rsid w:val="00441EBC"/>
    <w:rsid w:val="00443D50"/>
    <w:rsid w:val="004458A2"/>
    <w:rsid w:val="00473778"/>
    <w:rsid w:val="00474407"/>
    <w:rsid w:val="00486644"/>
    <w:rsid w:val="00494E68"/>
    <w:rsid w:val="004A6FDE"/>
    <w:rsid w:val="004A7DFB"/>
    <w:rsid w:val="004E1A98"/>
    <w:rsid w:val="004E2CE3"/>
    <w:rsid w:val="00504D78"/>
    <w:rsid w:val="00513E63"/>
    <w:rsid w:val="00514A41"/>
    <w:rsid w:val="00523E1C"/>
    <w:rsid w:val="00531766"/>
    <w:rsid w:val="005325D0"/>
    <w:rsid w:val="005355AC"/>
    <w:rsid w:val="005555C7"/>
    <w:rsid w:val="005574BF"/>
    <w:rsid w:val="00564797"/>
    <w:rsid w:val="005702AB"/>
    <w:rsid w:val="00574CE6"/>
    <w:rsid w:val="0059393E"/>
    <w:rsid w:val="005A591F"/>
    <w:rsid w:val="005C0247"/>
    <w:rsid w:val="005F72D9"/>
    <w:rsid w:val="00627B8F"/>
    <w:rsid w:val="00642D64"/>
    <w:rsid w:val="0064314A"/>
    <w:rsid w:val="0064700D"/>
    <w:rsid w:val="00650708"/>
    <w:rsid w:val="00652494"/>
    <w:rsid w:val="00661641"/>
    <w:rsid w:val="00663196"/>
    <w:rsid w:val="006648CB"/>
    <w:rsid w:val="006746B5"/>
    <w:rsid w:val="00693F87"/>
    <w:rsid w:val="006B0CC8"/>
    <w:rsid w:val="006D6A3F"/>
    <w:rsid w:val="006E2BD1"/>
    <w:rsid w:val="006E6EF2"/>
    <w:rsid w:val="006F274D"/>
    <w:rsid w:val="00706D53"/>
    <w:rsid w:val="0071462B"/>
    <w:rsid w:val="007266FD"/>
    <w:rsid w:val="007303D8"/>
    <w:rsid w:val="00733EA8"/>
    <w:rsid w:val="007357F6"/>
    <w:rsid w:val="00736374"/>
    <w:rsid w:val="00745E38"/>
    <w:rsid w:val="0077251F"/>
    <w:rsid w:val="00773D11"/>
    <w:rsid w:val="00785D01"/>
    <w:rsid w:val="0078648F"/>
    <w:rsid w:val="00791F86"/>
    <w:rsid w:val="0079438F"/>
    <w:rsid w:val="00796D4B"/>
    <w:rsid w:val="007A5B6C"/>
    <w:rsid w:val="007B7E18"/>
    <w:rsid w:val="007D5E03"/>
    <w:rsid w:val="0080154C"/>
    <w:rsid w:val="00820F38"/>
    <w:rsid w:val="008232C7"/>
    <w:rsid w:val="00834F44"/>
    <w:rsid w:val="0083608B"/>
    <w:rsid w:val="008445C8"/>
    <w:rsid w:val="00850E57"/>
    <w:rsid w:val="00860160"/>
    <w:rsid w:val="00867A66"/>
    <w:rsid w:val="00873DE7"/>
    <w:rsid w:val="00881EB7"/>
    <w:rsid w:val="008832AD"/>
    <w:rsid w:val="00893ECA"/>
    <w:rsid w:val="00895FB1"/>
    <w:rsid w:val="008B1B6F"/>
    <w:rsid w:val="008C1149"/>
    <w:rsid w:val="008C20DE"/>
    <w:rsid w:val="008C5774"/>
    <w:rsid w:val="008C7CC4"/>
    <w:rsid w:val="008D2103"/>
    <w:rsid w:val="008D3AEB"/>
    <w:rsid w:val="008D3DE5"/>
    <w:rsid w:val="008D65F4"/>
    <w:rsid w:val="008F2957"/>
    <w:rsid w:val="00902781"/>
    <w:rsid w:val="00912A5A"/>
    <w:rsid w:val="00922B46"/>
    <w:rsid w:val="00922FC3"/>
    <w:rsid w:val="00923EDC"/>
    <w:rsid w:val="0092669A"/>
    <w:rsid w:val="0093739A"/>
    <w:rsid w:val="009411EC"/>
    <w:rsid w:val="009525E2"/>
    <w:rsid w:val="00956668"/>
    <w:rsid w:val="00967CA8"/>
    <w:rsid w:val="009918DE"/>
    <w:rsid w:val="00994168"/>
    <w:rsid w:val="00997A8F"/>
    <w:rsid w:val="00997C56"/>
    <w:rsid w:val="009A3850"/>
    <w:rsid w:val="009A4C90"/>
    <w:rsid w:val="009A6F53"/>
    <w:rsid w:val="009B5579"/>
    <w:rsid w:val="009B5E7E"/>
    <w:rsid w:val="009B7AEE"/>
    <w:rsid w:val="009C220A"/>
    <w:rsid w:val="009C3595"/>
    <w:rsid w:val="009C6CDD"/>
    <w:rsid w:val="009C7FE3"/>
    <w:rsid w:val="009D2B34"/>
    <w:rsid w:val="009E55D3"/>
    <w:rsid w:val="009E78CA"/>
    <w:rsid w:val="009F0E74"/>
    <w:rsid w:val="009F1964"/>
    <w:rsid w:val="00A0429A"/>
    <w:rsid w:val="00A06531"/>
    <w:rsid w:val="00A135F5"/>
    <w:rsid w:val="00A170AA"/>
    <w:rsid w:val="00A2037B"/>
    <w:rsid w:val="00A40764"/>
    <w:rsid w:val="00A41506"/>
    <w:rsid w:val="00A415D5"/>
    <w:rsid w:val="00A4240C"/>
    <w:rsid w:val="00A53F85"/>
    <w:rsid w:val="00A556A9"/>
    <w:rsid w:val="00A57925"/>
    <w:rsid w:val="00A62C43"/>
    <w:rsid w:val="00A636F3"/>
    <w:rsid w:val="00A82765"/>
    <w:rsid w:val="00A875F2"/>
    <w:rsid w:val="00A90E8B"/>
    <w:rsid w:val="00A935B7"/>
    <w:rsid w:val="00A93962"/>
    <w:rsid w:val="00AB0E85"/>
    <w:rsid w:val="00AC085F"/>
    <w:rsid w:val="00AC427D"/>
    <w:rsid w:val="00AD0FBE"/>
    <w:rsid w:val="00AD24E9"/>
    <w:rsid w:val="00AD54DA"/>
    <w:rsid w:val="00AE172E"/>
    <w:rsid w:val="00AE2481"/>
    <w:rsid w:val="00AE557D"/>
    <w:rsid w:val="00AE579E"/>
    <w:rsid w:val="00AE7A5F"/>
    <w:rsid w:val="00B0560A"/>
    <w:rsid w:val="00B2389D"/>
    <w:rsid w:val="00B35364"/>
    <w:rsid w:val="00B425C8"/>
    <w:rsid w:val="00B42F3B"/>
    <w:rsid w:val="00B5586F"/>
    <w:rsid w:val="00B60458"/>
    <w:rsid w:val="00B64E1D"/>
    <w:rsid w:val="00B7499F"/>
    <w:rsid w:val="00B74C0C"/>
    <w:rsid w:val="00B75045"/>
    <w:rsid w:val="00B901FE"/>
    <w:rsid w:val="00B903FE"/>
    <w:rsid w:val="00B94813"/>
    <w:rsid w:val="00BA74C3"/>
    <w:rsid w:val="00BC1ED7"/>
    <w:rsid w:val="00BC4AE2"/>
    <w:rsid w:val="00BC66CD"/>
    <w:rsid w:val="00BE0FD1"/>
    <w:rsid w:val="00BE1CFA"/>
    <w:rsid w:val="00BF43DA"/>
    <w:rsid w:val="00C01D1B"/>
    <w:rsid w:val="00C31D8F"/>
    <w:rsid w:val="00C37B73"/>
    <w:rsid w:val="00C40896"/>
    <w:rsid w:val="00C43FB3"/>
    <w:rsid w:val="00C5644F"/>
    <w:rsid w:val="00C645F0"/>
    <w:rsid w:val="00C7113E"/>
    <w:rsid w:val="00C83639"/>
    <w:rsid w:val="00C97CAC"/>
    <w:rsid w:val="00CA3208"/>
    <w:rsid w:val="00CB078D"/>
    <w:rsid w:val="00CB1747"/>
    <w:rsid w:val="00CB2A7D"/>
    <w:rsid w:val="00CB32B3"/>
    <w:rsid w:val="00CC0704"/>
    <w:rsid w:val="00CC7FF8"/>
    <w:rsid w:val="00CE42C9"/>
    <w:rsid w:val="00CF026A"/>
    <w:rsid w:val="00CF3F85"/>
    <w:rsid w:val="00CF616E"/>
    <w:rsid w:val="00D0193B"/>
    <w:rsid w:val="00D02B19"/>
    <w:rsid w:val="00D10082"/>
    <w:rsid w:val="00D17D63"/>
    <w:rsid w:val="00D226AC"/>
    <w:rsid w:val="00D4115C"/>
    <w:rsid w:val="00D44BF8"/>
    <w:rsid w:val="00D472AF"/>
    <w:rsid w:val="00D542FD"/>
    <w:rsid w:val="00D63C80"/>
    <w:rsid w:val="00D70FF1"/>
    <w:rsid w:val="00D77718"/>
    <w:rsid w:val="00D82A84"/>
    <w:rsid w:val="00D85766"/>
    <w:rsid w:val="00D92957"/>
    <w:rsid w:val="00DA21E4"/>
    <w:rsid w:val="00DB0BD5"/>
    <w:rsid w:val="00DB2AB5"/>
    <w:rsid w:val="00DB3D0F"/>
    <w:rsid w:val="00DC5725"/>
    <w:rsid w:val="00DD08E6"/>
    <w:rsid w:val="00DF4C6A"/>
    <w:rsid w:val="00E12C3E"/>
    <w:rsid w:val="00E25F6A"/>
    <w:rsid w:val="00E306C6"/>
    <w:rsid w:val="00E31457"/>
    <w:rsid w:val="00E34745"/>
    <w:rsid w:val="00E47C60"/>
    <w:rsid w:val="00E50B61"/>
    <w:rsid w:val="00E5566C"/>
    <w:rsid w:val="00E645CA"/>
    <w:rsid w:val="00E75C1B"/>
    <w:rsid w:val="00E803FB"/>
    <w:rsid w:val="00E80A61"/>
    <w:rsid w:val="00E961AA"/>
    <w:rsid w:val="00E962E1"/>
    <w:rsid w:val="00E973A7"/>
    <w:rsid w:val="00E97CF4"/>
    <w:rsid w:val="00E97CF9"/>
    <w:rsid w:val="00EA3203"/>
    <w:rsid w:val="00EA3238"/>
    <w:rsid w:val="00EA7E91"/>
    <w:rsid w:val="00EC58DD"/>
    <w:rsid w:val="00EF5324"/>
    <w:rsid w:val="00F04E4F"/>
    <w:rsid w:val="00F069EF"/>
    <w:rsid w:val="00F3177A"/>
    <w:rsid w:val="00F367F2"/>
    <w:rsid w:val="00F41E7E"/>
    <w:rsid w:val="00F4756B"/>
    <w:rsid w:val="00F62912"/>
    <w:rsid w:val="00F6569B"/>
    <w:rsid w:val="00F66859"/>
    <w:rsid w:val="00F67304"/>
    <w:rsid w:val="00F7240B"/>
    <w:rsid w:val="00F7343F"/>
    <w:rsid w:val="00F74AA8"/>
    <w:rsid w:val="00F879A9"/>
    <w:rsid w:val="00F90E99"/>
    <w:rsid w:val="00FA22C1"/>
    <w:rsid w:val="00FA360C"/>
    <w:rsid w:val="00FB13B7"/>
    <w:rsid w:val="00FC6336"/>
    <w:rsid w:val="00FC6DBA"/>
    <w:rsid w:val="00FD0146"/>
    <w:rsid w:val="00FD0917"/>
    <w:rsid w:val="00FD120C"/>
    <w:rsid w:val="00FE2E3F"/>
    <w:rsid w:val="00FE5981"/>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21DFD"/>
  <w15:chartTrackingRefBased/>
  <w15:docId w15:val="{48B0263D-09E8-424D-B37F-B192C93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Court">
    <w:name w:val="Court"/>
    <w:basedOn w:val="Normal"/>
    <w:rsid w:val="000C50F1"/>
    <w:pPr>
      <w:widowControl w:val="0"/>
      <w:spacing w:after="240" w:line="480" w:lineRule="exact"/>
      <w:ind w:firstLine="0"/>
      <w:jc w:val="center"/>
    </w:pPr>
    <w:rPr>
      <w:rFonts w:ascii="Times New Roman" w:eastAsia="Times New Roman" w:hAnsi="Times New Roman" w:cs="Times New Roman"/>
      <w:caps/>
      <w:sz w:val="26"/>
      <w:szCs w:val="26"/>
      <w:lang w:eastAsia="en-US"/>
    </w:rPr>
  </w:style>
  <w:style w:type="paragraph" w:styleId="FootnoteText">
    <w:name w:val="footnote text"/>
    <w:basedOn w:val="Normal"/>
    <w:link w:val="FootnoteTextChar"/>
    <w:uiPriority w:val="99"/>
    <w:semiHidden/>
    <w:unhideWhenUsed/>
    <w:rsid w:val="00DD08E6"/>
    <w:pPr>
      <w:spacing w:line="240" w:lineRule="auto"/>
    </w:pPr>
  </w:style>
  <w:style w:type="character" w:customStyle="1" w:styleId="FootnoteTextChar">
    <w:name w:val="Footnote Text Char"/>
    <w:basedOn w:val="DefaultParagraphFont"/>
    <w:link w:val="FootnoteText"/>
    <w:uiPriority w:val="99"/>
    <w:semiHidden/>
    <w:rsid w:val="00DD08E6"/>
  </w:style>
  <w:style w:type="character" w:styleId="FootnoteReference">
    <w:name w:val="footnote reference"/>
    <w:basedOn w:val="DefaultParagraphFont"/>
    <w:uiPriority w:val="99"/>
    <w:semiHidden/>
    <w:unhideWhenUsed/>
    <w:rsid w:val="00DD08E6"/>
    <w:rPr>
      <w:vertAlign w:val="superscript"/>
    </w:rPr>
  </w:style>
  <w:style w:type="paragraph" w:customStyle="1" w:styleId="Body">
    <w:name w:val="Body"/>
    <w:basedOn w:val="Normal"/>
    <w:rsid w:val="009B5579"/>
    <w:pPr>
      <w:spacing w:line="480" w:lineRule="exact"/>
    </w:pPr>
    <w:rPr>
      <w:rFonts w:ascii="Times New Roman" w:eastAsia="Times New Roman" w:hAnsi="Times New Roman" w:cs="Times New Roman"/>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673">
      <w:bodyDiv w:val="1"/>
      <w:marLeft w:val="0"/>
      <w:marRight w:val="0"/>
      <w:marTop w:val="0"/>
      <w:marBottom w:val="0"/>
      <w:divBdr>
        <w:top w:val="none" w:sz="0" w:space="0" w:color="auto"/>
        <w:left w:val="none" w:sz="0" w:space="0" w:color="auto"/>
        <w:bottom w:val="none" w:sz="0" w:space="0" w:color="auto"/>
        <w:right w:val="none" w:sz="0" w:space="0" w:color="auto"/>
      </w:divBdr>
    </w:div>
    <w:div w:id="707418861">
      <w:bodyDiv w:val="1"/>
      <w:marLeft w:val="0"/>
      <w:marRight w:val="0"/>
      <w:marTop w:val="0"/>
      <w:marBottom w:val="0"/>
      <w:divBdr>
        <w:top w:val="none" w:sz="0" w:space="0" w:color="auto"/>
        <w:left w:val="none" w:sz="0" w:space="0" w:color="auto"/>
        <w:bottom w:val="none" w:sz="0" w:space="0" w:color="auto"/>
        <w:right w:val="none" w:sz="0" w:space="0" w:color="auto"/>
      </w:divBdr>
    </w:div>
    <w:div w:id="1030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quin\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515F0243546BAB34AE127EF60EFB3"/>
        <w:category>
          <w:name w:val="General"/>
          <w:gallery w:val="placeholder"/>
        </w:category>
        <w:types>
          <w:type w:val="bbPlcHdr"/>
        </w:types>
        <w:behaviors>
          <w:behavior w:val="content"/>
        </w:behaviors>
        <w:guid w:val="{A0614942-FF04-4405-BEA4-1DAE4AB3632D}"/>
      </w:docPartPr>
      <w:docPartBody>
        <w:p w:rsidR="00FD79A4" w:rsidRDefault="00CB14DF">
          <w:pPr>
            <w:pStyle w:val="503515F0243546BAB34AE127EF60EFB3"/>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4"/>
    <w:rsid w:val="00976D55"/>
    <w:rsid w:val="00A95301"/>
    <w:rsid w:val="00CB14DF"/>
    <w:rsid w:val="00E542A2"/>
    <w:rsid w:val="00FD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3515F0243546BAB34AE127EF60EFB3">
    <w:name w:val="503515F0243546BAB34AE127EF60E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96B883108A948B27E6D9F0BCB0C04" ma:contentTypeVersion="10" ma:contentTypeDescription="Create a new document." ma:contentTypeScope="" ma:versionID="9cd2179c4adabd672be3f1083f198ece">
  <xsd:schema xmlns:xsd="http://www.w3.org/2001/XMLSchema" xmlns:xs="http://www.w3.org/2001/XMLSchema" xmlns:p="http://schemas.microsoft.com/office/2006/metadata/properties" xmlns:ns3="d9224c93-3a5a-4172-adfa-eb34769c09de" targetNamespace="http://schemas.microsoft.com/office/2006/metadata/properties" ma:root="true" ma:fieldsID="4ff953b2f0c21438ea306fb24dd51814" ns3:_="">
    <xsd:import namespace="d9224c93-3a5a-4172-adfa-eb34769c09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4c93-3a5a-4172-adfa-eb34769c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A9B43-AE4F-44C3-B1F3-7D10ABA14F04}">
  <ds:schemaRefs>
    <ds:schemaRef ds:uri="http://schemas.openxmlformats.org/officeDocument/2006/bibliography"/>
  </ds:schemaRefs>
</ds:datastoreItem>
</file>

<file path=customXml/itemProps2.xml><?xml version="1.0" encoding="utf-8"?>
<ds:datastoreItem xmlns:ds="http://schemas.openxmlformats.org/officeDocument/2006/customXml" ds:itemID="{36BCC708-01FC-4595-935A-5ED03E8F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5D1A91-5CA3-4E92-8367-95277F36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4c93-3a5a-4172-adfa-eb34769c0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0BD30-5CCE-4F85-9F87-0D88972BD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Legal pleading paper (28 lines)</Template>
  <TotalTime>175</TotalTime>
  <Pages>7</Pages>
  <Words>1509</Words>
  <Characters>7744</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dc:title>
  <dc:creator>Denise Quinterri</dc:creator>
  <cp:lastModifiedBy>Denise Quinterri</cp:lastModifiedBy>
  <cp:revision>151</cp:revision>
  <dcterms:created xsi:type="dcterms:W3CDTF">2023-10-12T18:42:00Z</dcterms:created>
  <dcterms:modified xsi:type="dcterms:W3CDTF">2023-10-16T20:56:00Z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0x01010055E96B883108A948B27E6D9F0BCB0C04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