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A4C1" w14:textId="4495C227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Paul McMurdie, Chair</w:t>
      </w:r>
    </w:p>
    <w:p w14:paraId="36B52F39" w14:textId="25A9EC44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Family Court Improvement Committee</w:t>
      </w:r>
    </w:p>
    <w:p w14:paraId="121F7A78" w14:textId="77777777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1501 W. Washington St., Ste. 410</w:t>
      </w:r>
    </w:p>
    <w:p w14:paraId="08E70FD9" w14:textId="77777777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Phoenix, AZ 85007</w:t>
      </w:r>
    </w:p>
    <w:p w14:paraId="7E948FF2" w14:textId="72922E7E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(602) 452-3252</w:t>
      </w:r>
    </w:p>
    <w:p w14:paraId="6D0E8252" w14:textId="70532AD4" w:rsidR="00587E70" w:rsidRDefault="00FB6E88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hyperlink r:id="rId9" w:history="1">
        <w:r w:rsidR="00587E70" w:rsidRPr="00101F30">
          <w:rPr>
            <w:rStyle w:val="Hyperlink"/>
            <w:rFonts w:ascii="Times New Roman" w:eastAsia="Times New Roman" w:hAnsi="Times New Roman" w:cs="Times New Roman"/>
            <w:lang w:val="en"/>
          </w:rPr>
          <w:t>SPickard@courts.az.gov</w:t>
        </w:r>
      </w:hyperlink>
    </w:p>
    <w:p w14:paraId="71AD5132" w14:textId="419EF65C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0A5DFE44" w14:textId="52F03E2F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658E75DA" w14:textId="254C11CD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7253A4A2" w14:textId="52D85F83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IN THE SUPREME COURT</w:t>
      </w:r>
    </w:p>
    <w:p w14:paraId="51D50ADE" w14:textId="750EBE29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</w:p>
    <w:p w14:paraId="51A23117" w14:textId="7826249B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STATE OF ARIZONA</w:t>
      </w:r>
    </w:p>
    <w:p w14:paraId="6A5734CF" w14:textId="2E91D59F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2BBD083C" w14:textId="0DF1A69D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0A918D16" w14:textId="4619BE9B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In the Matter of: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</w:p>
    <w:p w14:paraId="5E84E721" w14:textId="64B209A9" w:rsidR="00697F49" w:rsidRDefault="00697F49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  <w:r w:rsidRPr="00697F49">
        <w:rPr>
          <w:rFonts w:ascii="Times New Roman" w:eastAsia="Times New Roman" w:hAnsi="Times New Roman" w:cs="Times New Roman"/>
          <w:color w:val="21212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Supreme Court No.</w:t>
      </w:r>
    </w:p>
    <w:p w14:paraId="75E1DD3B" w14:textId="13FB2A8C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PETITION TO AMEND</w:t>
      </w:r>
      <w:r w:rsidR="00791BBF" w:rsidRPr="00791BBF">
        <w:rPr>
          <w:rFonts w:ascii="Times New Roman" w:eastAsia="Times New Roman" w:hAnsi="Times New Roman" w:cs="Times New Roman"/>
          <w:color w:val="212121"/>
          <w:lang w:val="en"/>
        </w:rPr>
        <w:t xml:space="preserve"> </w:t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>RULE</w:t>
      </w:r>
      <w:r w:rsidR="0077642B">
        <w:rPr>
          <w:rFonts w:ascii="Times New Roman" w:eastAsia="Times New Roman" w:hAnsi="Times New Roman" w:cs="Times New Roman"/>
          <w:color w:val="212121"/>
          <w:lang w:val="en"/>
        </w:rPr>
        <w:t>S</w:t>
      </w:r>
      <w:r w:rsidR="00D96F32">
        <w:rPr>
          <w:rFonts w:ascii="Times New Roman" w:eastAsia="Times New Roman" w:hAnsi="Times New Roman" w:cs="Times New Roman"/>
          <w:color w:val="212121"/>
          <w:lang w:val="en"/>
        </w:rPr>
        <w:t xml:space="preserve"> 44.1 and 45</w:t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)</w:t>
      </w:r>
    </w:p>
    <w:p w14:paraId="2979D66B" w14:textId="179736F8" w:rsidR="00697F49" w:rsidRDefault="00883036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 xml:space="preserve">RULES 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OF FAMILY LAW PROCEDURE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)</w:t>
      </w:r>
      <w:r w:rsidR="00062E5C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062E5C">
        <w:rPr>
          <w:rFonts w:ascii="Times New Roman" w:eastAsia="Times New Roman" w:hAnsi="Times New Roman" w:cs="Times New Roman"/>
          <w:color w:val="212121"/>
          <w:lang w:val="en"/>
        </w:rPr>
        <w:tab/>
      </w:r>
    </w:p>
    <w:p w14:paraId="68D9FD32" w14:textId="1F249798" w:rsidR="007E69A7" w:rsidRDefault="007E69A7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  <w:r w:rsidR="00062E5C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062E5C">
        <w:rPr>
          <w:rFonts w:ascii="Times New Roman" w:eastAsia="Times New Roman" w:hAnsi="Times New Roman" w:cs="Times New Roman"/>
          <w:color w:val="212121"/>
          <w:lang w:val="en"/>
        </w:rPr>
        <w:tab/>
      </w:r>
    </w:p>
    <w:p w14:paraId="2ECF14B9" w14:textId="53DDC5DF" w:rsidR="00697F49" w:rsidRPr="00587E70" w:rsidRDefault="00697F49" w:rsidP="00587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010BF204" w14:textId="6086C875" w:rsidR="0095732E" w:rsidRDefault="00D96F32" w:rsidP="0095732E">
      <w:pPr>
        <w:spacing w:before="240" w:after="0" w:line="480" w:lineRule="auto"/>
        <w:ind w:righ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Pursuant to the Court’s issuance of Administrative Order No. 2023-119</w:t>
      </w:r>
      <w:r w:rsidR="0095732E">
        <w:rPr>
          <w:rFonts w:ascii="Times New Roman" w:eastAsia="Times New Roman" w:hAnsi="Times New Roman" w:cs="Times New Roman"/>
          <w:bCs/>
          <w:color w:val="000000"/>
        </w:rPr>
        <w:t xml:space="preserve"> adopting the Spousal Maintenance Guidelines, the Family Court Improvement Committee requests that Arizona Rules of Family Law Procedure (ARFLP) 44.1 and 45 be amended.  </w:t>
      </w:r>
    </w:p>
    <w:p w14:paraId="76C2B0DF" w14:textId="7B766C9F" w:rsidR="00D96F32" w:rsidRDefault="0095732E" w:rsidP="0002714E">
      <w:pPr>
        <w:spacing w:before="240" w:after="0" w:line="480" w:lineRule="auto"/>
        <w:ind w:righ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amendment</w:t>
      </w:r>
      <w:r w:rsidR="00062E5C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to ARFLP 44.1 </w:t>
      </w:r>
      <w:r w:rsidR="00062E5C">
        <w:rPr>
          <w:rFonts w:ascii="Times New Roman" w:eastAsia="Times New Roman" w:hAnsi="Times New Roman" w:cs="Times New Roman"/>
          <w:bCs/>
          <w:color w:val="000000"/>
        </w:rPr>
        <w:t xml:space="preserve">and 45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will </w:t>
      </w:r>
      <w:r w:rsidR="00062E5C">
        <w:rPr>
          <w:rFonts w:ascii="Times New Roman" w:eastAsia="Times New Roman" w:hAnsi="Times New Roman" w:cs="Times New Roman"/>
          <w:bCs/>
          <w:color w:val="000000"/>
        </w:rPr>
        <w:t xml:space="preserve">provided necessary data for </w:t>
      </w:r>
      <w:r>
        <w:rPr>
          <w:rFonts w:ascii="Times New Roman" w:eastAsia="Times New Roman" w:hAnsi="Times New Roman" w:cs="Times New Roman"/>
          <w:bCs/>
          <w:color w:val="000000"/>
        </w:rPr>
        <w:t>the Family Court Improvement Committee</w:t>
      </w:r>
      <w:r w:rsidR="00062E5C">
        <w:rPr>
          <w:rFonts w:ascii="Times New Roman" w:eastAsia="Times New Roman" w:hAnsi="Times New Roman" w:cs="Times New Roman"/>
          <w:bCs/>
          <w:color w:val="000000"/>
        </w:rPr>
        <w:t xml:space="preserve"> in conducting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="00062E5C">
        <w:rPr>
          <w:rFonts w:ascii="Times New Roman" w:eastAsia="Times New Roman" w:hAnsi="Times New Roman" w:cs="Times New Roman"/>
          <w:bCs/>
          <w:color w:val="000000"/>
        </w:rPr>
        <w:t xml:space="preserve">quadrennial Spousal Maintenance Guidelines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review. </w:t>
      </w:r>
    </w:p>
    <w:p w14:paraId="0932021B" w14:textId="096182A4" w:rsidR="0002714E" w:rsidRDefault="00062E5C" w:rsidP="0095732E">
      <w:pPr>
        <w:spacing w:before="240" w:after="0" w:line="480" w:lineRule="auto"/>
        <w:ind w:right="72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="0002714E">
        <w:rPr>
          <w:rFonts w:ascii="Times New Roman" w:eastAsia="Times New Roman" w:hAnsi="Times New Roman" w:cs="Times New Roman"/>
          <w:bCs/>
          <w:color w:val="000000"/>
        </w:rPr>
        <w:t>Family Court Improvement Committee</w:t>
      </w:r>
      <w:r w:rsidR="0002714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respectfully requests expedited consideration of this petitio</w:t>
      </w:r>
      <w:r w:rsidR="0002714E">
        <w:rPr>
          <w:rFonts w:ascii="Times New Roman" w:eastAsia="Times New Roman" w:hAnsi="Times New Roman" w:cs="Times New Roman"/>
          <w:bCs/>
          <w:color w:val="000000"/>
        </w:rPr>
        <w:t xml:space="preserve">n, </w:t>
      </w:r>
      <w:r>
        <w:rPr>
          <w:rFonts w:ascii="Times New Roman" w:eastAsia="Times New Roman" w:hAnsi="Times New Roman" w:cs="Times New Roman"/>
          <w:bCs/>
          <w:color w:val="000000"/>
        </w:rPr>
        <w:t>effective January 1, 2024.</w:t>
      </w:r>
    </w:p>
    <w:p w14:paraId="033ABEC1" w14:textId="77777777" w:rsidR="0002714E" w:rsidRDefault="000271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60D5331" w14:textId="0F95DC8D" w:rsidR="0002714E" w:rsidRPr="00996F78" w:rsidRDefault="0002714E" w:rsidP="0002714E">
      <w:pPr>
        <w:spacing w:beforeLines="240" w:before="576" w:line="480" w:lineRule="auto"/>
        <w:rPr>
          <w:rFonts w:ascii="Times New Roman" w:hAnsi="Times New Roman" w:cs="Times New Roman"/>
          <w:b/>
          <w:bCs/>
        </w:rPr>
      </w:pPr>
      <w:r w:rsidRPr="00996F78">
        <w:rPr>
          <w:rFonts w:ascii="Times New Roman" w:hAnsi="Times New Roman" w:cs="Times New Roman"/>
          <w:b/>
          <w:bCs/>
        </w:rPr>
        <w:lastRenderedPageBreak/>
        <w:t>Rule 44.1. Default Decree or Judgment by Motion and Without a Hearing</w:t>
      </w:r>
    </w:p>
    <w:p w14:paraId="77775DF9" w14:textId="31688804" w:rsidR="0002714E" w:rsidRPr="0002714E" w:rsidRDefault="0002714E" w:rsidP="0002714E">
      <w:pPr>
        <w:spacing w:beforeLines="240" w:before="576" w:line="480" w:lineRule="auto"/>
        <w:rPr>
          <w:rFonts w:ascii="Times New Roman" w:hAnsi="Times New Roman" w:cs="Times New Roman"/>
        </w:rPr>
      </w:pPr>
      <w:r w:rsidRPr="0002714E">
        <w:rPr>
          <w:rFonts w:ascii="Times New Roman" w:hAnsi="Times New Roman" w:cs="Times New Roman"/>
        </w:rPr>
        <w:t xml:space="preserve">(a) </w:t>
      </w:r>
      <w:r w:rsidRPr="0002714E">
        <w:rPr>
          <w:rFonts w:ascii="Times New Roman" w:hAnsi="Times New Roman" w:cs="Times New Roman"/>
        </w:rPr>
        <w:t>through (e)(8) no change.</w:t>
      </w:r>
    </w:p>
    <w:p w14:paraId="395D014F" w14:textId="77777777" w:rsidR="0002714E" w:rsidRPr="00996F78" w:rsidRDefault="0002714E" w:rsidP="0002714E">
      <w:pPr>
        <w:spacing w:beforeLines="240" w:before="576" w:line="480" w:lineRule="auto"/>
        <w:rPr>
          <w:rFonts w:ascii="Times New Roman" w:hAnsi="Times New Roman" w:cs="Times New Roman"/>
          <w:b/>
          <w:bCs/>
          <w:u w:val="single"/>
        </w:rPr>
      </w:pPr>
      <w:r w:rsidRPr="00996F78">
        <w:rPr>
          <w:rFonts w:ascii="Times New Roman" w:hAnsi="Times New Roman" w:cs="Times New Roman"/>
          <w:b/>
          <w:bCs/>
        </w:rPr>
        <w:t>(f) Spousal Maintenance.</w:t>
      </w:r>
      <w:r w:rsidRPr="00996F78">
        <w:rPr>
          <w:rFonts w:ascii="Times New Roman" w:hAnsi="Times New Roman" w:cs="Times New Roman"/>
        </w:rPr>
        <w:t xml:space="preserve"> If a party requests spousal maintenance and chooses to proceed by motion without a hearing, the party must file a form substantially similar to Form 6, Rule 97, Default Information for Spousal Maintenance, with the Rule 44 application for default. </w:t>
      </w:r>
      <w:r>
        <w:rPr>
          <w:rFonts w:ascii="Times New Roman" w:hAnsi="Times New Roman" w:cs="Times New Roman"/>
          <w:b/>
          <w:bCs/>
          <w:u w:val="single"/>
        </w:rPr>
        <w:t xml:space="preserve">THE PARTY MUST FILE SEPERATELY THE </w:t>
      </w:r>
      <w:r w:rsidRPr="00996F78">
        <w:rPr>
          <w:rFonts w:ascii="Times New Roman" w:hAnsi="Times New Roman" w:cs="Times New Roman"/>
          <w:b/>
          <w:bCs/>
          <w:u w:val="single"/>
        </w:rPr>
        <w:t xml:space="preserve">SPOUSAL MAINTENANCE </w:t>
      </w:r>
      <w:r>
        <w:rPr>
          <w:rFonts w:ascii="Times New Roman" w:hAnsi="Times New Roman" w:cs="Times New Roman"/>
          <w:b/>
          <w:bCs/>
          <w:u w:val="single"/>
        </w:rPr>
        <w:t xml:space="preserve">GUIDELINES </w:t>
      </w:r>
      <w:r w:rsidRPr="00996F78">
        <w:rPr>
          <w:rFonts w:ascii="Times New Roman" w:hAnsi="Times New Roman" w:cs="Times New Roman"/>
          <w:b/>
          <w:bCs/>
          <w:u w:val="single"/>
        </w:rPr>
        <w:t>WORKSHEET THAT ESTABLISHES THE AMOUNT REQUESTED.</w:t>
      </w:r>
    </w:p>
    <w:p w14:paraId="4008043F" w14:textId="623019B7" w:rsidR="0002714E" w:rsidRPr="0002714E" w:rsidRDefault="0002714E" w:rsidP="0002714E">
      <w:pPr>
        <w:spacing w:beforeLines="240" w:before="576" w:line="480" w:lineRule="auto"/>
        <w:rPr>
          <w:rFonts w:ascii="Times New Roman" w:hAnsi="Times New Roman" w:cs="Times New Roman"/>
        </w:rPr>
      </w:pPr>
      <w:r w:rsidRPr="0002714E">
        <w:rPr>
          <w:rFonts w:ascii="Times New Roman" w:hAnsi="Times New Roman" w:cs="Times New Roman"/>
        </w:rPr>
        <w:t xml:space="preserve">(g) </w:t>
      </w:r>
      <w:r w:rsidRPr="0002714E">
        <w:rPr>
          <w:rFonts w:ascii="Times New Roman" w:hAnsi="Times New Roman" w:cs="Times New Roman"/>
        </w:rPr>
        <w:t>through end no change.</w:t>
      </w:r>
    </w:p>
    <w:p w14:paraId="7000C5C8" w14:textId="77777777" w:rsidR="0002714E" w:rsidRDefault="0002714E" w:rsidP="0002714E">
      <w:pPr>
        <w:spacing w:beforeLines="240" w:before="576" w:line="480" w:lineRule="auto"/>
        <w:rPr>
          <w:rFonts w:ascii="Times New Roman" w:hAnsi="Times New Roman" w:cs="Times New Roman"/>
          <w:b/>
          <w:bCs/>
        </w:rPr>
      </w:pPr>
      <w:r w:rsidRPr="00996F78">
        <w:rPr>
          <w:rFonts w:ascii="Times New Roman" w:hAnsi="Times New Roman" w:cs="Times New Roman"/>
          <w:b/>
          <w:bCs/>
        </w:rPr>
        <w:t>Rule 45. Consent Decree, Judgment, or Order</w:t>
      </w:r>
    </w:p>
    <w:p w14:paraId="54B1909B" w14:textId="0C9A393A" w:rsidR="0002714E" w:rsidRPr="0002714E" w:rsidRDefault="0002714E" w:rsidP="0002714E">
      <w:pPr>
        <w:spacing w:beforeLines="240" w:before="576" w:line="480" w:lineRule="auto"/>
        <w:rPr>
          <w:rFonts w:ascii="Times New Roman" w:hAnsi="Times New Roman" w:cs="Times New Roman"/>
        </w:rPr>
      </w:pPr>
      <w:r w:rsidRPr="0002714E">
        <w:rPr>
          <w:rFonts w:ascii="Times New Roman" w:hAnsi="Times New Roman" w:cs="Times New Roman"/>
        </w:rPr>
        <w:t xml:space="preserve">(a) </w:t>
      </w:r>
      <w:r w:rsidRPr="0002714E">
        <w:rPr>
          <w:rFonts w:ascii="Times New Roman" w:hAnsi="Times New Roman" w:cs="Times New Roman"/>
        </w:rPr>
        <w:t>through (a)(3) no change.</w:t>
      </w:r>
    </w:p>
    <w:p w14:paraId="3B056D5D" w14:textId="77777777" w:rsidR="0002714E" w:rsidRPr="00996F78" w:rsidRDefault="0002714E" w:rsidP="0002714E">
      <w:pPr>
        <w:spacing w:beforeLines="240" w:before="576" w:line="480" w:lineRule="auto"/>
        <w:rPr>
          <w:rFonts w:ascii="Times New Roman" w:hAnsi="Times New Roman" w:cs="Times New Roman"/>
        </w:rPr>
      </w:pPr>
      <w:r w:rsidRPr="00996F78">
        <w:rPr>
          <w:rFonts w:ascii="Times New Roman" w:hAnsi="Times New Roman" w:cs="Times New Roman"/>
          <w:b/>
          <w:bCs/>
        </w:rPr>
        <w:t>(b) Content of Consent Decree, Judgment, or Order.</w:t>
      </w:r>
      <w:r w:rsidRPr="00996F78">
        <w:rPr>
          <w:rFonts w:ascii="Times New Roman" w:hAnsi="Times New Roman" w:cs="Times New Roman"/>
        </w:rPr>
        <w:t xml:space="preserve"> The consent decree, order, or judgment must meet these requirements:</w:t>
      </w:r>
    </w:p>
    <w:p w14:paraId="5A416791" w14:textId="77777777" w:rsidR="0002714E" w:rsidRPr="00696FCF" w:rsidRDefault="0002714E" w:rsidP="0002714E">
      <w:pPr>
        <w:spacing w:beforeLines="240" w:before="576" w:line="480" w:lineRule="auto"/>
        <w:rPr>
          <w:rFonts w:ascii="Times New Roman" w:hAnsi="Times New Roman" w:cs="Times New Roman"/>
        </w:rPr>
      </w:pPr>
      <w:r w:rsidRPr="00996F78">
        <w:rPr>
          <w:rFonts w:ascii="Times New Roman" w:hAnsi="Times New Roman" w:cs="Times New Roman"/>
        </w:rPr>
        <w:t>(1) It must state the terms of the parties' agreement.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FOR DISSOLUTION OR LEGAL SEPARATION DECREES, IF THE PARTIES AGREE TO SPOUSAL MAINTENANCE, THE CONSENT DECREE, ORDER, OR JUDGMENT MUST INCLUDE A SPOUSAL MAINTENANCE ORDER SUPPORTED BY A SPOUSAL MAINTENANCE </w:t>
      </w:r>
      <w:r>
        <w:rPr>
          <w:rFonts w:ascii="Times New Roman" w:hAnsi="Times New Roman" w:cs="Times New Roman"/>
          <w:b/>
          <w:bCs/>
          <w:u w:val="single"/>
        </w:rPr>
        <w:lastRenderedPageBreak/>
        <w:t>GUIDELINES WORKSHEET. IF THE PARTIES REQUEST A DEVIATION IN THE SPOUSAL MAINTENANCE AMOUNT, THE DECREE, ORDER, OR JUDGMENT MUST STATE THE BASIS FOR DEVIATION UNDER THE SPOUSAL MAINTENANCE GUIDELINES.</w:t>
      </w:r>
    </w:p>
    <w:p w14:paraId="05F467B8" w14:textId="5B954AC0" w:rsidR="00A33E2C" w:rsidRDefault="0002714E" w:rsidP="0002714E">
      <w:pPr>
        <w:spacing w:beforeLines="240" w:before="576" w:line="480" w:lineRule="auto"/>
      </w:pPr>
      <w:r>
        <w:rPr>
          <w:rFonts w:ascii="Times New Roman" w:hAnsi="Times New Roman" w:cs="Times New Roman"/>
        </w:rPr>
        <w:t>(b)</w:t>
      </w:r>
      <w:r w:rsidRPr="00996F78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through (c)(7) no change.</w:t>
      </w:r>
    </w:p>
    <w:p w14:paraId="458F84AC" w14:textId="15EAC887" w:rsidR="00281558" w:rsidRPr="00587E70" w:rsidRDefault="00281558" w:rsidP="0002714E">
      <w:pPr>
        <w:spacing w:beforeLines="240" w:before="576" w:after="0" w:line="480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sectPr w:rsidR="00281558" w:rsidRPr="00587E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3AF7" w14:textId="77777777" w:rsidR="00FB6E88" w:rsidRDefault="00FB6E88" w:rsidP="00191225">
      <w:pPr>
        <w:spacing w:after="0" w:line="240" w:lineRule="auto"/>
      </w:pPr>
      <w:r>
        <w:separator/>
      </w:r>
    </w:p>
  </w:endnote>
  <w:endnote w:type="continuationSeparator" w:id="0">
    <w:p w14:paraId="27B31FFB" w14:textId="77777777" w:rsidR="00FB6E88" w:rsidRDefault="00FB6E88" w:rsidP="0019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121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26B5A" w14:textId="3BFF7939" w:rsidR="00191225" w:rsidRDefault="001912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79E26" w14:textId="77777777" w:rsidR="00191225" w:rsidRDefault="0019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CF3E" w14:textId="77777777" w:rsidR="00FB6E88" w:rsidRDefault="00FB6E88" w:rsidP="00191225">
      <w:pPr>
        <w:spacing w:after="0" w:line="240" w:lineRule="auto"/>
      </w:pPr>
      <w:r>
        <w:separator/>
      </w:r>
    </w:p>
  </w:footnote>
  <w:footnote w:type="continuationSeparator" w:id="0">
    <w:p w14:paraId="460B6F14" w14:textId="77777777" w:rsidR="00FB6E88" w:rsidRDefault="00FB6E88" w:rsidP="0019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xMzcxNDAwszQyMzRU0lEKTi0uzszPAykwrAUAd44cBiwAAAA="/>
  </w:docVars>
  <w:rsids>
    <w:rsidRoot w:val="00281558"/>
    <w:rsid w:val="0002714E"/>
    <w:rsid w:val="00045445"/>
    <w:rsid w:val="00062E5C"/>
    <w:rsid w:val="00191225"/>
    <w:rsid w:val="00235914"/>
    <w:rsid w:val="00281558"/>
    <w:rsid w:val="00474D13"/>
    <w:rsid w:val="0051245F"/>
    <w:rsid w:val="00587E70"/>
    <w:rsid w:val="005A5685"/>
    <w:rsid w:val="005B2D3B"/>
    <w:rsid w:val="005E4A38"/>
    <w:rsid w:val="00697F49"/>
    <w:rsid w:val="006B30BC"/>
    <w:rsid w:val="007013A4"/>
    <w:rsid w:val="00735120"/>
    <w:rsid w:val="0077642B"/>
    <w:rsid w:val="0078744A"/>
    <w:rsid w:val="00791BBF"/>
    <w:rsid w:val="007E69A7"/>
    <w:rsid w:val="00883036"/>
    <w:rsid w:val="0089394E"/>
    <w:rsid w:val="008E317E"/>
    <w:rsid w:val="009334D1"/>
    <w:rsid w:val="00943C08"/>
    <w:rsid w:val="0095732E"/>
    <w:rsid w:val="00A33E2C"/>
    <w:rsid w:val="00B94D27"/>
    <w:rsid w:val="00BB20D5"/>
    <w:rsid w:val="00CA0DA2"/>
    <w:rsid w:val="00D0074A"/>
    <w:rsid w:val="00D72E9E"/>
    <w:rsid w:val="00D91A18"/>
    <w:rsid w:val="00D96F32"/>
    <w:rsid w:val="00F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545"/>
  <w15:docId w15:val="{4B415CAE-36FE-467B-947A-BD114558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558"/>
    <w:pPr>
      <w:spacing w:before="100" w:beforeAutospacing="1" w:after="160" w:line="240" w:lineRule="auto"/>
      <w:outlineLvl w:val="1"/>
    </w:pPr>
    <w:rPr>
      <w:rFonts w:ascii="Times New Roman" w:eastAsia="Times New Roman" w:hAnsi="Times New Roman" w:cs="Times New Roman"/>
      <w:b/>
      <w:bCs/>
      <w:color w:val="21212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558"/>
    <w:rPr>
      <w:rFonts w:ascii="Times New Roman" w:eastAsia="Times New Roman" w:hAnsi="Times New Roman" w:cs="Times New Roman"/>
      <w:b/>
      <w:bCs/>
      <w:color w:val="21212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1558"/>
    <w:rPr>
      <w:strike w:val="0"/>
      <w:dstrike w:val="0"/>
      <w:color w:val="145DA4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81558"/>
    <w:rPr>
      <w:i/>
      <w:iCs/>
    </w:rPr>
  </w:style>
  <w:style w:type="character" w:styleId="Strong">
    <w:name w:val="Strong"/>
    <w:basedOn w:val="DefaultParagraphFont"/>
    <w:uiPriority w:val="22"/>
    <w:qFormat/>
    <w:rsid w:val="002815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25"/>
  </w:style>
  <w:style w:type="paragraph" w:styleId="Footer">
    <w:name w:val="footer"/>
    <w:basedOn w:val="Normal"/>
    <w:link w:val="FooterChar"/>
    <w:uiPriority w:val="99"/>
    <w:unhideWhenUsed/>
    <w:rsid w:val="0019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25"/>
  </w:style>
  <w:style w:type="character" w:styleId="UnresolvedMention">
    <w:name w:val="Unresolved Mention"/>
    <w:basedOn w:val="DefaultParagraphFont"/>
    <w:uiPriority w:val="99"/>
    <w:semiHidden/>
    <w:unhideWhenUsed/>
    <w:rsid w:val="00587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14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4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6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5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0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1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4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02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8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78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9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7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09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96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2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41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8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7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40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67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7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9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7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7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1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9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4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9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9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2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91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4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67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94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9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1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17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9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0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5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3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1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8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17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0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7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42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2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2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7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73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7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1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5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Pickard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2" ma:contentTypeDescription="Create a new document." ma:contentTypeScope="" ma:versionID="46a848d3b49c1299f8232903330459e6">
  <xsd:schema xmlns:xsd="http://www.w3.org/2001/XMLSchema" xmlns:xs="http://www.w3.org/2001/XMLSchema" xmlns:p="http://schemas.microsoft.com/office/2006/metadata/properties" xmlns:ns3="20facea6-09ae-4289-b24d-eda435eabd86" targetNamespace="http://schemas.microsoft.com/office/2006/metadata/properties" ma:root="true" ma:fieldsID="f2f2188e967fa5d07a79832ed0a404e7" ns3:_=""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D09E4-A149-4A37-9DED-8E65A6144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9E7E8-B4AC-4C79-A927-41AA02A0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B433C-F20A-4AF2-B45C-13844176A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Sell</dc:creator>
  <cp:keywords/>
  <dc:description/>
  <cp:lastModifiedBy>Pickard, Susan</cp:lastModifiedBy>
  <cp:revision>2</cp:revision>
  <dcterms:created xsi:type="dcterms:W3CDTF">2023-07-06T18:18:00Z</dcterms:created>
  <dcterms:modified xsi:type="dcterms:W3CDTF">2023-07-06T18:18:00Z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