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2078" w14:textId="77777777" w:rsidR="002477F1" w:rsidRPr="007029A9" w:rsidRDefault="002477F1" w:rsidP="002477F1">
      <w:pPr>
        <w:spacing w:before="120"/>
        <w:rPr>
          <w:sz w:val="28"/>
          <w:szCs w:val="28"/>
        </w:rPr>
      </w:pPr>
      <w:bookmarkStart w:id="0" w:name="_Hlk96335432"/>
      <w:r w:rsidRPr="007029A9">
        <w:rPr>
          <w:sz w:val="28"/>
          <w:szCs w:val="28"/>
        </w:rPr>
        <w:t xml:space="preserve">Kathleen E. Brody (#026331)  </w:t>
      </w:r>
    </w:p>
    <w:bookmarkStart w:id="1" w:name="Email"/>
    <w:bookmarkEnd w:id="1"/>
    <w:p w14:paraId="4CF5518B" w14:textId="77777777" w:rsidR="002477F1" w:rsidRPr="007029A9" w:rsidRDefault="002477F1" w:rsidP="002477F1">
      <w:pPr>
        <w:rPr>
          <w:sz w:val="28"/>
          <w:szCs w:val="28"/>
        </w:rPr>
      </w:pPr>
      <w:r w:rsidRPr="007029A9">
        <w:rPr>
          <w:sz w:val="28"/>
          <w:szCs w:val="28"/>
        </w:rPr>
        <w:fldChar w:fldCharType="begin"/>
      </w:r>
      <w:r w:rsidRPr="007029A9">
        <w:rPr>
          <w:sz w:val="28"/>
          <w:szCs w:val="28"/>
        </w:rPr>
        <w:instrText xml:space="preserve"> HYPERLINK "mailto:kathy@mscclaw.com" </w:instrText>
      </w:r>
      <w:r w:rsidRPr="007029A9">
        <w:rPr>
          <w:sz w:val="28"/>
          <w:szCs w:val="28"/>
        </w:rPr>
      </w:r>
      <w:r w:rsidRPr="007029A9">
        <w:rPr>
          <w:sz w:val="28"/>
          <w:szCs w:val="28"/>
        </w:rPr>
        <w:fldChar w:fldCharType="separate"/>
      </w:r>
      <w:r w:rsidRPr="007029A9">
        <w:rPr>
          <w:rStyle w:val="Hyperlink"/>
          <w:sz w:val="28"/>
          <w:szCs w:val="28"/>
        </w:rPr>
        <w:t>kathy@mscclaw.com</w:t>
      </w:r>
      <w:r w:rsidRPr="007029A9">
        <w:rPr>
          <w:sz w:val="28"/>
          <w:szCs w:val="28"/>
        </w:rPr>
        <w:fldChar w:fldCharType="end"/>
      </w:r>
    </w:p>
    <w:p w14:paraId="7A4629F1" w14:textId="77777777" w:rsidR="002477F1" w:rsidRPr="007029A9" w:rsidRDefault="002477F1" w:rsidP="002477F1">
      <w:pPr>
        <w:rPr>
          <w:sz w:val="28"/>
          <w:szCs w:val="28"/>
        </w:rPr>
      </w:pPr>
      <w:r w:rsidRPr="007029A9">
        <w:rPr>
          <w:sz w:val="28"/>
          <w:szCs w:val="28"/>
        </w:rPr>
        <w:t>MITCHELL | STEIN | CAREY | CHAPMAN, PC</w:t>
      </w:r>
    </w:p>
    <w:p w14:paraId="70C40AB1" w14:textId="77777777" w:rsidR="002477F1" w:rsidRPr="007029A9" w:rsidRDefault="002477F1" w:rsidP="002477F1">
      <w:pPr>
        <w:rPr>
          <w:sz w:val="28"/>
          <w:szCs w:val="28"/>
        </w:rPr>
      </w:pPr>
      <w:r w:rsidRPr="007029A9">
        <w:rPr>
          <w:sz w:val="28"/>
          <w:szCs w:val="28"/>
        </w:rPr>
        <w:t>2600 North Central Avenue, Suite 1000</w:t>
      </w:r>
    </w:p>
    <w:p w14:paraId="2BDB2A27" w14:textId="77777777" w:rsidR="002477F1" w:rsidRPr="007029A9" w:rsidRDefault="002477F1" w:rsidP="002477F1">
      <w:pPr>
        <w:rPr>
          <w:sz w:val="28"/>
          <w:szCs w:val="28"/>
        </w:rPr>
      </w:pPr>
      <w:r w:rsidRPr="007029A9">
        <w:rPr>
          <w:sz w:val="28"/>
          <w:szCs w:val="28"/>
        </w:rPr>
        <w:t>Phoenix, AZ 85004</w:t>
      </w:r>
    </w:p>
    <w:p w14:paraId="11ECEBC5" w14:textId="77777777" w:rsidR="002477F1" w:rsidRPr="007029A9" w:rsidRDefault="002477F1" w:rsidP="002477F1">
      <w:pPr>
        <w:rPr>
          <w:sz w:val="28"/>
          <w:szCs w:val="28"/>
        </w:rPr>
      </w:pPr>
      <w:r w:rsidRPr="007029A9">
        <w:rPr>
          <w:sz w:val="28"/>
          <w:szCs w:val="28"/>
        </w:rPr>
        <w:t>Telephone:  (602) 358-0290</w:t>
      </w:r>
    </w:p>
    <w:p w14:paraId="491D90A0" w14:textId="4FE07A6A" w:rsidR="002477F1" w:rsidRPr="007029A9" w:rsidRDefault="002477F1" w:rsidP="002477F1">
      <w:pPr>
        <w:rPr>
          <w:sz w:val="28"/>
          <w:szCs w:val="28"/>
        </w:rPr>
      </w:pPr>
      <w:r w:rsidRPr="007029A9">
        <w:rPr>
          <w:sz w:val="28"/>
          <w:szCs w:val="28"/>
        </w:rPr>
        <w:t>Facsimile:   (602) 358-0291</w:t>
      </w:r>
    </w:p>
    <w:p w14:paraId="71C50B59" w14:textId="2F51432E" w:rsidR="002037D3" w:rsidRPr="007029A9" w:rsidRDefault="002037D3" w:rsidP="002477F1">
      <w:pPr>
        <w:rPr>
          <w:sz w:val="28"/>
          <w:szCs w:val="28"/>
        </w:rPr>
      </w:pPr>
    </w:p>
    <w:p w14:paraId="4C29C8EA" w14:textId="77777777" w:rsidR="007F6B47" w:rsidRPr="007029A9" w:rsidRDefault="007F6B47" w:rsidP="007F6B47">
      <w:pPr>
        <w:rPr>
          <w:snapToGrid/>
          <w:sz w:val="28"/>
          <w:szCs w:val="28"/>
        </w:rPr>
      </w:pPr>
      <w:r w:rsidRPr="007029A9">
        <w:rPr>
          <w:sz w:val="28"/>
          <w:szCs w:val="28"/>
        </w:rPr>
        <w:t>Jared G. Keenan (#027068)</w:t>
      </w:r>
    </w:p>
    <w:p w14:paraId="7A0D8761" w14:textId="77777777" w:rsidR="007F6B47" w:rsidRPr="007029A9" w:rsidRDefault="00B17966" w:rsidP="007F6B47">
      <w:pPr>
        <w:rPr>
          <w:sz w:val="28"/>
          <w:szCs w:val="28"/>
        </w:rPr>
      </w:pPr>
      <w:hyperlink r:id="rId7" w:history="1">
        <w:r w:rsidR="007F6B47" w:rsidRPr="007029A9">
          <w:rPr>
            <w:rStyle w:val="Hyperlink"/>
            <w:sz w:val="28"/>
            <w:szCs w:val="28"/>
          </w:rPr>
          <w:t>jkeenan@acluaz.org</w:t>
        </w:r>
      </w:hyperlink>
    </w:p>
    <w:p w14:paraId="740F944A" w14:textId="77777777" w:rsidR="007F6B47" w:rsidRPr="007029A9" w:rsidRDefault="007F6B47" w:rsidP="007F6B47">
      <w:pPr>
        <w:rPr>
          <w:sz w:val="28"/>
          <w:szCs w:val="28"/>
        </w:rPr>
      </w:pPr>
      <w:r w:rsidRPr="007029A9">
        <w:rPr>
          <w:sz w:val="28"/>
          <w:szCs w:val="28"/>
        </w:rPr>
        <w:t>American Civil Liberties Union Foundation of Arizona</w:t>
      </w:r>
    </w:p>
    <w:p w14:paraId="14B8C50F" w14:textId="77777777" w:rsidR="007F6B47" w:rsidRPr="007029A9" w:rsidRDefault="007F6B47" w:rsidP="007F6B47">
      <w:pPr>
        <w:rPr>
          <w:sz w:val="28"/>
          <w:szCs w:val="28"/>
        </w:rPr>
      </w:pPr>
      <w:r w:rsidRPr="007029A9">
        <w:rPr>
          <w:sz w:val="28"/>
          <w:szCs w:val="28"/>
        </w:rPr>
        <w:t>3707 N. 7th Street, Suite 235</w:t>
      </w:r>
    </w:p>
    <w:p w14:paraId="0F6C92C4" w14:textId="77777777" w:rsidR="007F6B47" w:rsidRPr="007029A9" w:rsidRDefault="007F6B47" w:rsidP="007F6B47">
      <w:pPr>
        <w:rPr>
          <w:sz w:val="28"/>
          <w:szCs w:val="28"/>
        </w:rPr>
      </w:pPr>
      <w:r w:rsidRPr="007029A9">
        <w:rPr>
          <w:sz w:val="28"/>
          <w:szCs w:val="28"/>
        </w:rPr>
        <w:t>Phoenix, AZ 85014</w:t>
      </w:r>
    </w:p>
    <w:p w14:paraId="096D71E3" w14:textId="391A8B8A" w:rsidR="004D6B3D" w:rsidRPr="007029A9" w:rsidRDefault="007F6B47" w:rsidP="007F6B47">
      <w:pPr>
        <w:rPr>
          <w:sz w:val="28"/>
          <w:szCs w:val="28"/>
        </w:rPr>
      </w:pPr>
      <w:r w:rsidRPr="007029A9">
        <w:rPr>
          <w:sz w:val="28"/>
          <w:szCs w:val="28"/>
        </w:rPr>
        <w:t>Telephone:  (602) 773-6021</w:t>
      </w:r>
    </w:p>
    <w:p w14:paraId="4A67F3CA" w14:textId="77777777" w:rsidR="007F6B47" w:rsidRPr="007029A9" w:rsidRDefault="007F6B47" w:rsidP="007F6B47">
      <w:pPr>
        <w:rPr>
          <w:sz w:val="28"/>
          <w:szCs w:val="28"/>
        </w:rPr>
      </w:pPr>
    </w:p>
    <w:p w14:paraId="6CF0403F" w14:textId="4E8B8332" w:rsidR="004D6B3D" w:rsidRPr="007029A9" w:rsidRDefault="004D6B3D" w:rsidP="002477F1">
      <w:pPr>
        <w:rPr>
          <w:i/>
          <w:iCs/>
          <w:sz w:val="28"/>
          <w:szCs w:val="28"/>
        </w:rPr>
      </w:pPr>
      <w:r w:rsidRPr="007029A9">
        <w:rPr>
          <w:i/>
          <w:iCs/>
          <w:sz w:val="28"/>
          <w:szCs w:val="28"/>
        </w:rPr>
        <w:t>Attorneys for Arizona Attorneys for Criminal Justice</w:t>
      </w:r>
    </w:p>
    <w:p w14:paraId="7117C7BD" w14:textId="77777777" w:rsidR="002477F1" w:rsidRPr="007029A9" w:rsidRDefault="002477F1" w:rsidP="002477F1">
      <w:pPr>
        <w:rPr>
          <w:sz w:val="28"/>
          <w:szCs w:val="28"/>
        </w:rPr>
      </w:pPr>
    </w:p>
    <w:p w14:paraId="38569326" w14:textId="77777777" w:rsidR="002477F1" w:rsidRPr="007029A9" w:rsidRDefault="002477F1" w:rsidP="002477F1">
      <w:pPr>
        <w:jc w:val="center"/>
        <w:rPr>
          <w:b/>
          <w:bCs/>
          <w:sz w:val="28"/>
          <w:szCs w:val="28"/>
        </w:rPr>
      </w:pPr>
      <w:r w:rsidRPr="007029A9">
        <w:rPr>
          <w:b/>
          <w:bCs/>
          <w:sz w:val="28"/>
          <w:szCs w:val="28"/>
        </w:rPr>
        <w:t>SUPREME COURT OF ARIZONA</w:t>
      </w:r>
    </w:p>
    <w:p w14:paraId="6C57EB73" w14:textId="77777777" w:rsidR="002477F1" w:rsidRPr="007029A9" w:rsidRDefault="002477F1" w:rsidP="002477F1">
      <w:pPr>
        <w:jc w:val="center"/>
        <w:rPr>
          <w:sz w:val="28"/>
          <w:szCs w:val="28"/>
        </w:rPr>
      </w:pPr>
    </w:p>
    <w:tbl>
      <w:tblPr>
        <w:tblW w:w="0" w:type="auto"/>
        <w:tblLayout w:type="fixed"/>
        <w:tblCellMar>
          <w:left w:w="0" w:type="dxa"/>
          <w:right w:w="0" w:type="dxa"/>
        </w:tblCellMar>
        <w:tblLook w:val="0000" w:firstRow="0" w:lastRow="0" w:firstColumn="0" w:lastColumn="0" w:noHBand="0" w:noVBand="0"/>
      </w:tblPr>
      <w:tblGrid>
        <w:gridCol w:w="4500"/>
        <w:gridCol w:w="318"/>
        <w:gridCol w:w="4542"/>
      </w:tblGrid>
      <w:tr w:rsidR="002477F1" w:rsidRPr="007029A9" w14:paraId="50CF5E5C" w14:textId="77777777" w:rsidTr="00A60328">
        <w:tc>
          <w:tcPr>
            <w:tcW w:w="4500" w:type="dxa"/>
            <w:tcBorders>
              <w:bottom w:val="single" w:sz="4" w:space="0" w:color="auto"/>
            </w:tcBorders>
          </w:tcPr>
          <w:p w14:paraId="03F08208" w14:textId="2FFD8FE9" w:rsidR="002477F1" w:rsidRPr="007029A9" w:rsidRDefault="00C209F2" w:rsidP="00A60328">
            <w:pPr>
              <w:rPr>
                <w:sz w:val="28"/>
                <w:szCs w:val="28"/>
              </w:rPr>
            </w:pPr>
            <w:bookmarkStart w:id="2" w:name="Parties"/>
            <w:bookmarkEnd w:id="2"/>
            <w:r w:rsidRPr="007029A9">
              <w:rPr>
                <w:sz w:val="28"/>
                <w:szCs w:val="28"/>
              </w:rPr>
              <w:t xml:space="preserve">In the </w:t>
            </w:r>
            <w:r w:rsidR="004D6B3D" w:rsidRPr="007029A9">
              <w:rPr>
                <w:sz w:val="28"/>
                <w:szCs w:val="28"/>
              </w:rPr>
              <w:t>m</w:t>
            </w:r>
            <w:r w:rsidRPr="007029A9">
              <w:rPr>
                <w:sz w:val="28"/>
                <w:szCs w:val="28"/>
              </w:rPr>
              <w:t>atter of</w:t>
            </w:r>
            <w:r w:rsidR="004D6B3D" w:rsidRPr="007029A9">
              <w:rPr>
                <w:sz w:val="28"/>
                <w:szCs w:val="28"/>
              </w:rPr>
              <w:t>:</w:t>
            </w:r>
          </w:p>
          <w:p w14:paraId="7FA59031" w14:textId="0D9996FF" w:rsidR="00C209F2" w:rsidRPr="007029A9" w:rsidRDefault="00C209F2" w:rsidP="00A60328">
            <w:pPr>
              <w:rPr>
                <w:sz w:val="28"/>
                <w:szCs w:val="28"/>
              </w:rPr>
            </w:pPr>
          </w:p>
          <w:p w14:paraId="0B73AD37" w14:textId="2DC5D92D" w:rsidR="002477F1" w:rsidRPr="007029A9" w:rsidRDefault="004D6B3D" w:rsidP="00A60328">
            <w:pPr>
              <w:rPr>
                <w:sz w:val="28"/>
                <w:szCs w:val="28"/>
              </w:rPr>
            </w:pPr>
            <w:r w:rsidRPr="007029A9">
              <w:rPr>
                <w:sz w:val="28"/>
                <w:szCs w:val="28"/>
              </w:rPr>
              <w:t>Petition to Amend Arizona Rule of Criminal Procedure 39(</w:t>
            </w:r>
            <w:r w:rsidR="00BA350B" w:rsidRPr="007029A9">
              <w:rPr>
                <w:sz w:val="28"/>
                <w:szCs w:val="28"/>
              </w:rPr>
              <w:t>b)(12)</w:t>
            </w:r>
          </w:p>
        </w:tc>
        <w:tc>
          <w:tcPr>
            <w:tcW w:w="318" w:type="dxa"/>
          </w:tcPr>
          <w:p w14:paraId="6FC8C9C7" w14:textId="77777777" w:rsidR="002477F1" w:rsidRPr="007029A9" w:rsidRDefault="002477F1" w:rsidP="00A60328">
            <w:pPr>
              <w:rPr>
                <w:sz w:val="28"/>
                <w:szCs w:val="28"/>
              </w:rPr>
            </w:pPr>
            <w:r w:rsidRPr="007029A9">
              <w:rPr>
                <w:sz w:val="28"/>
                <w:szCs w:val="28"/>
              </w:rPr>
              <w:t>)</w:t>
            </w:r>
          </w:p>
          <w:p w14:paraId="04F1DD58" w14:textId="77777777" w:rsidR="002477F1" w:rsidRPr="007029A9" w:rsidRDefault="002477F1" w:rsidP="00A60328">
            <w:pPr>
              <w:rPr>
                <w:sz w:val="28"/>
                <w:szCs w:val="28"/>
              </w:rPr>
            </w:pPr>
            <w:r w:rsidRPr="007029A9">
              <w:rPr>
                <w:sz w:val="28"/>
                <w:szCs w:val="28"/>
              </w:rPr>
              <w:t>)</w:t>
            </w:r>
          </w:p>
          <w:p w14:paraId="4DC52ACC" w14:textId="77777777" w:rsidR="002477F1" w:rsidRPr="007029A9" w:rsidRDefault="002477F1" w:rsidP="00A60328">
            <w:pPr>
              <w:rPr>
                <w:sz w:val="28"/>
                <w:szCs w:val="28"/>
              </w:rPr>
            </w:pPr>
            <w:r w:rsidRPr="007029A9">
              <w:rPr>
                <w:sz w:val="28"/>
                <w:szCs w:val="28"/>
              </w:rPr>
              <w:t>)</w:t>
            </w:r>
          </w:p>
          <w:p w14:paraId="2007A5EF" w14:textId="77777777" w:rsidR="002477F1" w:rsidRPr="007029A9" w:rsidRDefault="002477F1" w:rsidP="00A60328">
            <w:pPr>
              <w:rPr>
                <w:sz w:val="28"/>
                <w:szCs w:val="28"/>
              </w:rPr>
            </w:pPr>
            <w:r w:rsidRPr="007029A9">
              <w:rPr>
                <w:sz w:val="28"/>
                <w:szCs w:val="28"/>
              </w:rPr>
              <w:t>)</w:t>
            </w:r>
          </w:p>
          <w:p w14:paraId="607582C9" w14:textId="77777777" w:rsidR="002477F1" w:rsidRPr="007029A9" w:rsidRDefault="002477F1" w:rsidP="00A60328">
            <w:pPr>
              <w:rPr>
                <w:sz w:val="28"/>
                <w:szCs w:val="28"/>
              </w:rPr>
            </w:pPr>
            <w:r w:rsidRPr="007029A9">
              <w:rPr>
                <w:sz w:val="28"/>
                <w:szCs w:val="28"/>
              </w:rPr>
              <w:t>)</w:t>
            </w:r>
          </w:p>
          <w:p w14:paraId="53B53278" w14:textId="77777777" w:rsidR="002477F1" w:rsidRPr="007029A9" w:rsidRDefault="002477F1" w:rsidP="00A60328">
            <w:pPr>
              <w:rPr>
                <w:sz w:val="28"/>
                <w:szCs w:val="28"/>
              </w:rPr>
            </w:pPr>
            <w:r w:rsidRPr="007029A9">
              <w:rPr>
                <w:sz w:val="28"/>
                <w:szCs w:val="28"/>
              </w:rPr>
              <w:t>)</w:t>
            </w:r>
          </w:p>
          <w:p w14:paraId="56DB3D8B" w14:textId="77777777" w:rsidR="008D0D96" w:rsidRPr="007029A9" w:rsidRDefault="0000310B" w:rsidP="00A60328">
            <w:pPr>
              <w:rPr>
                <w:sz w:val="28"/>
                <w:szCs w:val="28"/>
              </w:rPr>
            </w:pPr>
            <w:r w:rsidRPr="007029A9">
              <w:rPr>
                <w:sz w:val="28"/>
                <w:szCs w:val="28"/>
              </w:rPr>
              <w:t>)</w:t>
            </w:r>
          </w:p>
          <w:p w14:paraId="5E322891" w14:textId="33D4D9E2" w:rsidR="0000310B" w:rsidRPr="007029A9" w:rsidRDefault="0000310B" w:rsidP="00A60328">
            <w:pPr>
              <w:rPr>
                <w:sz w:val="28"/>
                <w:szCs w:val="28"/>
              </w:rPr>
            </w:pPr>
            <w:r w:rsidRPr="007029A9">
              <w:rPr>
                <w:sz w:val="28"/>
                <w:szCs w:val="28"/>
              </w:rPr>
              <w:t>)</w:t>
            </w:r>
          </w:p>
        </w:tc>
        <w:tc>
          <w:tcPr>
            <w:tcW w:w="4542" w:type="dxa"/>
          </w:tcPr>
          <w:p w14:paraId="454B25E1" w14:textId="77777777" w:rsidR="002477F1" w:rsidRPr="007029A9" w:rsidRDefault="002477F1" w:rsidP="00A60328">
            <w:pPr>
              <w:rPr>
                <w:sz w:val="28"/>
                <w:szCs w:val="28"/>
              </w:rPr>
            </w:pPr>
            <w:r w:rsidRPr="007029A9">
              <w:rPr>
                <w:sz w:val="28"/>
                <w:szCs w:val="28"/>
              </w:rPr>
              <w:t>Arizona Supreme Court</w:t>
            </w:r>
          </w:p>
          <w:p w14:paraId="6EF91575" w14:textId="6B0174E5" w:rsidR="002477F1" w:rsidRPr="007029A9" w:rsidRDefault="002477F1" w:rsidP="00A60328">
            <w:pPr>
              <w:rPr>
                <w:sz w:val="28"/>
                <w:szCs w:val="28"/>
              </w:rPr>
            </w:pPr>
            <w:r w:rsidRPr="007029A9">
              <w:rPr>
                <w:sz w:val="28"/>
                <w:szCs w:val="28"/>
              </w:rPr>
              <w:t xml:space="preserve">No. </w:t>
            </w:r>
            <w:r w:rsidR="00C209F2" w:rsidRPr="007029A9">
              <w:rPr>
                <w:sz w:val="28"/>
                <w:szCs w:val="28"/>
              </w:rPr>
              <w:t>R-22-</w:t>
            </w:r>
            <w:r w:rsidR="0000310B" w:rsidRPr="007029A9">
              <w:rPr>
                <w:sz w:val="28"/>
                <w:szCs w:val="28"/>
              </w:rPr>
              <w:t>0045</w:t>
            </w:r>
          </w:p>
          <w:p w14:paraId="64B918D8" w14:textId="77777777" w:rsidR="002477F1" w:rsidRPr="007029A9" w:rsidRDefault="002477F1" w:rsidP="00A60328">
            <w:pPr>
              <w:rPr>
                <w:sz w:val="28"/>
                <w:szCs w:val="28"/>
              </w:rPr>
            </w:pPr>
          </w:p>
          <w:p w14:paraId="5A2E9B54" w14:textId="34297B51" w:rsidR="002477F1" w:rsidRPr="007029A9" w:rsidRDefault="0000310B" w:rsidP="00A60328">
            <w:pPr>
              <w:rPr>
                <w:sz w:val="28"/>
                <w:szCs w:val="28"/>
              </w:rPr>
            </w:pPr>
            <w:r w:rsidRPr="007029A9">
              <w:rPr>
                <w:sz w:val="28"/>
                <w:szCs w:val="28"/>
              </w:rPr>
              <w:t xml:space="preserve">REPLY IN SUPPORT OF </w:t>
            </w:r>
            <w:r w:rsidR="00237CCB" w:rsidRPr="007029A9">
              <w:rPr>
                <w:sz w:val="28"/>
                <w:szCs w:val="28"/>
              </w:rPr>
              <w:t>PETITION TO AMEND ARIZONA R</w:t>
            </w:r>
            <w:r w:rsidR="006C5E32" w:rsidRPr="007029A9">
              <w:rPr>
                <w:sz w:val="28"/>
                <w:szCs w:val="28"/>
              </w:rPr>
              <w:t xml:space="preserve">ULE </w:t>
            </w:r>
            <w:r w:rsidR="00DF74A9" w:rsidRPr="007029A9">
              <w:rPr>
                <w:sz w:val="28"/>
                <w:szCs w:val="28"/>
              </w:rPr>
              <w:t>OF CRIMINAL PROCEDURE 39(b)(12)</w:t>
            </w:r>
          </w:p>
          <w:p w14:paraId="6E60B025" w14:textId="0E526C5D" w:rsidR="004E7FD1" w:rsidRPr="007029A9" w:rsidRDefault="004E7FD1" w:rsidP="00A60328">
            <w:pPr>
              <w:rPr>
                <w:sz w:val="28"/>
                <w:szCs w:val="28"/>
              </w:rPr>
            </w:pPr>
          </w:p>
          <w:p w14:paraId="17A284DA" w14:textId="77777777" w:rsidR="002477F1" w:rsidRPr="007029A9" w:rsidRDefault="002477F1" w:rsidP="0000310B">
            <w:pPr>
              <w:rPr>
                <w:sz w:val="28"/>
                <w:szCs w:val="28"/>
              </w:rPr>
            </w:pPr>
          </w:p>
        </w:tc>
      </w:tr>
      <w:bookmarkEnd w:id="0"/>
    </w:tbl>
    <w:p w14:paraId="3E63CDFB" w14:textId="0099CB84" w:rsidR="002477F1" w:rsidRPr="007029A9" w:rsidRDefault="002477F1" w:rsidP="002477F1">
      <w:pPr>
        <w:pStyle w:val="Default"/>
        <w:rPr>
          <w:snapToGrid w:val="0"/>
          <w:color w:val="auto"/>
          <w:sz w:val="28"/>
          <w:szCs w:val="28"/>
        </w:rPr>
      </w:pPr>
    </w:p>
    <w:p w14:paraId="7D8C4AD8" w14:textId="1B5C17D0" w:rsidR="00C90B1E" w:rsidRPr="007029A9" w:rsidRDefault="00C90B1E" w:rsidP="00D94CB8">
      <w:pPr>
        <w:tabs>
          <w:tab w:val="left" w:pos="0"/>
        </w:tabs>
        <w:suppressAutoHyphens/>
        <w:spacing w:before="120" w:line="480" w:lineRule="auto"/>
        <w:ind w:firstLine="720"/>
        <w:rPr>
          <w:sz w:val="28"/>
          <w:szCs w:val="28"/>
        </w:rPr>
      </w:pPr>
      <w:r w:rsidRPr="007029A9">
        <w:rPr>
          <w:sz w:val="28"/>
          <w:szCs w:val="28"/>
        </w:rPr>
        <w:t>The Court should act quickly to amend Arizona Rule of Criminal Procedure 39(b)(12)(A) and (B) as requested in AACJ’s Petition because its restrictions on communications between criminal-defense lawyers and crime victims violate their free-speech rights under the U.S. and Arizona Constitutions. U.S. Const. amend. I; Ariz. Const. art. 2, § 6.</w:t>
      </w:r>
    </w:p>
    <w:p w14:paraId="1ADC35FB" w14:textId="6BB9E994" w:rsidR="005D3297" w:rsidRPr="007029A9" w:rsidRDefault="00C81BB0" w:rsidP="00084579">
      <w:pPr>
        <w:tabs>
          <w:tab w:val="left" w:pos="0"/>
        </w:tabs>
        <w:suppressAutoHyphens/>
        <w:spacing w:line="480" w:lineRule="auto"/>
        <w:ind w:firstLine="720"/>
        <w:rPr>
          <w:sz w:val="28"/>
          <w:szCs w:val="28"/>
        </w:rPr>
      </w:pPr>
      <w:r w:rsidRPr="007029A9">
        <w:rPr>
          <w:sz w:val="28"/>
          <w:szCs w:val="28"/>
        </w:rPr>
        <w:lastRenderedPageBreak/>
        <w:t xml:space="preserve">In </w:t>
      </w:r>
      <w:r w:rsidRPr="007029A9">
        <w:rPr>
          <w:i/>
          <w:iCs/>
          <w:sz w:val="28"/>
          <w:szCs w:val="28"/>
        </w:rPr>
        <w:t>AACJ v. Brnovich</w:t>
      </w:r>
      <w:r w:rsidRPr="007029A9">
        <w:rPr>
          <w:sz w:val="28"/>
          <w:szCs w:val="28"/>
        </w:rPr>
        <w:t>, t</w:t>
      </w:r>
      <w:r w:rsidR="00EE35E8" w:rsidRPr="007029A9">
        <w:rPr>
          <w:sz w:val="28"/>
          <w:szCs w:val="28"/>
        </w:rPr>
        <w:t>he</w:t>
      </w:r>
      <w:r w:rsidR="00316135" w:rsidRPr="007029A9">
        <w:rPr>
          <w:sz w:val="28"/>
          <w:szCs w:val="28"/>
        </w:rPr>
        <w:t xml:space="preserve"> District Court</w:t>
      </w:r>
      <w:r w:rsidR="00EE35E8" w:rsidRPr="007029A9">
        <w:rPr>
          <w:sz w:val="28"/>
          <w:szCs w:val="28"/>
        </w:rPr>
        <w:t xml:space="preserve"> found unconstitutional under the First Amendment </w:t>
      </w:r>
      <w:r w:rsidR="00F122AF" w:rsidRPr="007029A9">
        <w:rPr>
          <w:sz w:val="28"/>
          <w:szCs w:val="28"/>
        </w:rPr>
        <w:t>A</w:t>
      </w:r>
      <w:r w:rsidR="00EE35E8" w:rsidRPr="007029A9">
        <w:rPr>
          <w:sz w:val="28"/>
          <w:szCs w:val="28"/>
        </w:rPr>
        <w:t>.R.S. § 13-4433(B), Rule 39(b)(12)’s analogue statute.</w:t>
      </w:r>
      <w:r w:rsidR="00EE35E8" w:rsidRPr="007029A9">
        <w:rPr>
          <w:rStyle w:val="FootnoteReference"/>
          <w:sz w:val="28"/>
          <w:szCs w:val="28"/>
        </w:rPr>
        <w:footnoteReference w:id="1"/>
      </w:r>
      <w:r w:rsidR="00EE35E8" w:rsidRPr="007029A9">
        <w:rPr>
          <w:sz w:val="28"/>
          <w:szCs w:val="28"/>
        </w:rPr>
        <w:t xml:space="preserve"> The District Court’s legal reasoning regarding the statute applies </w:t>
      </w:r>
      <w:r w:rsidR="00E35DAD" w:rsidRPr="007029A9">
        <w:rPr>
          <w:sz w:val="28"/>
          <w:szCs w:val="28"/>
        </w:rPr>
        <w:t>equally to the similar restrictions in Rule 39(b)(12).</w:t>
      </w:r>
      <w:r w:rsidR="00E124A0" w:rsidRPr="007029A9">
        <w:rPr>
          <w:rStyle w:val="FootnoteReference"/>
          <w:sz w:val="28"/>
          <w:szCs w:val="28"/>
        </w:rPr>
        <w:footnoteReference w:id="2"/>
      </w:r>
      <w:r w:rsidR="00E35DAD" w:rsidRPr="007029A9">
        <w:rPr>
          <w:sz w:val="28"/>
          <w:szCs w:val="28"/>
        </w:rPr>
        <w:t xml:space="preserve"> In short, like the unconstitutional statute, Rule 39(b)(12) is a speaker- and content-based restriction on speech that</w:t>
      </w:r>
      <w:r w:rsidRPr="007029A9">
        <w:rPr>
          <w:sz w:val="28"/>
          <w:szCs w:val="28"/>
        </w:rPr>
        <w:t xml:space="preserve"> violates</w:t>
      </w:r>
      <w:r w:rsidR="00E35DAD" w:rsidRPr="007029A9">
        <w:rPr>
          <w:sz w:val="28"/>
          <w:szCs w:val="28"/>
        </w:rPr>
        <w:t xml:space="preserve"> </w:t>
      </w:r>
      <w:r w:rsidRPr="007029A9">
        <w:rPr>
          <w:sz w:val="28"/>
          <w:szCs w:val="28"/>
        </w:rPr>
        <w:t>fundamental free-speech principles without adequate justification.</w:t>
      </w:r>
    </w:p>
    <w:p w14:paraId="09C3ED02" w14:textId="182264F9" w:rsidR="00FE67B1" w:rsidRPr="007029A9" w:rsidRDefault="0055702F" w:rsidP="00084579">
      <w:pPr>
        <w:tabs>
          <w:tab w:val="left" w:pos="0"/>
        </w:tabs>
        <w:suppressAutoHyphens/>
        <w:spacing w:line="480" w:lineRule="auto"/>
        <w:ind w:firstLine="720"/>
        <w:rPr>
          <w:sz w:val="28"/>
          <w:szCs w:val="28"/>
        </w:rPr>
      </w:pPr>
      <w:r w:rsidRPr="007029A9">
        <w:rPr>
          <w:sz w:val="28"/>
          <w:szCs w:val="28"/>
        </w:rPr>
        <w:t xml:space="preserve">AACJ’s Petition </w:t>
      </w:r>
      <w:r w:rsidR="00CA5540" w:rsidRPr="007029A9">
        <w:rPr>
          <w:sz w:val="28"/>
          <w:szCs w:val="28"/>
        </w:rPr>
        <w:t xml:space="preserve">to this Court </w:t>
      </w:r>
      <w:r w:rsidRPr="007029A9">
        <w:rPr>
          <w:sz w:val="28"/>
          <w:szCs w:val="28"/>
        </w:rPr>
        <w:t>did not “misrepresent” or “obfuscate” anything about the federal court litigation</w:t>
      </w:r>
      <w:r w:rsidR="00FE67B1" w:rsidRPr="007029A9">
        <w:rPr>
          <w:sz w:val="28"/>
          <w:szCs w:val="28"/>
        </w:rPr>
        <w:t>, as some Comments claim.</w:t>
      </w:r>
      <w:r w:rsidR="00E70AC4" w:rsidRPr="007029A9">
        <w:rPr>
          <w:rStyle w:val="FootnoteReference"/>
          <w:sz w:val="28"/>
          <w:szCs w:val="28"/>
        </w:rPr>
        <w:footnoteReference w:id="3"/>
      </w:r>
      <w:r w:rsidRPr="007029A9">
        <w:rPr>
          <w:sz w:val="28"/>
          <w:szCs w:val="28"/>
        </w:rPr>
        <w:t xml:space="preserve"> </w:t>
      </w:r>
      <w:r w:rsidR="00FE67B1" w:rsidRPr="007029A9">
        <w:rPr>
          <w:sz w:val="28"/>
          <w:szCs w:val="28"/>
        </w:rPr>
        <w:t>The complete court record –</w:t>
      </w:r>
      <w:r w:rsidR="0089568F" w:rsidRPr="007029A9">
        <w:rPr>
          <w:sz w:val="28"/>
          <w:szCs w:val="28"/>
        </w:rPr>
        <w:t xml:space="preserve"> </w:t>
      </w:r>
      <w:r w:rsidR="00FE67B1" w:rsidRPr="007029A9">
        <w:rPr>
          <w:sz w:val="28"/>
          <w:szCs w:val="28"/>
        </w:rPr>
        <w:t xml:space="preserve">the District Court proceedings </w:t>
      </w:r>
      <w:r w:rsidR="00A20BFE" w:rsidRPr="007029A9">
        <w:rPr>
          <w:sz w:val="28"/>
          <w:szCs w:val="28"/>
        </w:rPr>
        <w:t>from</w:t>
      </w:r>
      <w:r w:rsidR="00FE67B1" w:rsidRPr="007029A9">
        <w:rPr>
          <w:sz w:val="28"/>
          <w:szCs w:val="28"/>
        </w:rPr>
        <w:t xml:space="preserve"> May 2017</w:t>
      </w:r>
      <w:r w:rsidR="00E124A0" w:rsidRPr="007029A9">
        <w:rPr>
          <w:sz w:val="28"/>
          <w:szCs w:val="28"/>
        </w:rPr>
        <w:t xml:space="preserve"> through </w:t>
      </w:r>
      <w:r w:rsidR="00E124A0" w:rsidRPr="007029A9">
        <w:rPr>
          <w:sz w:val="28"/>
          <w:szCs w:val="28"/>
        </w:rPr>
        <w:lastRenderedPageBreak/>
        <w:t>2022</w:t>
      </w:r>
      <w:r w:rsidR="00FE67B1" w:rsidRPr="007029A9">
        <w:rPr>
          <w:sz w:val="28"/>
          <w:szCs w:val="28"/>
        </w:rPr>
        <w:t xml:space="preserve">, the Ninth Circuit proceedings in 2020 and 2021, </w:t>
      </w:r>
      <w:r w:rsidR="00B23B67" w:rsidRPr="007029A9">
        <w:rPr>
          <w:sz w:val="28"/>
          <w:szCs w:val="28"/>
        </w:rPr>
        <w:t xml:space="preserve">the proceedings in the U.S. Supreme Court in 2021 and 2022, </w:t>
      </w:r>
      <w:r w:rsidR="00FE67B1" w:rsidRPr="007029A9">
        <w:rPr>
          <w:sz w:val="28"/>
          <w:szCs w:val="28"/>
        </w:rPr>
        <w:t xml:space="preserve">and the Attorney General’s </w:t>
      </w:r>
      <w:r w:rsidR="00E124A0" w:rsidRPr="007029A9">
        <w:rPr>
          <w:sz w:val="28"/>
          <w:szCs w:val="28"/>
        </w:rPr>
        <w:t>current</w:t>
      </w:r>
      <w:r w:rsidR="00FE67B1" w:rsidRPr="007029A9">
        <w:rPr>
          <w:sz w:val="28"/>
          <w:szCs w:val="28"/>
        </w:rPr>
        <w:t xml:space="preserve"> appeal to the Ninth Circuit – is publicly available</w:t>
      </w:r>
      <w:r w:rsidR="00E124A0" w:rsidRPr="007029A9">
        <w:rPr>
          <w:sz w:val="28"/>
          <w:szCs w:val="28"/>
        </w:rPr>
        <w:t>.</w:t>
      </w:r>
      <w:r w:rsidR="00783F81" w:rsidRPr="007029A9">
        <w:rPr>
          <w:rStyle w:val="FootnoteReference"/>
          <w:sz w:val="28"/>
          <w:szCs w:val="28"/>
        </w:rPr>
        <w:footnoteReference w:id="4"/>
      </w:r>
      <w:r w:rsidR="00FE67B1" w:rsidRPr="007029A9">
        <w:rPr>
          <w:sz w:val="28"/>
          <w:szCs w:val="28"/>
        </w:rPr>
        <w:t xml:space="preserve"> </w:t>
      </w:r>
      <w:r w:rsidR="00E124A0" w:rsidRPr="007029A9">
        <w:rPr>
          <w:sz w:val="28"/>
          <w:szCs w:val="28"/>
        </w:rPr>
        <w:t>T</w:t>
      </w:r>
      <w:r w:rsidR="00FE67B1" w:rsidRPr="007029A9">
        <w:rPr>
          <w:sz w:val="28"/>
          <w:szCs w:val="28"/>
        </w:rPr>
        <w:t xml:space="preserve">he </w:t>
      </w:r>
      <w:r w:rsidR="0089568F" w:rsidRPr="007029A9">
        <w:rPr>
          <w:sz w:val="28"/>
          <w:szCs w:val="28"/>
        </w:rPr>
        <w:t>document</w:t>
      </w:r>
      <w:r w:rsidR="00F96D11" w:rsidRPr="007029A9">
        <w:rPr>
          <w:sz w:val="28"/>
          <w:szCs w:val="28"/>
        </w:rPr>
        <w:t>s</w:t>
      </w:r>
      <w:r w:rsidR="0089568F" w:rsidRPr="007029A9">
        <w:rPr>
          <w:sz w:val="28"/>
          <w:szCs w:val="28"/>
        </w:rPr>
        <w:t xml:space="preserve"> from the federal litigation </w:t>
      </w:r>
      <w:r w:rsidR="00F96D11" w:rsidRPr="007029A9">
        <w:rPr>
          <w:sz w:val="28"/>
          <w:szCs w:val="28"/>
        </w:rPr>
        <w:t xml:space="preserve">that are most relevant to the Petition </w:t>
      </w:r>
      <w:r w:rsidR="00FE67B1" w:rsidRPr="007029A9">
        <w:rPr>
          <w:sz w:val="28"/>
          <w:szCs w:val="28"/>
        </w:rPr>
        <w:t>are</w:t>
      </w:r>
      <w:r w:rsidR="00E124A0" w:rsidRPr="007029A9">
        <w:rPr>
          <w:sz w:val="28"/>
          <w:szCs w:val="28"/>
        </w:rPr>
        <w:t xml:space="preserve"> already</w:t>
      </w:r>
      <w:r w:rsidR="00FE67B1" w:rsidRPr="007029A9">
        <w:rPr>
          <w:sz w:val="28"/>
          <w:szCs w:val="28"/>
        </w:rPr>
        <w:t xml:space="preserve"> before this Court as exhibits submitted with the Petition </w:t>
      </w:r>
      <w:r w:rsidR="00E124A0" w:rsidRPr="007029A9">
        <w:rPr>
          <w:sz w:val="28"/>
          <w:szCs w:val="28"/>
        </w:rPr>
        <w:t xml:space="preserve">and with </w:t>
      </w:r>
      <w:r w:rsidR="00CA5540" w:rsidRPr="007029A9">
        <w:rPr>
          <w:sz w:val="28"/>
          <w:szCs w:val="28"/>
        </w:rPr>
        <w:t xml:space="preserve">some </w:t>
      </w:r>
      <w:r w:rsidR="00E124A0" w:rsidRPr="007029A9">
        <w:rPr>
          <w:sz w:val="28"/>
          <w:szCs w:val="28"/>
        </w:rPr>
        <w:t>Comments.</w:t>
      </w:r>
      <w:r w:rsidR="00E124A0" w:rsidRPr="007029A9">
        <w:rPr>
          <w:rStyle w:val="FootnoteReference"/>
          <w:sz w:val="28"/>
          <w:szCs w:val="28"/>
        </w:rPr>
        <w:footnoteReference w:id="5"/>
      </w:r>
      <w:r w:rsidR="00E124A0" w:rsidRPr="007029A9">
        <w:rPr>
          <w:sz w:val="28"/>
          <w:szCs w:val="28"/>
        </w:rPr>
        <w:t xml:space="preserve"> And with this Reply, AACJ is including</w:t>
      </w:r>
      <w:r w:rsidR="00734A34" w:rsidRPr="007029A9">
        <w:rPr>
          <w:sz w:val="28"/>
          <w:szCs w:val="28"/>
        </w:rPr>
        <w:t xml:space="preserve"> the </w:t>
      </w:r>
      <w:r w:rsidR="00352FA7" w:rsidRPr="007029A9">
        <w:rPr>
          <w:sz w:val="28"/>
          <w:szCs w:val="28"/>
        </w:rPr>
        <w:t xml:space="preserve">District Court docket and the </w:t>
      </w:r>
      <w:r w:rsidR="00734A34" w:rsidRPr="007029A9">
        <w:rPr>
          <w:sz w:val="28"/>
          <w:szCs w:val="28"/>
        </w:rPr>
        <w:t xml:space="preserve">complete </w:t>
      </w:r>
      <w:r w:rsidR="00E124A0" w:rsidRPr="007029A9">
        <w:rPr>
          <w:sz w:val="28"/>
          <w:szCs w:val="28"/>
        </w:rPr>
        <w:t xml:space="preserve">transcript of the trial on the merits before Judge Logan on </w:t>
      </w:r>
      <w:r w:rsidR="00E531E2" w:rsidRPr="007029A9">
        <w:rPr>
          <w:sz w:val="28"/>
          <w:szCs w:val="28"/>
        </w:rPr>
        <w:t>September 22, 2022</w:t>
      </w:r>
      <w:r w:rsidR="00E124A0" w:rsidRPr="007029A9">
        <w:rPr>
          <w:sz w:val="28"/>
          <w:szCs w:val="28"/>
        </w:rPr>
        <w:t>.</w:t>
      </w:r>
      <w:r w:rsidR="00E124A0" w:rsidRPr="007029A9">
        <w:rPr>
          <w:rStyle w:val="FootnoteReference"/>
          <w:sz w:val="28"/>
          <w:szCs w:val="28"/>
        </w:rPr>
        <w:footnoteReference w:id="6"/>
      </w:r>
    </w:p>
    <w:p w14:paraId="308418B2" w14:textId="0AE8254B" w:rsidR="00F96D11" w:rsidRPr="007029A9" w:rsidRDefault="00F96D11" w:rsidP="00084579">
      <w:pPr>
        <w:tabs>
          <w:tab w:val="left" w:pos="0"/>
        </w:tabs>
        <w:suppressAutoHyphens/>
        <w:spacing w:line="480" w:lineRule="auto"/>
        <w:ind w:firstLine="720"/>
        <w:rPr>
          <w:sz w:val="28"/>
          <w:szCs w:val="28"/>
        </w:rPr>
      </w:pPr>
      <w:r w:rsidRPr="007029A9">
        <w:rPr>
          <w:sz w:val="28"/>
          <w:szCs w:val="28"/>
        </w:rPr>
        <w:t xml:space="preserve">As the trial transcript demonstrates, AACJ and the other plaintiffs in </w:t>
      </w:r>
      <w:r w:rsidR="00CA5540" w:rsidRPr="007029A9">
        <w:rPr>
          <w:sz w:val="28"/>
          <w:szCs w:val="28"/>
        </w:rPr>
        <w:t>the federal</w:t>
      </w:r>
      <w:r w:rsidRPr="007029A9">
        <w:rPr>
          <w:sz w:val="28"/>
          <w:szCs w:val="28"/>
        </w:rPr>
        <w:t xml:space="preserve"> litigation presented substantial evidence about the types of communications they </w:t>
      </w:r>
      <w:r w:rsidR="00262EE4" w:rsidRPr="007029A9">
        <w:rPr>
          <w:sz w:val="28"/>
          <w:szCs w:val="28"/>
        </w:rPr>
        <w:t>wish</w:t>
      </w:r>
      <w:r w:rsidRPr="007029A9">
        <w:rPr>
          <w:sz w:val="28"/>
          <w:szCs w:val="28"/>
        </w:rPr>
        <w:t xml:space="preserve"> to </w:t>
      </w:r>
      <w:r w:rsidR="00262EE4" w:rsidRPr="007029A9">
        <w:rPr>
          <w:sz w:val="28"/>
          <w:szCs w:val="28"/>
        </w:rPr>
        <w:t xml:space="preserve">have with crime victims and how requiring prosecutors to act as the </w:t>
      </w:r>
      <w:r w:rsidR="00262EE4" w:rsidRPr="007029A9">
        <w:rPr>
          <w:sz w:val="28"/>
          <w:szCs w:val="28"/>
        </w:rPr>
        <w:lastRenderedPageBreak/>
        <w:t>gatekeeper for those communications harms the free-speech rights of defense</w:t>
      </w:r>
      <w:r w:rsidR="00E531E2" w:rsidRPr="007029A9">
        <w:rPr>
          <w:sz w:val="28"/>
          <w:szCs w:val="28"/>
        </w:rPr>
        <w:t>-</w:t>
      </w:r>
      <w:r w:rsidR="00262EE4" w:rsidRPr="007029A9">
        <w:rPr>
          <w:sz w:val="28"/>
          <w:szCs w:val="28"/>
        </w:rPr>
        <w:t xml:space="preserve">team members. The federal trial </w:t>
      </w:r>
      <w:r w:rsidR="00B04507" w:rsidRPr="007029A9">
        <w:rPr>
          <w:sz w:val="28"/>
          <w:szCs w:val="28"/>
        </w:rPr>
        <w:t>likewise</w:t>
      </w:r>
      <w:r w:rsidR="00262EE4" w:rsidRPr="007029A9">
        <w:rPr>
          <w:sz w:val="28"/>
          <w:szCs w:val="28"/>
        </w:rPr>
        <w:t xml:space="preserve"> contained substantial evidence about how forcing defense lawyers to communicate with victims through prosecutors </w:t>
      </w:r>
      <w:r w:rsidR="00CA5540" w:rsidRPr="007029A9">
        <w:rPr>
          <w:sz w:val="28"/>
          <w:szCs w:val="28"/>
        </w:rPr>
        <w:t xml:space="preserve">also </w:t>
      </w:r>
      <w:r w:rsidR="00262EE4" w:rsidRPr="007029A9">
        <w:rPr>
          <w:sz w:val="28"/>
          <w:szCs w:val="28"/>
        </w:rPr>
        <w:t>harms victims by closing off opportunities for them to ask for and receive important information from the defense.</w:t>
      </w:r>
    </w:p>
    <w:p w14:paraId="2677D75E" w14:textId="103DF078" w:rsidR="00D43A82" w:rsidRPr="007029A9" w:rsidRDefault="00BE38F8" w:rsidP="00084579">
      <w:pPr>
        <w:tabs>
          <w:tab w:val="left" w:pos="0"/>
        </w:tabs>
        <w:suppressAutoHyphens/>
        <w:spacing w:line="480" w:lineRule="auto"/>
        <w:ind w:firstLine="720"/>
        <w:rPr>
          <w:sz w:val="28"/>
          <w:szCs w:val="28"/>
        </w:rPr>
      </w:pPr>
      <w:r w:rsidRPr="007029A9">
        <w:rPr>
          <w:sz w:val="28"/>
          <w:szCs w:val="28"/>
        </w:rPr>
        <w:t>The</w:t>
      </w:r>
      <w:r w:rsidR="002C2F1B" w:rsidRPr="007029A9">
        <w:rPr>
          <w:sz w:val="28"/>
          <w:szCs w:val="28"/>
        </w:rPr>
        <w:t xml:space="preserve"> federal</w:t>
      </w:r>
      <w:r w:rsidRPr="007029A9">
        <w:rPr>
          <w:sz w:val="28"/>
          <w:szCs w:val="28"/>
        </w:rPr>
        <w:t xml:space="preserve"> trial transcript also demonstrates that the defendants in that litigation could not present evidence </w:t>
      </w:r>
      <w:r w:rsidR="002C2F1B" w:rsidRPr="007029A9">
        <w:rPr>
          <w:sz w:val="28"/>
          <w:szCs w:val="28"/>
        </w:rPr>
        <w:t>of a government interest sufficient to justify the speaker-based restriction in A.R.S. § 13-4433(B). In this forum, some Comments suggest that the similar restriction</w:t>
      </w:r>
      <w:r w:rsidR="00E531E2" w:rsidRPr="007029A9">
        <w:rPr>
          <w:sz w:val="28"/>
          <w:szCs w:val="28"/>
        </w:rPr>
        <w:t>s</w:t>
      </w:r>
      <w:r w:rsidR="002C2F1B" w:rsidRPr="007029A9">
        <w:rPr>
          <w:sz w:val="28"/>
          <w:szCs w:val="28"/>
        </w:rPr>
        <w:t xml:space="preserve"> in Rule 39(b)(12) </w:t>
      </w:r>
      <w:r w:rsidR="00E531E2" w:rsidRPr="007029A9">
        <w:rPr>
          <w:sz w:val="28"/>
          <w:szCs w:val="28"/>
        </w:rPr>
        <w:t>are</w:t>
      </w:r>
      <w:r w:rsidR="002C2F1B" w:rsidRPr="007029A9">
        <w:rPr>
          <w:sz w:val="28"/>
          <w:szCs w:val="28"/>
        </w:rPr>
        <w:t xml:space="preserve"> justified to protect a victim’s right to refuse an interview or other discovery request from the defense.</w:t>
      </w:r>
      <w:r w:rsidR="002C2F1B" w:rsidRPr="007029A9">
        <w:rPr>
          <w:rStyle w:val="FootnoteReference"/>
          <w:sz w:val="28"/>
          <w:szCs w:val="28"/>
        </w:rPr>
        <w:footnoteReference w:id="7"/>
      </w:r>
      <w:r w:rsidR="002C2F1B" w:rsidRPr="007029A9">
        <w:rPr>
          <w:sz w:val="28"/>
          <w:szCs w:val="28"/>
        </w:rPr>
        <w:t xml:space="preserve"> But</w:t>
      </w:r>
      <w:r w:rsidR="00E531E2" w:rsidRPr="007029A9">
        <w:rPr>
          <w:sz w:val="28"/>
          <w:szCs w:val="28"/>
        </w:rPr>
        <w:t>,</w:t>
      </w:r>
      <w:r w:rsidR="002C2F1B" w:rsidRPr="007029A9">
        <w:rPr>
          <w:sz w:val="28"/>
          <w:szCs w:val="28"/>
        </w:rPr>
        <w:t xml:space="preserve"> </w:t>
      </w:r>
      <w:r w:rsidR="00E531E2" w:rsidRPr="007029A9">
        <w:rPr>
          <w:sz w:val="28"/>
          <w:szCs w:val="28"/>
        </w:rPr>
        <w:t xml:space="preserve">as one Comment notes, other statutes already exist in Arizona to ensure that crime victims receive repeated advisements of their rights throughout the course of criminal proceedings, including their right to refuse to be interviewed </w:t>
      </w:r>
      <w:r w:rsidR="00E531E2" w:rsidRPr="007029A9">
        <w:rPr>
          <w:sz w:val="28"/>
          <w:szCs w:val="28"/>
        </w:rPr>
        <w:lastRenderedPageBreak/>
        <w:t>by the defense.</w:t>
      </w:r>
      <w:r w:rsidR="00E531E2" w:rsidRPr="007029A9">
        <w:rPr>
          <w:rStyle w:val="FootnoteReference"/>
          <w:sz w:val="28"/>
          <w:szCs w:val="28"/>
        </w:rPr>
        <w:footnoteReference w:id="8"/>
      </w:r>
      <w:r w:rsidR="00E531E2" w:rsidRPr="007029A9">
        <w:rPr>
          <w:sz w:val="28"/>
          <w:szCs w:val="28"/>
        </w:rPr>
        <w:t xml:space="preserve"> And, </w:t>
      </w:r>
      <w:r w:rsidR="00C0013A" w:rsidRPr="007029A9">
        <w:rPr>
          <w:sz w:val="28"/>
          <w:szCs w:val="28"/>
        </w:rPr>
        <w:t xml:space="preserve">although </w:t>
      </w:r>
      <w:r w:rsidR="002C2F1B" w:rsidRPr="007029A9">
        <w:rPr>
          <w:sz w:val="28"/>
          <w:szCs w:val="28"/>
        </w:rPr>
        <w:t>other jurisdictions give crime victims the right to refuse</w:t>
      </w:r>
      <w:r w:rsidR="0034077D" w:rsidRPr="007029A9">
        <w:rPr>
          <w:sz w:val="28"/>
          <w:szCs w:val="28"/>
        </w:rPr>
        <w:t xml:space="preserve"> the defense’s </w:t>
      </w:r>
      <w:r w:rsidR="002C2F1B" w:rsidRPr="007029A9">
        <w:rPr>
          <w:sz w:val="28"/>
          <w:szCs w:val="28"/>
        </w:rPr>
        <w:t>interview</w:t>
      </w:r>
      <w:r w:rsidR="0034077D" w:rsidRPr="007029A9">
        <w:rPr>
          <w:sz w:val="28"/>
          <w:szCs w:val="28"/>
        </w:rPr>
        <w:t xml:space="preserve"> request</w:t>
      </w:r>
      <w:r w:rsidR="00C0013A" w:rsidRPr="007029A9">
        <w:rPr>
          <w:sz w:val="28"/>
          <w:szCs w:val="28"/>
        </w:rPr>
        <w:t>, no other jurisdiction</w:t>
      </w:r>
      <w:r w:rsidR="00CA5540" w:rsidRPr="007029A9">
        <w:rPr>
          <w:sz w:val="28"/>
          <w:szCs w:val="28"/>
        </w:rPr>
        <w:t xml:space="preserve"> in the country</w:t>
      </w:r>
      <w:r w:rsidR="00C0013A" w:rsidRPr="007029A9">
        <w:rPr>
          <w:sz w:val="28"/>
          <w:szCs w:val="28"/>
        </w:rPr>
        <w:t xml:space="preserve"> </w:t>
      </w:r>
      <w:r w:rsidR="00EB267F" w:rsidRPr="007029A9">
        <w:rPr>
          <w:sz w:val="28"/>
          <w:szCs w:val="28"/>
        </w:rPr>
        <w:t xml:space="preserve">prophylactically </w:t>
      </w:r>
      <w:r w:rsidR="00C0013A" w:rsidRPr="007029A9">
        <w:rPr>
          <w:sz w:val="28"/>
          <w:szCs w:val="28"/>
        </w:rPr>
        <w:t>restricts</w:t>
      </w:r>
      <w:r w:rsidR="002C2F1B" w:rsidRPr="007029A9">
        <w:rPr>
          <w:sz w:val="28"/>
          <w:szCs w:val="28"/>
        </w:rPr>
        <w:t xml:space="preserve"> communications between defense counsel and </w:t>
      </w:r>
      <w:r w:rsidR="00434764" w:rsidRPr="007029A9">
        <w:rPr>
          <w:sz w:val="28"/>
          <w:szCs w:val="28"/>
        </w:rPr>
        <w:t xml:space="preserve">crime </w:t>
      </w:r>
      <w:r w:rsidR="002C2F1B" w:rsidRPr="007029A9">
        <w:rPr>
          <w:sz w:val="28"/>
          <w:szCs w:val="28"/>
        </w:rPr>
        <w:t>victims.</w:t>
      </w:r>
      <w:r w:rsidR="002C2F1B" w:rsidRPr="007029A9">
        <w:rPr>
          <w:rStyle w:val="FootnoteReference"/>
          <w:sz w:val="28"/>
          <w:szCs w:val="28"/>
        </w:rPr>
        <w:footnoteReference w:id="9"/>
      </w:r>
      <w:r w:rsidR="00C05CD0" w:rsidRPr="007029A9">
        <w:rPr>
          <w:sz w:val="28"/>
          <w:szCs w:val="28"/>
        </w:rPr>
        <w:t xml:space="preserve"> </w:t>
      </w:r>
      <w:r w:rsidR="002C2F1B" w:rsidRPr="007029A9">
        <w:rPr>
          <w:sz w:val="28"/>
          <w:szCs w:val="28"/>
        </w:rPr>
        <w:t>In fact, now that the District Court has enjoined A.R.S. § 13-4433(B), Rule 39(b)(12) is the only law in the country – whether statute, rule, or regulation – that designates the prosecutor as the gatekeeper for communications, on any topic, between the criminal-defense team and crime victims. Given the lack of similar speech restrictions in any jurisdiction, Rule 39(b)(12)’s restrictions cannot be necessary to protect a victim’s right to refuse defense discovery requests.</w:t>
      </w:r>
    </w:p>
    <w:p w14:paraId="760CF131" w14:textId="0A45C290" w:rsidR="00D43A82" w:rsidRPr="007029A9" w:rsidRDefault="006313FE" w:rsidP="00084579">
      <w:pPr>
        <w:tabs>
          <w:tab w:val="left" w:pos="0"/>
        </w:tabs>
        <w:suppressAutoHyphens/>
        <w:spacing w:line="480" w:lineRule="auto"/>
        <w:ind w:firstLine="720"/>
        <w:rPr>
          <w:sz w:val="28"/>
          <w:szCs w:val="28"/>
        </w:rPr>
      </w:pPr>
      <w:r w:rsidRPr="007029A9">
        <w:rPr>
          <w:sz w:val="28"/>
          <w:szCs w:val="28"/>
        </w:rPr>
        <w:t xml:space="preserve">Nor can the speech restrictions in Rule 39(b)(12) be justified by any other </w:t>
      </w:r>
      <w:r w:rsidR="006F374B" w:rsidRPr="007029A9">
        <w:rPr>
          <w:sz w:val="28"/>
          <w:szCs w:val="28"/>
        </w:rPr>
        <w:t xml:space="preserve">government </w:t>
      </w:r>
      <w:r w:rsidRPr="007029A9">
        <w:rPr>
          <w:sz w:val="28"/>
          <w:szCs w:val="28"/>
        </w:rPr>
        <w:t>interest</w:t>
      </w:r>
      <w:r w:rsidR="006F374B" w:rsidRPr="007029A9">
        <w:rPr>
          <w:sz w:val="28"/>
          <w:szCs w:val="28"/>
        </w:rPr>
        <w:t>.</w:t>
      </w:r>
      <w:r w:rsidR="006F374B" w:rsidRPr="007029A9">
        <w:rPr>
          <w:rStyle w:val="FootnoteReference"/>
          <w:sz w:val="28"/>
          <w:szCs w:val="28"/>
        </w:rPr>
        <w:footnoteReference w:id="10"/>
      </w:r>
      <w:r w:rsidR="003B1FEC" w:rsidRPr="007029A9">
        <w:rPr>
          <w:sz w:val="28"/>
          <w:szCs w:val="28"/>
        </w:rPr>
        <w:t xml:space="preserve"> In fact, the evidence presented in the federal proceedings </w:t>
      </w:r>
      <w:r w:rsidR="003B1FEC" w:rsidRPr="007029A9">
        <w:rPr>
          <w:sz w:val="28"/>
          <w:szCs w:val="28"/>
        </w:rPr>
        <w:lastRenderedPageBreak/>
        <w:t>shows that restricting communications between the defense team and crime victims actually undermines the truth-seeking function of the criminal-legal system and chills political speech, including speech “about the goals of the criminal legal system and its proper functioning.”</w:t>
      </w:r>
      <w:r w:rsidR="003B1FEC" w:rsidRPr="007029A9">
        <w:rPr>
          <w:rStyle w:val="FootnoteReference"/>
          <w:sz w:val="28"/>
          <w:szCs w:val="28"/>
        </w:rPr>
        <w:footnoteReference w:id="11"/>
      </w:r>
    </w:p>
    <w:p w14:paraId="4B669A99" w14:textId="2FC0372D" w:rsidR="000626F1" w:rsidRPr="007029A9" w:rsidRDefault="00F122AF" w:rsidP="00084579">
      <w:pPr>
        <w:tabs>
          <w:tab w:val="left" w:pos="0"/>
        </w:tabs>
        <w:suppressAutoHyphens/>
        <w:spacing w:line="480" w:lineRule="auto"/>
        <w:ind w:firstLine="720"/>
        <w:rPr>
          <w:sz w:val="28"/>
          <w:szCs w:val="28"/>
        </w:rPr>
      </w:pPr>
      <w:r w:rsidRPr="007029A9">
        <w:rPr>
          <w:sz w:val="28"/>
          <w:szCs w:val="28"/>
        </w:rPr>
        <w:t>Moreover, t</w:t>
      </w:r>
      <w:r w:rsidR="006313FE" w:rsidRPr="007029A9">
        <w:rPr>
          <w:sz w:val="28"/>
          <w:szCs w:val="28"/>
        </w:rPr>
        <w:t>he Comments to the Petition, both in support and in opposition, demonstrate that there is real confusion among agencies and lawyers</w:t>
      </w:r>
      <w:r w:rsidR="00992408" w:rsidRPr="007029A9">
        <w:rPr>
          <w:sz w:val="28"/>
          <w:szCs w:val="28"/>
        </w:rPr>
        <w:t xml:space="preserve"> (and probably crime victims)</w:t>
      </w:r>
      <w:r w:rsidR="006313FE" w:rsidRPr="007029A9">
        <w:rPr>
          <w:sz w:val="28"/>
          <w:szCs w:val="28"/>
        </w:rPr>
        <w:t xml:space="preserve"> about the meaning and scope of Rule 39(b)(12) in light of the District Court</w:t>
      </w:r>
      <w:r w:rsidR="00992408" w:rsidRPr="007029A9">
        <w:rPr>
          <w:sz w:val="28"/>
          <w:szCs w:val="28"/>
        </w:rPr>
        <w:t>’s orders</w:t>
      </w:r>
      <w:r w:rsidR="006313FE" w:rsidRPr="007029A9">
        <w:rPr>
          <w:sz w:val="28"/>
          <w:szCs w:val="28"/>
        </w:rPr>
        <w:t xml:space="preserve"> enjoining A.R.S. § 13-4433(B).</w:t>
      </w:r>
      <w:r w:rsidR="006313FE" w:rsidRPr="007029A9">
        <w:rPr>
          <w:rStyle w:val="FootnoteReference"/>
          <w:sz w:val="28"/>
          <w:szCs w:val="28"/>
        </w:rPr>
        <w:footnoteReference w:id="12"/>
      </w:r>
      <w:r w:rsidR="00992408" w:rsidRPr="007029A9">
        <w:rPr>
          <w:sz w:val="28"/>
          <w:szCs w:val="28"/>
        </w:rPr>
        <w:t xml:space="preserve"> For instance, </w:t>
      </w:r>
      <w:r w:rsidR="000626F1" w:rsidRPr="007029A9">
        <w:rPr>
          <w:sz w:val="28"/>
          <w:szCs w:val="28"/>
        </w:rPr>
        <w:t xml:space="preserve">APAAC </w:t>
      </w:r>
      <w:r w:rsidR="00423378" w:rsidRPr="007029A9">
        <w:rPr>
          <w:sz w:val="28"/>
          <w:szCs w:val="28"/>
        </w:rPr>
        <w:t xml:space="preserve">appears to </w:t>
      </w:r>
      <w:r w:rsidR="000626F1" w:rsidRPr="007029A9">
        <w:rPr>
          <w:sz w:val="28"/>
          <w:szCs w:val="28"/>
        </w:rPr>
        <w:t>agree with AACJ that “interview” in Rule 39(b)(12) pertains only to pretrial interviews governed by Rule 15.3.</w:t>
      </w:r>
      <w:r w:rsidR="000626F1" w:rsidRPr="007029A9">
        <w:rPr>
          <w:rStyle w:val="FootnoteReference"/>
          <w:sz w:val="28"/>
          <w:szCs w:val="28"/>
        </w:rPr>
        <w:footnoteReference w:id="13"/>
      </w:r>
      <w:r w:rsidR="000626F1" w:rsidRPr="007029A9">
        <w:rPr>
          <w:sz w:val="28"/>
          <w:szCs w:val="28"/>
        </w:rPr>
        <w:t xml:space="preserve"> </w:t>
      </w:r>
      <w:r w:rsidR="00A56A3E" w:rsidRPr="007029A9">
        <w:rPr>
          <w:sz w:val="28"/>
          <w:szCs w:val="28"/>
        </w:rPr>
        <w:t>AVCV</w:t>
      </w:r>
      <w:r w:rsidR="00E63919" w:rsidRPr="007029A9">
        <w:rPr>
          <w:sz w:val="28"/>
          <w:szCs w:val="28"/>
        </w:rPr>
        <w:t xml:space="preserve">, on the other hand, criticizes </w:t>
      </w:r>
      <w:r w:rsidR="00E63919" w:rsidRPr="007029A9">
        <w:rPr>
          <w:sz w:val="28"/>
          <w:szCs w:val="28"/>
        </w:rPr>
        <w:lastRenderedPageBreak/>
        <w:t>that interpretation of Rule 39(b)(12) but offers no alternative interpretation.</w:t>
      </w:r>
      <w:r w:rsidR="00E63919" w:rsidRPr="007029A9">
        <w:rPr>
          <w:rStyle w:val="FootnoteReference"/>
          <w:sz w:val="28"/>
          <w:szCs w:val="28"/>
        </w:rPr>
        <w:footnoteReference w:id="14"/>
      </w:r>
      <w:r w:rsidR="00B92206" w:rsidRPr="007029A9">
        <w:rPr>
          <w:sz w:val="28"/>
          <w:szCs w:val="28"/>
        </w:rPr>
        <w:t xml:space="preserve"> </w:t>
      </w:r>
      <w:r w:rsidR="000626F1" w:rsidRPr="007029A9">
        <w:rPr>
          <w:sz w:val="28"/>
          <w:szCs w:val="28"/>
        </w:rPr>
        <w:t>MCAO defines “interview” as a “question and answer session about the facts of a case”</w:t>
      </w:r>
      <w:r w:rsidR="00B92206" w:rsidRPr="007029A9">
        <w:rPr>
          <w:sz w:val="28"/>
          <w:szCs w:val="28"/>
        </w:rPr>
        <w:t xml:space="preserve"> but says nothing about that rule’s relationship to Rule 15.</w:t>
      </w:r>
      <w:r w:rsidR="000626F1" w:rsidRPr="007029A9">
        <w:rPr>
          <w:rStyle w:val="FootnoteReference"/>
          <w:sz w:val="28"/>
          <w:szCs w:val="28"/>
        </w:rPr>
        <w:footnoteReference w:id="15"/>
      </w:r>
      <w:r w:rsidR="007E3E63" w:rsidRPr="007029A9">
        <w:rPr>
          <w:sz w:val="28"/>
          <w:szCs w:val="28"/>
        </w:rPr>
        <w:t xml:space="preserve"> And, as</w:t>
      </w:r>
      <w:r w:rsidR="00992408" w:rsidRPr="007029A9">
        <w:rPr>
          <w:sz w:val="28"/>
          <w:szCs w:val="28"/>
        </w:rPr>
        <w:t xml:space="preserve"> noted by the Directors of the Maricopa County Indigent Defense Agencies, defense-team members </w:t>
      </w:r>
      <w:r w:rsidR="007E3E63" w:rsidRPr="007029A9">
        <w:rPr>
          <w:sz w:val="28"/>
          <w:szCs w:val="28"/>
        </w:rPr>
        <w:t>want</w:t>
      </w:r>
      <w:r w:rsidR="00992408" w:rsidRPr="007029A9">
        <w:rPr>
          <w:sz w:val="28"/>
          <w:szCs w:val="28"/>
        </w:rPr>
        <w:t xml:space="preserve"> to communicate with crime victims about “case-related issues that do not fall squarely within the scope of Rule 15 discovery</w:t>
      </w:r>
      <w:r w:rsidR="000626F1" w:rsidRPr="007029A9">
        <w:rPr>
          <w:sz w:val="28"/>
          <w:szCs w:val="28"/>
        </w:rPr>
        <w:t>,</w:t>
      </w:r>
      <w:r w:rsidR="00992408" w:rsidRPr="007029A9">
        <w:rPr>
          <w:sz w:val="28"/>
          <w:szCs w:val="28"/>
        </w:rPr>
        <w:t>”</w:t>
      </w:r>
      <w:r w:rsidR="000626F1" w:rsidRPr="007029A9">
        <w:rPr>
          <w:sz w:val="28"/>
          <w:szCs w:val="28"/>
        </w:rPr>
        <w:t xml:space="preserve"> communications that the District Court held are constitutionally protected speech, and in some cases political speech.</w:t>
      </w:r>
      <w:r w:rsidR="00992408" w:rsidRPr="007029A9">
        <w:rPr>
          <w:rStyle w:val="FootnoteReference"/>
          <w:sz w:val="28"/>
          <w:szCs w:val="28"/>
        </w:rPr>
        <w:footnoteReference w:id="16"/>
      </w:r>
    </w:p>
    <w:p w14:paraId="755464C4" w14:textId="12EEDAF0" w:rsidR="00423378" w:rsidRPr="007029A9" w:rsidRDefault="00D43A82" w:rsidP="00084579">
      <w:pPr>
        <w:tabs>
          <w:tab w:val="left" w:pos="0"/>
        </w:tabs>
        <w:suppressAutoHyphens/>
        <w:spacing w:line="480" w:lineRule="auto"/>
        <w:ind w:firstLine="720"/>
        <w:rPr>
          <w:sz w:val="28"/>
          <w:szCs w:val="28"/>
        </w:rPr>
      </w:pPr>
      <w:r w:rsidRPr="007029A9">
        <w:rPr>
          <w:sz w:val="28"/>
          <w:szCs w:val="28"/>
        </w:rPr>
        <w:t>M</w:t>
      </w:r>
      <w:r w:rsidR="000626F1" w:rsidRPr="007029A9">
        <w:rPr>
          <w:sz w:val="28"/>
          <w:szCs w:val="28"/>
        </w:rPr>
        <w:t>eanwhile,</w:t>
      </w:r>
      <w:r w:rsidRPr="007029A9">
        <w:rPr>
          <w:sz w:val="28"/>
          <w:szCs w:val="28"/>
        </w:rPr>
        <w:t xml:space="preserve"> in a filing with the District Court,</w:t>
      </w:r>
      <w:r w:rsidR="000626F1" w:rsidRPr="007029A9">
        <w:rPr>
          <w:sz w:val="28"/>
          <w:szCs w:val="28"/>
        </w:rPr>
        <w:t xml:space="preserve"> the </w:t>
      </w:r>
      <w:r w:rsidRPr="007029A9">
        <w:rPr>
          <w:sz w:val="28"/>
          <w:szCs w:val="28"/>
        </w:rPr>
        <w:t>Chief Bar Counsel stated that she wished to “investigate and seek discipline against defense attorneys who directly ‘request to interview’ a crime victim without going through the prosecutor,”</w:t>
      </w:r>
      <w:r w:rsidRPr="007029A9">
        <w:rPr>
          <w:rStyle w:val="FootnoteReference"/>
          <w:sz w:val="28"/>
          <w:szCs w:val="28"/>
        </w:rPr>
        <w:footnoteReference w:id="17"/>
      </w:r>
      <w:r w:rsidRPr="007029A9">
        <w:rPr>
          <w:sz w:val="28"/>
          <w:szCs w:val="28"/>
        </w:rPr>
        <w:t xml:space="preserve"> and the District Court clarified that its orders allow the Bar to “pursue investigations or discipline based on an alleged violation of Rule </w:t>
      </w:r>
      <w:r w:rsidRPr="007029A9">
        <w:rPr>
          <w:sz w:val="28"/>
          <w:szCs w:val="28"/>
        </w:rPr>
        <w:lastRenderedPageBreak/>
        <w:t>39(b)(12).”</w:t>
      </w:r>
      <w:r w:rsidRPr="007029A9">
        <w:rPr>
          <w:rStyle w:val="FootnoteReference"/>
          <w:sz w:val="28"/>
          <w:szCs w:val="28"/>
        </w:rPr>
        <w:footnoteReference w:id="18"/>
      </w:r>
      <w:r w:rsidR="003B687B" w:rsidRPr="007029A9">
        <w:rPr>
          <w:sz w:val="28"/>
          <w:szCs w:val="28"/>
        </w:rPr>
        <w:t xml:space="preserve"> </w:t>
      </w:r>
      <w:r w:rsidRPr="007029A9">
        <w:rPr>
          <w:sz w:val="28"/>
          <w:szCs w:val="28"/>
        </w:rPr>
        <w:t xml:space="preserve">MCAO, the largest prosecuting agency in the state, </w:t>
      </w:r>
      <w:r w:rsidR="00E9050D" w:rsidRPr="007029A9">
        <w:rPr>
          <w:sz w:val="28"/>
          <w:szCs w:val="28"/>
        </w:rPr>
        <w:t>which regularly submits charges</w:t>
      </w:r>
      <w:r w:rsidR="007E3E63" w:rsidRPr="007029A9">
        <w:rPr>
          <w:sz w:val="28"/>
          <w:szCs w:val="28"/>
        </w:rPr>
        <w:t xml:space="preserve"> to the State Bar</w:t>
      </w:r>
      <w:r w:rsidR="00E9050D" w:rsidRPr="007029A9">
        <w:rPr>
          <w:sz w:val="28"/>
          <w:szCs w:val="28"/>
        </w:rPr>
        <w:t xml:space="preserve"> against criminal-defense attorneys, </w:t>
      </w:r>
      <w:r w:rsidRPr="007029A9">
        <w:rPr>
          <w:sz w:val="28"/>
          <w:szCs w:val="28"/>
        </w:rPr>
        <w:t>is advising its prosecutors to “notify your chain of command” if they learn that any defense-team members have contacted crime victims in their cases for any reason.</w:t>
      </w:r>
      <w:r w:rsidRPr="007029A9">
        <w:rPr>
          <w:rStyle w:val="FootnoteReference"/>
          <w:sz w:val="28"/>
          <w:szCs w:val="28"/>
        </w:rPr>
        <w:footnoteReference w:id="19"/>
      </w:r>
    </w:p>
    <w:p w14:paraId="1FA3B218" w14:textId="7F4EB3D5" w:rsidR="00F122AF" w:rsidRPr="007029A9" w:rsidRDefault="004F56FB" w:rsidP="009E5035">
      <w:pPr>
        <w:keepNext/>
        <w:tabs>
          <w:tab w:val="left" w:pos="0"/>
        </w:tabs>
        <w:suppressAutoHyphens/>
        <w:spacing w:line="480" w:lineRule="auto"/>
        <w:ind w:firstLine="720"/>
        <w:rPr>
          <w:sz w:val="28"/>
          <w:szCs w:val="28"/>
        </w:rPr>
      </w:pPr>
      <w:r w:rsidRPr="007029A9">
        <w:rPr>
          <w:sz w:val="28"/>
          <w:szCs w:val="28"/>
        </w:rPr>
        <w:t xml:space="preserve">In this environment, </w:t>
      </w:r>
      <w:r w:rsidR="00992408" w:rsidRPr="007029A9">
        <w:rPr>
          <w:sz w:val="28"/>
          <w:szCs w:val="28"/>
        </w:rPr>
        <w:t xml:space="preserve">criminal-defense </w:t>
      </w:r>
      <w:r w:rsidRPr="007029A9">
        <w:rPr>
          <w:sz w:val="28"/>
          <w:szCs w:val="28"/>
        </w:rPr>
        <w:t>lawyers and other members of their teams are understandabl</w:t>
      </w:r>
      <w:r w:rsidR="002A4BB2" w:rsidRPr="007029A9">
        <w:rPr>
          <w:sz w:val="28"/>
          <w:szCs w:val="28"/>
        </w:rPr>
        <w:t>y</w:t>
      </w:r>
      <w:r w:rsidRPr="007029A9">
        <w:rPr>
          <w:sz w:val="28"/>
          <w:szCs w:val="28"/>
        </w:rPr>
        <w:t xml:space="preserve"> self-censoring and </w:t>
      </w:r>
      <w:r w:rsidR="00992408" w:rsidRPr="007029A9">
        <w:rPr>
          <w:sz w:val="28"/>
          <w:szCs w:val="28"/>
        </w:rPr>
        <w:t>refrain</w:t>
      </w:r>
      <w:r w:rsidRPr="007029A9">
        <w:rPr>
          <w:sz w:val="28"/>
          <w:szCs w:val="28"/>
        </w:rPr>
        <w:t>ing</w:t>
      </w:r>
      <w:r w:rsidR="00992408" w:rsidRPr="007029A9">
        <w:rPr>
          <w:sz w:val="28"/>
          <w:szCs w:val="28"/>
        </w:rPr>
        <w:t xml:space="preserve"> from constitutionally protected speech</w:t>
      </w:r>
      <w:r w:rsidR="00F122AF" w:rsidRPr="007029A9">
        <w:rPr>
          <w:sz w:val="28"/>
          <w:szCs w:val="28"/>
        </w:rPr>
        <w:t xml:space="preserve">, even speech that is plainly not covered by Rule 39(b)(12) and that the District Court held is fully protected by the First Amendment. This Court recently said, </w:t>
      </w:r>
      <w:r w:rsidR="003B1FEC" w:rsidRPr="007029A9">
        <w:rPr>
          <w:sz w:val="28"/>
          <w:szCs w:val="28"/>
        </w:rPr>
        <w:t>“Lawyers are not — nor have they ever been — subject to discipline because of their political views or speech[.]”</w:t>
      </w:r>
      <w:r w:rsidR="003B1FEC" w:rsidRPr="007029A9">
        <w:rPr>
          <w:rStyle w:val="FootnoteReference"/>
          <w:sz w:val="28"/>
          <w:szCs w:val="28"/>
        </w:rPr>
        <w:footnoteReference w:id="20"/>
      </w:r>
      <w:r w:rsidR="00F122AF" w:rsidRPr="007029A9">
        <w:rPr>
          <w:sz w:val="28"/>
          <w:szCs w:val="28"/>
        </w:rPr>
        <w:t xml:space="preserve"> As long as Rule 39(b)(12) remains on the books, however, criminal-defense lawyers and those who work with them cannot fully exercise their constitutionally protected speech rights and are subject </w:t>
      </w:r>
      <w:r w:rsidR="00F122AF" w:rsidRPr="007029A9">
        <w:rPr>
          <w:sz w:val="28"/>
          <w:szCs w:val="28"/>
        </w:rPr>
        <w:lastRenderedPageBreak/>
        <w:t>to the specter of professional discipline (or worse) if they attempt to do so.</w:t>
      </w:r>
      <w:r w:rsidR="005C7552" w:rsidRPr="007029A9">
        <w:rPr>
          <w:sz w:val="28"/>
          <w:szCs w:val="28"/>
        </w:rPr>
        <w:t xml:space="preserve"> The Court should not delay amending Rule 39(b)(12) as requested by AACJ.</w:t>
      </w:r>
    </w:p>
    <w:p w14:paraId="05D1FBC7" w14:textId="7F5B9BCC" w:rsidR="0000310B" w:rsidRPr="007029A9" w:rsidRDefault="00F15968" w:rsidP="009E5035">
      <w:pPr>
        <w:keepLines/>
        <w:tabs>
          <w:tab w:val="left" w:pos="0"/>
        </w:tabs>
        <w:suppressAutoHyphens/>
        <w:spacing w:before="120" w:after="120" w:line="480" w:lineRule="auto"/>
        <w:ind w:firstLine="720"/>
        <w:rPr>
          <w:sz w:val="28"/>
          <w:szCs w:val="28"/>
        </w:rPr>
      </w:pPr>
      <w:r w:rsidRPr="007029A9">
        <w:rPr>
          <w:sz w:val="28"/>
          <w:szCs w:val="28"/>
        </w:rPr>
        <w:t xml:space="preserve">RESPECTFULLY </w:t>
      </w:r>
      <w:r w:rsidR="002477F1" w:rsidRPr="007029A9">
        <w:rPr>
          <w:sz w:val="28"/>
          <w:szCs w:val="28"/>
        </w:rPr>
        <w:t xml:space="preserve">SUBMITTED </w:t>
      </w:r>
      <w:r w:rsidR="003014DD">
        <w:rPr>
          <w:sz w:val="28"/>
          <w:szCs w:val="28"/>
        </w:rPr>
        <w:t>June 1</w:t>
      </w:r>
      <w:r w:rsidR="0000310B" w:rsidRPr="007029A9">
        <w:rPr>
          <w:sz w:val="28"/>
          <w:szCs w:val="28"/>
        </w:rPr>
        <w:t>, 2023</w:t>
      </w:r>
      <w:r w:rsidRPr="007029A9">
        <w:rPr>
          <w:sz w:val="28"/>
          <w:szCs w:val="28"/>
        </w:rPr>
        <w:t>.</w:t>
      </w:r>
    </w:p>
    <w:p w14:paraId="693A93A4" w14:textId="17708263" w:rsidR="002477F1" w:rsidRPr="007029A9" w:rsidRDefault="002477F1" w:rsidP="00924CD8">
      <w:pPr>
        <w:keepNext/>
        <w:spacing w:after="120"/>
        <w:ind w:left="1440" w:firstLine="720"/>
        <w:rPr>
          <w:sz w:val="28"/>
          <w:szCs w:val="28"/>
        </w:rPr>
      </w:pPr>
      <w:r w:rsidRPr="007029A9">
        <w:rPr>
          <w:sz w:val="28"/>
          <w:szCs w:val="28"/>
        </w:rPr>
        <w:t>MITCHELL | STEIN | CAREY | CHAPMAN, PC</w:t>
      </w:r>
    </w:p>
    <w:p w14:paraId="073EF324" w14:textId="77777777" w:rsidR="002477F1" w:rsidRPr="007029A9" w:rsidRDefault="002477F1" w:rsidP="002477F1">
      <w:pPr>
        <w:keepNext/>
        <w:spacing w:after="120"/>
        <w:ind w:left="2880" w:firstLine="720"/>
        <w:rPr>
          <w:sz w:val="28"/>
          <w:szCs w:val="28"/>
        </w:rPr>
      </w:pPr>
      <w:r w:rsidRPr="007029A9">
        <w:rPr>
          <w:noProof/>
          <w:sz w:val="28"/>
          <w:szCs w:val="28"/>
        </w:rPr>
        <w:drawing>
          <wp:anchor distT="0" distB="0" distL="114300" distR="114300" simplePos="0" relativeHeight="251659264" behindDoc="1" locked="0" layoutInCell="1" allowOverlap="1" wp14:anchorId="04474240" wp14:editId="3CC53764">
            <wp:simplePos x="0" y="0"/>
            <wp:positionH relativeFrom="column">
              <wp:posOffset>2524125</wp:posOffset>
            </wp:positionH>
            <wp:positionV relativeFrom="paragraph">
              <wp:posOffset>10160</wp:posOffset>
            </wp:positionV>
            <wp:extent cx="1781175" cy="552450"/>
            <wp:effectExtent l="0" t="0" r="9525"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26986" w14:textId="77777777" w:rsidR="002477F1" w:rsidRPr="007029A9" w:rsidRDefault="002477F1" w:rsidP="002477F1">
      <w:pPr>
        <w:keepNext/>
        <w:ind w:left="2880" w:firstLine="720"/>
        <w:rPr>
          <w:sz w:val="28"/>
          <w:szCs w:val="28"/>
          <w:u w:val="single"/>
        </w:rPr>
      </w:pPr>
      <w:r w:rsidRPr="007029A9">
        <w:rPr>
          <w:sz w:val="28"/>
          <w:szCs w:val="28"/>
        </w:rPr>
        <w:t>By:</w:t>
      </w:r>
      <w:r w:rsidRPr="007029A9">
        <w:rPr>
          <w:sz w:val="28"/>
          <w:szCs w:val="28"/>
          <w:u w:val="single"/>
        </w:rPr>
        <w:tab/>
      </w:r>
      <w:r w:rsidRPr="007029A9">
        <w:rPr>
          <w:sz w:val="28"/>
          <w:szCs w:val="28"/>
          <w:u w:val="single"/>
        </w:rPr>
        <w:tab/>
      </w:r>
      <w:r w:rsidRPr="007029A9">
        <w:rPr>
          <w:sz w:val="28"/>
          <w:szCs w:val="28"/>
          <w:u w:val="single"/>
        </w:rPr>
        <w:tab/>
      </w:r>
      <w:r w:rsidRPr="007029A9">
        <w:rPr>
          <w:sz w:val="28"/>
          <w:szCs w:val="28"/>
          <w:u w:val="single"/>
        </w:rPr>
        <w:tab/>
      </w:r>
      <w:r w:rsidRPr="007029A9">
        <w:rPr>
          <w:sz w:val="28"/>
          <w:szCs w:val="28"/>
          <w:u w:val="single"/>
        </w:rPr>
        <w:tab/>
      </w:r>
      <w:r w:rsidRPr="007029A9">
        <w:rPr>
          <w:sz w:val="28"/>
          <w:szCs w:val="28"/>
          <w:u w:val="single"/>
        </w:rPr>
        <w:tab/>
      </w:r>
    </w:p>
    <w:p w14:paraId="3067A7AE" w14:textId="0FC46F34" w:rsidR="00C02762" w:rsidRPr="007029A9" w:rsidRDefault="002477F1" w:rsidP="00570E80">
      <w:pPr>
        <w:keepNext/>
        <w:ind w:left="2880" w:firstLine="720"/>
        <w:rPr>
          <w:sz w:val="28"/>
          <w:szCs w:val="28"/>
        </w:rPr>
      </w:pPr>
      <w:r w:rsidRPr="007029A9">
        <w:rPr>
          <w:sz w:val="28"/>
          <w:szCs w:val="28"/>
        </w:rPr>
        <w:tab/>
        <w:t>Kath</w:t>
      </w:r>
      <w:r w:rsidR="006C68BB" w:rsidRPr="007029A9">
        <w:rPr>
          <w:sz w:val="28"/>
          <w:szCs w:val="28"/>
        </w:rPr>
        <w:t>leen E.</w:t>
      </w:r>
      <w:r w:rsidRPr="007029A9">
        <w:rPr>
          <w:sz w:val="28"/>
          <w:szCs w:val="28"/>
        </w:rPr>
        <w:t xml:space="preserve"> Brody</w:t>
      </w:r>
    </w:p>
    <w:p w14:paraId="360472C7" w14:textId="77777777" w:rsidR="00924CD8" w:rsidRPr="007029A9" w:rsidRDefault="00C02762" w:rsidP="00570E80">
      <w:pPr>
        <w:keepNext/>
        <w:ind w:left="2880" w:firstLine="720"/>
        <w:rPr>
          <w:sz w:val="28"/>
          <w:szCs w:val="28"/>
        </w:rPr>
      </w:pPr>
      <w:r w:rsidRPr="007029A9">
        <w:rPr>
          <w:sz w:val="28"/>
          <w:szCs w:val="28"/>
        </w:rPr>
        <w:tab/>
      </w:r>
    </w:p>
    <w:p w14:paraId="0F6B8065" w14:textId="442C30AB" w:rsidR="00924CD8" w:rsidRPr="007029A9" w:rsidRDefault="00924CD8" w:rsidP="00924CD8">
      <w:pPr>
        <w:keepNext/>
        <w:spacing w:after="120"/>
        <w:ind w:left="2160"/>
        <w:rPr>
          <w:sz w:val="28"/>
          <w:szCs w:val="28"/>
        </w:rPr>
      </w:pPr>
      <w:r w:rsidRPr="007029A9">
        <w:rPr>
          <w:sz w:val="28"/>
          <w:szCs w:val="28"/>
        </w:rPr>
        <w:t xml:space="preserve">AMERICAN CIVIL LIBERTIES UNION </w:t>
      </w:r>
      <w:r w:rsidRPr="007029A9">
        <w:rPr>
          <w:sz w:val="28"/>
          <w:szCs w:val="28"/>
        </w:rPr>
        <w:br/>
        <w:t>FOUNDATION OF ARIZONA</w:t>
      </w:r>
    </w:p>
    <w:p w14:paraId="1298B63B" w14:textId="77777777" w:rsidR="00924CD8" w:rsidRPr="007029A9" w:rsidRDefault="00924CD8" w:rsidP="00570E80">
      <w:pPr>
        <w:keepNext/>
        <w:ind w:left="2880" w:firstLine="720"/>
        <w:rPr>
          <w:sz w:val="28"/>
          <w:szCs w:val="28"/>
        </w:rPr>
      </w:pPr>
    </w:p>
    <w:p w14:paraId="5C7905A6" w14:textId="2A296F1F" w:rsidR="00C02762" w:rsidRPr="007029A9" w:rsidRDefault="00C02762" w:rsidP="00924CD8">
      <w:pPr>
        <w:keepNext/>
        <w:ind w:left="3600" w:firstLine="720"/>
        <w:rPr>
          <w:sz w:val="28"/>
          <w:szCs w:val="28"/>
        </w:rPr>
      </w:pPr>
      <w:r w:rsidRPr="007029A9">
        <w:rPr>
          <w:sz w:val="28"/>
          <w:szCs w:val="28"/>
        </w:rPr>
        <w:t>Jared G. Keenan</w:t>
      </w:r>
    </w:p>
    <w:p w14:paraId="047B276B" w14:textId="03A3D585" w:rsidR="00C02762" w:rsidRPr="007029A9" w:rsidRDefault="00C02762" w:rsidP="002477F1">
      <w:pPr>
        <w:keepNext/>
        <w:spacing w:after="120"/>
        <w:ind w:left="2880" w:firstLine="720"/>
        <w:rPr>
          <w:sz w:val="28"/>
          <w:szCs w:val="28"/>
        </w:rPr>
      </w:pPr>
    </w:p>
    <w:p w14:paraId="3F42F1C9" w14:textId="2B035362" w:rsidR="00C02762" w:rsidRPr="007029A9" w:rsidRDefault="00C02762" w:rsidP="00924CD8">
      <w:pPr>
        <w:keepNext/>
        <w:spacing w:after="120"/>
        <w:ind w:left="1440" w:firstLine="720"/>
        <w:rPr>
          <w:i/>
          <w:iCs/>
          <w:sz w:val="28"/>
          <w:szCs w:val="28"/>
        </w:rPr>
      </w:pPr>
      <w:r w:rsidRPr="007029A9">
        <w:rPr>
          <w:i/>
          <w:iCs/>
          <w:sz w:val="28"/>
          <w:szCs w:val="28"/>
        </w:rPr>
        <w:t>Attorneys for Arizona Attorneys for Criminal Justice</w:t>
      </w:r>
    </w:p>
    <w:p w14:paraId="7EF67049" w14:textId="674D5A02" w:rsidR="0000296E" w:rsidRPr="007029A9" w:rsidRDefault="0000296E">
      <w:pPr>
        <w:rPr>
          <w:b/>
          <w:snapToGrid/>
          <w:color w:val="000000"/>
          <w:sz w:val="28"/>
          <w:szCs w:val="28"/>
        </w:rPr>
      </w:pPr>
    </w:p>
    <w:sectPr w:rsidR="0000296E" w:rsidRPr="007029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2EFE" w14:textId="77777777" w:rsidR="00D33D7D" w:rsidRDefault="00D33D7D" w:rsidP="00C209F2">
      <w:r>
        <w:separator/>
      </w:r>
    </w:p>
  </w:endnote>
  <w:endnote w:type="continuationSeparator" w:id="0">
    <w:p w14:paraId="1EA56A65" w14:textId="77777777" w:rsidR="00D33D7D" w:rsidRDefault="00D33D7D" w:rsidP="00C2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E239" w14:textId="77777777" w:rsidR="00400B25" w:rsidRDefault="00400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054689"/>
      <w:docPartObj>
        <w:docPartGallery w:val="Page Numbers (Bottom of Page)"/>
        <w:docPartUnique/>
      </w:docPartObj>
    </w:sdtPr>
    <w:sdtEndPr>
      <w:rPr>
        <w:noProof/>
      </w:rPr>
    </w:sdtEndPr>
    <w:sdtContent>
      <w:p w14:paraId="78EAD500" w14:textId="57B0F6DB" w:rsidR="0015299F" w:rsidRDefault="00152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C9D2C" w14:textId="77777777" w:rsidR="008B44D6" w:rsidRDefault="008B4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4455" w14:textId="77777777" w:rsidR="00400B25" w:rsidRDefault="0040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F434" w14:textId="77777777" w:rsidR="00D33D7D" w:rsidRDefault="00D33D7D" w:rsidP="00C209F2">
      <w:r>
        <w:separator/>
      </w:r>
    </w:p>
  </w:footnote>
  <w:footnote w:type="continuationSeparator" w:id="0">
    <w:p w14:paraId="54CBDE62" w14:textId="77777777" w:rsidR="00D33D7D" w:rsidRDefault="00D33D7D" w:rsidP="00C209F2">
      <w:r>
        <w:continuationSeparator/>
      </w:r>
    </w:p>
  </w:footnote>
  <w:footnote w:id="1">
    <w:p w14:paraId="135BE4C3" w14:textId="0BF58AE6" w:rsidR="00EE35E8" w:rsidRPr="00A56A3E" w:rsidRDefault="00EE35E8" w:rsidP="00EE35E8">
      <w:pPr>
        <w:pStyle w:val="FootnoteText"/>
        <w:rPr>
          <w:szCs w:val="28"/>
        </w:rPr>
      </w:pPr>
      <w:r w:rsidRPr="00A56A3E">
        <w:rPr>
          <w:rStyle w:val="FootnoteReference"/>
          <w:szCs w:val="28"/>
        </w:rPr>
        <w:footnoteRef/>
      </w:r>
      <w:r w:rsidRPr="00A56A3E">
        <w:rPr>
          <w:szCs w:val="28"/>
        </w:rPr>
        <w:t xml:space="preserve"> </w:t>
      </w:r>
      <w:r w:rsidRPr="00A56A3E">
        <w:rPr>
          <w:i/>
          <w:iCs/>
          <w:szCs w:val="28"/>
        </w:rPr>
        <w:t>AACJ et al. v. Brnovich et al.</w:t>
      </w:r>
      <w:r w:rsidRPr="00A56A3E">
        <w:rPr>
          <w:szCs w:val="28"/>
        </w:rPr>
        <w:t>, No. CV-17-01422-PHX-SPL (Nov. 2, 2022).</w:t>
      </w:r>
      <w:r w:rsidR="00E572B2" w:rsidRPr="00A56A3E">
        <w:rPr>
          <w:szCs w:val="28"/>
        </w:rPr>
        <w:t xml:space="preserve"> </w:t>
      </w:r>
      <w:r w:rsidR="00AF744E" w:rsidRPr="00AF744E">
        <w:rPr>
          <w:i/>
          <w:iCs/>
          <w:szCs w:val="28"/>
        </w:rPr>
        <w:t>See also</w:t>
      </w:r>
      <w:r w:rsidR="00AF744E">
        <w:rPr>
          <w:szCs w:val="28"/>
        </w:rPr>
        <w:t xml:space="preserve"> </w:t>
      </w:r>
      <w:r w:rsidR="00AF744E" w:rsidRPr="00AF744E">
        <w:rPr>
          <w:b/>
          <w:bCs/>
          <w:szCs w:val="28"/>
        </w:rPr>
        <w:t>Exh. 9</w:t>
      </w:r>
      <w:r w:rsidR="00AF744E">
        <w:rPr>
          <w:szCs w:val="28"/>
        </w:rPr>
        <w:t xml:space="preserve"> (District Court docket for </w:t>
      </w:r>
      <w:r w:rsidR="00AF744E" w:rsidRPr="00AF744E">
        <w:rPr>
          <w:i/>
          <w:iCs/>
          <w:szCs w:val="28"/>
        </w:rPr>
        <w:t>AACJ v. Brnovich</w:t>
      </w:r>
      <w:r w:rsidR="00AF744E">
        <w:rPr>
          <w:szCs w:val="28"/>
        </w:rPr>
        <w:t xml:space="preserve">). </w:t>
      </w:r>
      <w:r w:rsidR="00E572B2" w:rsidRPr="00A56A3E">
        <w:rPr>
          <w:szCs w:val="28"/>
        </w:rPr>
        <w:t xml:space="preserve">All of the commenters opposing AACJ’s Petition </w:t>
      </w:r>
      <w:r w:rsidR="00F122AF" w:rsidRPr="00A56A3E">
        <w:rPr>
          <w:szCs w:val="28"/>
        </w:rPr>
        <w:t>in this forum</w:t>
      </w:r>
      <w:r w:rsidR="00E531E2" w:rsidRPr="00A56A3E">
        <w:rPr>
          <w:szCs w:val="28"/>
        </w:rPr>
        <w:t xml:space="preserve"> </w:t>
      </w:r>
      <w:r w:rsidR="00E572B2" w:rsidRPr="00A56A3E">
        <w:rPr>
          <w:szCs w:val="28"/>
        </w:rPr>
        <w:t xml:space="preserve">participated in the federal court proceedings. </w:t>
      </w:r>
      <w:r w:rsidR="004D1FFA" w:rsidRPr="00F8261C">
        <w:rPr>
          <w:szCs w:val="28"/>
        </w:rPr>
        <w:t xml:space="preserve">Arizona </w:t>
      </w:r>
      <w:r w:rsidR="004D1FFA" w:rsidRPr="00A56A3E">
        <w:rPr>
          <w:szCs w:val="28"/>
        </w:rPr>
        <w:t>Voice for Crime Victims (“</w:t>
      </w:r>
      <w:r w:rsidR="00E572B2" w:rsidRPr="00A56A3E">
        <w:rPr>
          <w:szCs w:val="28"/>
        </w:rPr>
        <w:t>A</w:t>
      </w:r>
      <w:r w:rsidR="004D1FFA" w:rsidRPr="00A56A3E">
        <w:rPr>
          <w:szCs w:val="28"/>
        </w:rPr>
        <w:t>VCV”)</w:t>
      </w:r>
      <w:r w:rsidR="00E572B2" w:rsidRPr="00A56A3E">
        <w:rPr>
          <w:szCs w:val="28"/>
        </w:rPr>
        <w:t xml:space="preserve"> sought to intervene as a defendant in the District Court, along with several individual crime victims</w:t>
      </w:r>
      <w:r w:rsidR="00556601">
        <w:rPr>
          <w:szCs w:val="28"/>
        </w:rPr>
        <w:t xml:space="preserve"> (</w:t>
      </w:r>
      <w:r w:rsidR="00E572B2" w:rsidRPr="00A56A3E">
        <w:rPr>
          <w:szCs w:val="28"/>
        </w:rPr>
        <w:t>Doc. 35</w:t>
      </w:r>
      <w:r w:rsidR="00556601">
        <w:rPr>
          <w:szCs w:val="28"/>
        </w:rPr>
        <w:t>)</w:t>
      </w:r>
      <w:r w:rsidR="00E572B2" w:rsidRPr="00A56A3E">
        <w:rPr>
          <w:szCs w:val="28"/>
        </w:rPr>
        <w:t>, and also filed amicus curiae brief</w:t>
      </w:r>
      <w:r w:rsidR="00B23B67">
        <w:rPr>
          <w:szCs w:val="28"/>
        </w:rPr>
        <w:t>s in the U.S. Supreme Court during the previous appeal proceedings and</w:t>
      </w:r>
      <w:r w:rsidR="00E572B2" w:rsidRPr="00A56A3E">
        <w:rPr>
          <w:szCs w:val="28"/>
        </w:rPr>
        <w:t xml:space="preserve"> in the Ninth Circuit in the Attorney General’s currently pending appeal. </w:t>
      </w:r>
      <w:r w:rsidR="004D1FFA" w:rsidRPr="00A56A3E">
        <w:rPr>
          <w:szCs w:val="28"/>
        </w:rPr>
        <w:t>Arizona Prosecuting Attorneys’ Advisory Council (“</w:t>
      </w:r>
      <w:r w:rsidR="00E572B2" w:rsidRPr="00A56A3E">
        <w:rPr>
          <w:szCs w:val="28"/>
        </w:rPr>
        <w:t>APAAC</w:t>
      </w:r>
      <w:r w:rsidR="004D1FFA" w:rsidRPr="00A56A3E">
        <w:rPr>
          <w:szCs w:val="28"/>
        </w:rPr>
        <w:t>”)</w:t>
      </w:r>
      <w:r w:rsidR="00E572B2" w:rsidRPr="00A56A3E">
        <w:rPr>
          <w:szCs w:val="28"/>
        </w:rPr>
        <w:t xml:space="preserve"> filed an amicus curiae brief in the District Court</w:t>
      </w:r>
      <w:r w:rsidR="00AF744E">
        <w:rPr>
          <w:szCs w:val="28"/>
        </w:rPr>
        <w:t xml:space="preserve"> (</w:t>
      </w:r>
      <w:r w:rsidR="00E572B2" w:rsidRPr="00A56A3E">
        <w:rPr>
          <w:szCs w:val="28"/>
        </w:rPr>
        <w:t xml:space="preserve">Doc. </w:t>
      </w:r>
      <w:r w:rsidR="00556601">
        <w:rPr>
          <w:szCs w:val="28"/>
        </w:rPr>
        <w:t>38</w:t>
      </w:r>
      <w:r w:rsidR="00AF744E">
        <w:rPr>
          <w:szCs w:val="28"/>
        </w:rPr>
        <w:t>)</w:t>
      </w:r>
      <w:r w:rsidR="00E572B2" w:rsidRPr="00A56A3E">
        <w:rPr>
          <w:szCs w:val="28"/>
        </w:rPr>
        <w:t>. Mr. Udelman filed an amicus curiae brief in the District Court on behalf of several organizations</w:t>
      </w:r>
      <w:r w:rsidR="00AF744E">
        <w:rPr>
          <w:szCs w:val="28"/>
        </w:rPr>
        <w:t xml:space="preserve"> (</w:t>
      </w:r>
      <w:r w:rsidR="00E572B2" w:rsidRPr="00A56A3E">
        <w:rPr>
          <w:szCs w:val="28"/>
        </w:rPr>
        <w:t>Doc. 41</w:t>
      </w:r>
      <w:r w:rsidR="00AF744E">
        <w:rPr>
          <w:szCs w:val="28"/>
        </w:rPr>
        <w:t>)</w:t>
      </w:r>
      <w:r w:rsidR="00E572B2" w:rsidRPr="00A56A3E">
        <w:rPr>
          <w:szCs w:val="28"/>
        </w:rPr>
        <w:t xml:space="preserve">. </w:t>
      </w:r>
      <w:r w:rsidR="004D1FFA" w:rsidRPr="00A56A3E">
        <w:rPr>
          <w:szCs w:val="28"/>
        </w:rPr>
        <w:t>The Maricopa County Attorney’s Office (“</w:t>
      </w:r>
      <w:r w:rsidR="00E572B2" w:rsidRPr="00A56A3E">
        <w:rPr>
          <w:szCs w:val="28"/>
        </w:rPr>
        <w:t>MCAO</w:t>
      </w:r>
      <w:r w:rsidR="004D1FFA" w:rsidRPr="00A56A3E">
        <w:rPr>
          <w:szCs w:val="28"/>
        </w:rPr>
        <w:t>”)</w:t>
      </w:r>
      <w:r w:rsidR="00E572B2" w:rsidRPr="00A56A3E">
        <w:rPr>
          <w:szCs w:val="28"/>
        </w:rPr>
        <w:t xml:space="preserve"> filed an amicus curiae brief in the currently pending Ninth Circuit appeal.</w:t>
      </w:r>
    </w:p>
  </w:footnote>
  <w:footnote w:id="2">
    <w:p w14:paraId="56E18E33" w14:textId="55F93A3D" w:rsidR="00E124A0" w:rsidRPr="00A56A3E" w:rsidRDefault="00E124A0">
      <w:pPr>
        <w:pStyle w:val="FootnoteText"/>
        <w:rPr>
          <w:szCs w:val="28"/>
        </w:rPr>
      </w:pPr>
      <w:r w:rsidRPr="00A56A3E">
        <w:rPr>
          <w:rStyle w:val="FootnoteReference"/>
          <w:szCs w:val="28"/>
        </w:rPr>
        <w:footnoteRef/>
      </w:r>
      <w:r w:rsidRPr="00A56A3E">
        <w:rPr>
          <w:szCs w:val="28"/>
        </w:rPr>
        <w:t xml:space="preserve"> </w:t>
      </w:r>
      <w:r w:rsidR="00BF2856" w:rsidRPr="00A56A3E">
        <w:rPr>
          <w:szCs w:val="28"/>
        </w:rPr>
        <w:t xml:space="preserve">AACJ does not claim that the District Court ruled on the constitutionality of </w:t>
      </w:r>
      <w:r w:rsidR="00123B24">
        <w:rPr>
          <w:szCs w:val="28"/>
        </w:rPr>
        <w:t xml:space="preserve">Rule </w:t>
      </w:r>
      <w:r w:rsidR="00BF2856" w:rsidRPr="00A56A3E">
        <w:rPr>
          <w:szCs w:val="28"/>
        </w:rPr>
        <w:t>39(b)(12).</w:t>
      </w:r>
    </w:p>
  </w:footnote>
  <w:footnote w:id="3">
    <w:p w14:paraId="1F20869F" w14:textId="7DA311A2" w:rsidR="00E70AC4" w:rsidRPr="00A56A3E" w:rsidRDefault="00E70AC4" w:rsidP="00E70AC4">
      <w:pPr>
        <w:pStyle w:val="FootnoteText"/>
        <w:rPr>
          <w:szCs w:val="28"/>
        </w:rPr>
      </w:pPr>
      <w:r w:rsidRPr="00A56A3E">
        <w:rPr>
          <w:rStyle w:val="FootnoteReference"/>
          <w:szCs w:val="28"/>
        </w:rPr>
        <w:footnoteRef/>
      </w:r>
      <w:r w:rsidRPr="00A56A3E">
        <w:rPr>
          <w:szCs w:val="28"/>
        </w:rPr>
        <w:t xml:space="preserve"> </w:t>
      </w:r>
      <w:r w:rsidR="00A56A3E" w:rsidRPr="00A56A3E">
        <w:rPr>
          <w:szCs w:val="28"/>
        </w:rPr>
        <w:t xml:space="preserve">AVCV </w:t>
      </w:r>
      <w:r w:rsidR="00BF2856" w:rsidRPr="00A56A3E">
        <w:rPr>
          <w:szCs w:val="28"/>
        </w:rPr>
        <w:t xml:space="preserve">Comment at 2, 6. </w:t>
      </w:r>
      <w:r w:rsidR="00E531E2" w:rsidRPr="00A56A3E">
        <w:rPr>
          <w:szCs w:val="28"/>
        </w:rPr>
        <w:t xml:space="preserve">In fact, despite their authors’ participation in the federal proceedings, some of the Comments appear to misunderstand those proceedings and what the District Court concluded. </w:t>
      </w:r>
      <w:r w:rsidR="00E531E2" w:rsidRPr="00A56A3E">
        <w:rPr>
          <w:i/>
          <w:iCs/>
          <w:szCs w:val="28"/>
        </w:rPr>
        <w:t>E.g.</w:t>
      </w:r>
      <w:r w:rsidR="00E531E2" w:rsidRPr="00A56A3E">
        <w:rPr>
          <w:szCs w:val="28"/>
        </w:rPr>
        <w:t xml:space="preserve">, </w:t>
      </w:r>
      <w:r w:rsidR="00A56A3E" w:rsidRPr="00A56A3E">
        <w:rPr>
          <w:szCs w:val="28"/>
        </w:rPr>
        <w:t xml:space="preserve">AVCV </w:t>
      </w:r>
      <w:r w:rsidR="00E531E2" w:rsidRPr="00A56A3E">
        <w:rPr>
          <w:szCs w:val="28"/>
        </w:rPr>
        <w:t>Comment 4 (</w:t>
      </w:r>
      <w:r w:rsidR="00E531E2" w:rsidRPr="00A56A3E">
        <w:rPr>
          <w:b/>
          <w:bCs/>
          <w:szCs w:val="28"/>
        </w:rPr>
        <w:t>incorrectly stating</w:t>
      </w:r>
      <w:r w:rsidR="00E531E2" w:rsidRPr="00A56A3E">
        <w:rPr>
          <w:szCs w:val="28"/>
        </w:rPr>
        <w:t>, “[A]ll that can be said [of the District Court’s orders] is that while criminal defense attorneys have a First Amendment right to ‘initiate contact’ with crime victims,</w:t>
      </w:r>
      <w:r w:rsidR="00E531E2" w:rsidRPr="00A56A3E">
        <w:rPr>
          <w:b/>
          <w:bCs/>
          <w:szCs w:val="28"/>
        </w:rPr>
        <w:t xml:space="preserve"> their right stops there</w:t>
      </w:r>
      <w:r w:rsidR="00E531E2" w:rsidRPr="00A56A3E">
        <w:rPr>
          <w:szCs w:val="28"/>
        </w:rPr>
        <w:t>.”).</w:t>
      </w:r>
    </w:p>
  </w:footnote>
  <w:footnote w:id="4">
    <w:p w14:paraId="14E23474" w14:textId="77777777" w:rsidR="00FA04F2" w:rsidRDefault="00783F81">
      <w:pPr>
        <w:pStyle w:val="FootnoteText"/>
        <w:rPr>
          <w:szCs w:val="28"/>
        </w:rPr>
      </w:pPr>
      <w:r w:rsidRPr="00A56A3E">
        <w:rPr>
          <w:rStyle w:val="FootnoteReference"/>
          <w:szCs w:val="28"/>
        </w:rPr>
        <w:footnoteRef/>
      </w:r>
      <w:r w:rsidRPr="00A56A3E">
        <w:rPr>
          <w:szCs w:val="28"/>
        </w:rPr>
        <w:t xml:space="preserve"> No defendant has sought a stay of the District Court’s orders in any court</w:t>
      </w:r>
      <w:r w:rsidR="00A56A3E">
        <w:rPr>
          <w:szCs w:val="28"/>
        </w:rPr>
        <w:t xml:space="preserve">, and this Court should not delay a decision on AACJ’s Petition while the current appeal is pending at the Ninth Circuit. </w:t>
      </w:r>
      <w:r w:rsidR="00A56A3E" w:rsidRPr="00A56A3E">
        <w:rPr>
          <w:szCs w:val="28"/>
        </w:rPr>
        <w:t xml:space="preserve">The median time for the disposition of an appeal at the Ninth Circuit is more than one year. </w:t>
      </w:r>
      <w:r w:rsidR="00A56A3E" w:rsidRPr="006B351C">
        <w:rPr>
          <w:i/>
          <w:iCs/>
          <w:szCs w:val="28"/>
        </w:rPr>
        <w:t>See</w:t>
      </w:r>
      <w:r w:rsidR="00A56A3E" w:rsidRPr="00A56A3E">
        <w:rPr>
          <w:szCs w:val="28"/>
        </w:rPr>
        <w:t xml:space="preserve"> U.S. Court of Appeals - Judicial Caseload Profile,</w:t>
      </w:r>
    </w:p>
    <w:p w14:paraId="5CA72D53" w14:textId="6FCF1328" w:rsidR="00783F81" w:rsidRPr="00A56A3E" w:rsidRDefault="00B17966">
      <w:pPr>
        <w:pStyle w:val="FootnoteText"/>
        <w:rPr>
          <w:szCs w:val="28"/>
        </w:rPr>
      </w:pPr>
      <w:hyperlink r:id="rId1" w:history="1">
        <w:r w:rsidR="00FA04F2" w:rsidRPr="00FA04F2">
          <w:rPr>
            <w:rStyle w:val="Hyperlink"/>
          </w:rPr>
          <w:t>https://cdn.ca9.uscourts.gov/datastore/general/2022/Ninth_Circuit_Judicial_Caseload_Profile_June2022.pdf</w:t>
        </w:r>
      </w:hyperlink>
      <w:r w:rsidR="00A56A3E" w:rsidRPr="004E4AFB">
        <w:rPr>
          <w:szCs w:val="28"/>
        </w:rPr>
        <w:t>.</w:t>
      </w:r>
      <w:r w:rsidR="00AF744E" w:rsidRPr="004E4AFB">
        <w:rPr>
          <w:szCs w:val="28"/>
        </w:rPr>
        <w:t xml:space="preserve"> And Rule 39(b)(12) continues to violate the free-speech rights of criminal-defense</w:t>
      </w:r>
      <w:r w:rsidR="00AF744E" w:rsidRPr="004E4AFB">
        <w:t xml:space="preserve"> team members and crime victims each day that it remains in effect. </w:t>
      </w:r>
      <w:r w:rsidR="00AF744E" w:rsidRPr="006828C1">
        <w:rPr>
          <w:i/>
          <w:iCs/>
        </w:rPr>
        <w:t>Elrod v. Burns</w:t>
      </w:r>
      <w:r w:rsidR="00AF744E" w:rsidRPr="004E4AFB">
        <w:t>, 427 U.S. 347, 373 (1976) (“The loss of First Amendment freedoms, for even minimal periods of time, unquestionably constitutes irreparable injury</w:t>
      </w:r>
      <w:r w:rsidR="00C97B73">
        <w:t>.</w:t>
      </w:r>
      <w:r w:rsidR="00AF744E" w:rsidRPr="004E4AFB">
        <w:t xml:space="preserve">”); </w:t>
      </w:r>
      <w:r w:rsidR="00AF744E" w:rsidRPr="004E4AFB">
        <w:rPr>
          <w:i/>
          <w:iCs/>
        </w:rPr>
        <w:t>see Klein v. City of San Clemente</w:t>
      </w:r>
      <w:r w:rsidR="00AF744E" w:rsidRPr="004E4AFB">
        <w:t xml:space="preserve">, 584 F.3d 1196, 1207-08 (9th Cir. 2009); </w:t>
      </w:r>
      <w:r w:rsidR="00AF744E" w:rsidRPr="004E4AFB">
        <w:rPr>
          <w:i/>
          <w:iCs/>
        </w:rPr>
        <w:t>Jacobsen v. U.S. Postal Serv.</w:t>
      </w:r>
      <w:r w:rsidR="00AF744E" w:rsidRPr="004E4AFB">
        <w:t xml:space="preserve">, 812 F.2d 1151, 1154 (9th Cir. 1987). </w:t>
      </w:r>
      <w:r w:rsidR="00AF744E" w:rsidRPr="004E4AFB">
        <w:rPr>
          <w:i/>
          <w:iCs/>
        </w:rPr>
        <w:t>See also</w:t>
      </w:r>
      <w:r w:rsidR="00AF744E">
        <w:rPr>
          <w:szCs w:val="28"/>
        </w:rPr>
        <w:t xml:space="preserve"> </w:t>
      </w:r>
      <w:r w:rsidR="00A56A3E" w:rsidRPr="00A56A3E">
        <w:rPr>
          <w:szCs w:val="28"/>
        </w:rPr>
        <w:t xml:space="preserve">AVCV </w:t>
      </w:r>
      <w:r w:rsidR="004F56FB" w:rsidRPr="00A56A3E">
        <w:rPr>
          <w:szCs w:val="28"/>
        </w:rPr>
        <w:t>Comment at 11 n.2</w:t>
      </w:r>
      <w:r w:rsidR="00AF744E">
        <w:rPr>
          <w:szCs w:val="28"/>
        </w:rPr>
        <w:t xml:space="preserve"> (</w:t>
      </w:r>
      <w:r w:rsidR="00AF744E" w:rsidRPr="00A56A3E">
        <w:rPr>
          <w:szCs w:val="28"/>
        </w:rPr>
        <w:t>acknowledg</w:t>
      </w:r>
      <w:r w:rsidR="00AF744E">
        <w:rPr>
          <w:szCs w:val="28"/>
        </w:rPr>
        <w:t>ing</w:t>
      </w:r>
      <w:r w:rsidR="00AF744E" w:rsidRPr="00A56A3E">
        <w:rPr>
          <w:szCs w:val="28"/>
        </w:rPr>
        <w:t xml:space="preserve"> that the pending appeal “does not affect </w:t>
      </w:r>
      <w:r w:rsidR="00AF744E">
        <w:rPr>
          <w:szCs w:val="28"/>
        </w:rPr>
        <w:t>this</w:t>
      </w:r>
      <w:r w:rsidR="00AF744E" w:rsidRPr="00A56A3E">
        <w:rPr>
          <w:szCs w:val="28"/>
        </w:rPr>
        <w:t xml:space="preserve"> Comment”</w:t>
      </w:r>
      <w:r w:rsidR="00AF744E">
        <w:rPr>
          <w:szCs w:val="28"/>
        </w:rPr>
        <w:t>).</w:t>
      </w:r>
    </w:p>
  </w:footnote>
  <w:footnote w:id="5">
    <w:p w14:paraId="0B84A03C" w14:textId="64A52414" w:rsidR="00E124A0" w:rsidRPr="00A56A3E" w:rsidRDefault="00E124A0">
      <w:pPr>
        <w:pStyle w:val="FootnoteText"/>
        <w:rPr>
          <w:szCs w:val="28"/>
        </w:rPr>
      </w:pPr>
      <w:r w:rsidRPr="00A56A3E">
        <w:rPr>
          <w:rStyle w:val="FootnoteReference"/>
          <w:szCs w:val="28"/>
        </w:rPr>
        <w:footnoteRef/>
      </w:r>
      <w:r w:rsidRPr="00A56A3E">
        <w:rPr>
          <w:szCs w:val="28"/>
        </w:rPr>
        <w:t xml:space="preserve"> </w:t>
      </w:r>
      <w:r w:rsidR="001A0BA2" w:rsidRPr="006828C1">
        <w:rPr>
          <w:i/>
          <w:iCs/>
          <w:szCs w:val="28"/>
        </w:rPr>
        <w:t>See</w:t>
      </w:r>
      <w:r w:rsidR="001A0BA2">
        <w:rPr>
          <w:szCs w:val="28"/>
        </w:rPr>
        <w:t xml:space="preserve"> Petition, Exhs. 2-5; AVCV Comment, Exhs. A-F.</w:t>
      </w:r>
    </w:p>
  </w:footnote>
  <w:footnote w:id="6">
    <w:p w14:paraId="0538EFAC" w14:textId="22D10EBE" w:rsidR="00E124A0" w:rsidRPr="00A56A3E" w:rsidRDefault="00E124A0">
      <w:pPr>
        <w:pStyle w:val="FootnoteText"/>
        <w:rPr>
          <w:szCs w:val="28"/>
        </w:rPr>
      </w:pPr>
      <w:r w:rsidRPr="00A56A3E">
        <w:rPr>
          <w:rStyle w:val="FootnoteReference"/>
          <w:szCs w:val="28"/>
        </w:rPr>
        <w:footnoteRef/>
      </w:r>
      <w:r w:rsidRPr="00A56A3E">
        <w:rPr>
          <w:szCs w:val="28"/>
        </w:rPr>
        <w:t xml:space="preserve"> </w:t>
      </w:r>
      <w:r w:rsidR="004E4AFB" w:rsidRPr="006828C1">
        <w:rPr>
          <w:b/>
          <w:bCs/>
          <w:szCs w:val="28"/>
        </w:rPr>
        <w:t>Exh. 9</w:t>
      </w:r>
      <w:r w:rsidR="004E4AFB">
        <w:rPr>
          <w:szCs w:val="28"/>
        </w:rPr>
        <w:t xml:space="preserve"> (District Court docket); </w:t>
      </w:r>
      <w:r w:rsidR="004E4AFB" w:rsidRPr="006828C1">
        <w:rPr>
          <w:b/>
          <w:bCs/>
          <w:szCs w:val="28"/>
        </w:rPr>
        <w:t>Exh. 10</w:t>
      </w:r>
      <w:r w:rsidR="004E4AFB">
        <w:rPr>
          <w:szCs w:val="28"/>
        </w:rPr>
        <w:t xml:space="preserve"> (trial transcript). </w:t>
      </w:r>
      <w:r w:rsidRPr="00A56A3E">
        <w:rPr>
          <w:szCs w:val="28"/>
        </w:rPr>
        <w:t>At the Court’s request, AACJ will submit any other portion of the federal court record that the Court wishes to review.</w:t>
      </w:r>
    </w:p>
  </w:footnote>
  <w:footnote w:id="7">
    <w:p w14:paraId="052E0059" w14:textId="7CA4FBCD" w:rsidR="002C2F1B" w:rsidRPr="00A56A3E" w:rsidRDefault="002C2F1B">
      <w:pPr>
        <w:pStyle w:val="FootnoteText"/>
        <w:rPr>
          <w:szCs w:val="28"/>
        </w:rPr>
      </w:pPr>
      <w:r w:rsidRPr="00A56A3E">
        <w:rPr>
          <w:rStyle w:val="FootnoteReference"/>
          <w:szCs w:val="28"/>
        </w:rPr>
        <w:footnoteRef/>
      </w:r>
      <w:r w:rsidRPr="00A56A3E">
        <w:rPr>
          <w:szCs w:val="28"/>
        </w:rPr>
        <w:t xml:space="preserve"> </w:t>
      </w:r>
      <w:r w:rsidR="007202D8">
        <w:rPr>
          <w:szCs w:val="28"/>
        </w:rPr>
        <w:t xml:space="preserve">The District Court rejected this argument with respect to A.R.S. § 13-4433(B). </w:t>
      </w:r>
      <w:r w:rsidR="007202D8" w:rsidRPr="007202D8">
        <w:rPr>
          <w:i/>
          <w:iCs/>
          <w:szCs w:val="28"/>
        </w:rPr>
        <w:t>See</w:t>
      </w:r>
      <w:r w:rsidR="007202D8">
        <w:rPr>
          <w:szCs w:val="28"/>
        </w:rPr>
        <w:t xml:space="preserve"> Exh. 2 </w:t>
      </w:r>
      <w:r w:rsidR="00A31B9C">
        <w:rPr>
          <w:szCs w:val="28"/>
        </w:rPr>
        <w:t xml:space="preserve">at 5 (finding </w:t>
      </w:r>
      <w:r w:rsidR="007202D8">
        <w:rPr>
          <w:szCs w:val="28"/>
        </w:rPr>
        <w:t xml:space="preserve">that </w:t>
      </w:r>
      <w:r w:rsidR="00A31B9C">
        <w:rPr>
          <w:szCs w:val="28"/>
        </w:rPr>
        <w:t>“[t]he</w:t>
      </w:r>
      <w:r w:rsidR="00A31B9C">
        <w:t xml:space="preserve"> victim’s right to refuse a defense interview, however, remains enforceable beyond a final disposition, except in cases involving a dismissal with prejudice or an acquittal” (citing A.R.S. § 13-4433(H)); </w:t>
      </w:r>
      <w:r w:rsidR="00A31B9C">
        <w:rPr>
          <w:i/>
          <w:iCs/>
        </w:rPr>
        <w:t xml:space="preserve">id. </w:t>
      </w:r>
      <w:r w:rsidR="00A31B9C">
        <w:t>at 38 (finding</w:t>
      </w:r>
      <w:r w:rsidR="007202D8">
        <w:t xml:space="preserve"> that</w:t>
      </w:r>
      <w:r w:rsidR="00A31B9C">
        <w:t xml:space="preserve"> “[t]he Statute is not narrowly tailored to protecting victims’ right to refuse an interview by the defense team because it is not ‘actually necessary’ to achieving that goal” (citing </w:t>
      </w:r>
      <w:r w:rsidR="00A31B9C">
        <w:rPr>
          <w:i/>
          <w:iCs/>
        </w:rPr>
        <w:t>Brown v. Ent. Merchs. Ass’n</w:t>
      </w:r>
      <w:r w:rsidR="00A31B9C">
        <w:t xml:space="preserve">, 564 U.S. 786, 799 (2011)); </w:t>
      </w:r>
      <w:r w:rsidR="00A31B9C">
        <w:rPr>
          <w:i/>
          <w:iCs/>
        </w:rPr>
        <w:t xml:space="preserve">id. </w:t>
      </w:r>
      <w:r w:rsidR="00A31B9C">
        <w:t>at 28 (noting that “[m]ore than a dozen states give victims the right to refuse an interview, deposition or discovery request by the defense,” but “no other jurisdiction limits the defense’s ability to initiate contact with crime victims in the first place”).</w:t>
      </w:r>
    </w:p>
  </w:footnote>
  <w:footnote w:id="8">
    <w:p w14:paraId="4D479FD3" w14:textId="6A399A92" w:rsidR="00E531E2" w:rsidRPr="00A56A3E" w:rsidRDefault="00E531E2" w:rsidP="00E531E2">
      <w:pPr>
        <w:pStyle w:val="FootnoteText"/>
        <w:rPr>
          <w:szCs w:val="28"/>
        </w:rPr>
      </w:pPr>
      <w:r w:rsidRPr="00A56A3E">
        <w:rPr>
          <w:rStyle w:val="FootnoteReference"/>
          <w:szCs w:val="28"/>
        </w:rPr>
        <w:footnoteRef/>
      </w:r>
      <w:r w:rsidRPr="00A56A3E">
        <w:rPr>
          <w:szCs w:val="28"/>
        </w:rPr>
        <w:t xml:space="preserve"> </w:t>
      </w:r>
      <w:r w:rsidR="007202D8" w:rsidRPr="00A56A3E">
        <w:rPr>
          <w:szCs w:val="28"/>
        </w:rPr>
        <w:t>Joint Comment by the Directors of the Maricopa County Indigent Defense Agencies a</w:t>
      </w:r>
      <w:r w:rsidR="007202D8">
        <w:rPr>
          <w:szCs w:val="28"/>
        </w:rPr>
        <w:t xml:space="preserve">t 6 (citing </w:t>
      </w:r>
      <w:r w:rsidRPr="00A56A3E">
        <w:rPr>
          <w:szCs w:val="28"/>
        </w:rPr>
        <w:t>A.R.S. §</w:t>
      </w:r>
      <w:r w:rsidR="007202D8">
        <w:rPr>
          <w:szCs w:val="28"/>
        </w:rPr>
        <w:t>§</w:t>
      </w:r>
      <w:r w:rsidRPr="00A56A3E">
        <w:rPr>
          <w:szCs w:val="28"/>
        </w:rPr>
        <w:t xml:space="preserve"> 13-4408(A)(1)</w:t>
      </w:r>
      <w:r w:rsidR="007202D8">
        <w:rPr>
          <w:szCs w:val="28"/>
        </w:rPr>
        <w:t xml:space="preserve">, </w:t>
      </w:r>
      <w:r w:rsidRPr="00A56A3E">
        <w:rPr>
          <w:szCs w:val="28"/>
        </w:rPr>
        <w:t>-4438</w:t>
      </w:r>
      <w:r w:rsidR="007202D8">
        <w:rPr>
          <w:szCs w:val="28"/>
        </w:rPr>
        <w:t>, and</w:t>
      </w:r>
      <w:r w:rsidRPr="00A56A3E">
        <w:rPr>
          <w:szCs w:val="28"/>
        </w:rPr>
        <w:t xml:space="preserve"> -4405</w:t>
      </w:r>
      <w:r w:rsidR="007202D8">
        <w:rPr>
          <w:szCs w:val="28"/>
        </w:rPr>
        <w:t>).</w:t>
      </w:r>
    </w:p>
  </w:footnote>
  <w:footnote w:id="9">
    <w:p w14:paraId="66EC1694" w14:textId="73CC9477" w:rsidR="002C2F1B" w:rsidRPr="00A56A3E" w:rsidRDefault="002C2F1B" w:rsidP="002C2F1B">
      <w:pPr>
        <w:pStyle w:val="FootnoteText"/>
        <w:rPr>
          <w:szCs w:val="28"/>
        </w:rPr>
      </w:pPr>
      <w:r w:rsidRPr="00A56A3E">
        <w:rPr>
          <w:rStyle w:val="FootnoteReference"/>
          <w:szCs w:val="28"/>
        </w:rPr>
        <w:footnoteRef/>
      </w:r>
      <w:r w:rsidRPr="00A56A3E">
        <w:rPr>
          <w:szCs w:val="28"/>
        </w:rPr>
        <w:t xml:space="preserve"> </w:t>
      </w:r>
      <w:r w:rsidR="00A56A3E" w:rsidRPr="00A56A3E">
        <w:rPr>
          <w:szCs w:val="28"/>
        </w:rPr>
        <w:t xml:space="preserve">AVCV </w:t>
      </w:r>
      <w:r w:rsidRPr="00A56A3E">
        <w:rPr>
          <w:szCs w:val="28"/>
        </w:rPr>
        <w:t xml:space="preserve">Comment at 10 (quoting District Court order). </w:t>
      </w:r>
      <w:r w:rsidRPr="00A56A3E">
        <w:rPr>
          <w:i/>
          <w:iCs/>
          <w:szCs w:val="28"/>
        </w:rPr>
        <w:t>See</w:t>
      </w:r>
      <w:r w:rsidRPr="00A56A3E">
        <w:rPr>
          <w:szCs w:val="28"/>
        </w:rPr>
        <w:t xml:space="preserve"> Joint Comment by the Directors of the Maricopa County Indigent Defense Agencies at 5 (“Despite 30 years of victims’ rights expansion across the county, Arizona stands alone in adopting Court rules and legislation that prohibit defense attorneys from communicating directly with victims.”).</w:t>
      </w:r>
    </w:p>
  </w:footnote>
  <w:footnote w:id="10">
    <w:p w14:paraId="52A95143" w14:textId="7DF274BA" w:rsidR="006F374B" w:rsidRPr="006E2ECA" w:rsidRDefault="006F374B" w:rsidP="007202D8">
      <w:pPr>
        <w:pStyle w:val="FootnoteText"/>
        <w:rPr>
          <w:szCs w:val="28"/>
        </w:rPr>
      </w:pPr>
      <w:r w:rsidRPr="00A56A3E">
        <w:rPr>
          <w:rStyle w:val="FootnoteReference"/>
          <w:szCs w:val="28"/>
        </w:rPr>
        <w:footnoteRef/>
      </w:r>
      <w:r w:rsidRPr="00A56A3E">
        <w:rPr>
          <w:szCs w:val="28"/>
        </w:rPr>
        <w:t xml:space="preserve"> APAAC </w:t>
      </w:r>
      <w:r w:rsidR="001D3210" w:rsidRPr="00A56A3E">
        <w:rPr>
          <w:szCs w:val="28"/>
        </w:rPr>
        <w:t>claims</w:t>
      </w:r>
      <w:r w:rsidRPr="00A56A3E">
        <w:rPr>
          <w:szCs w:val="28"/>
        </w:rPr>
        <w:t xml:space="preserve"> that the rule is permissible as a “procedural rule” for the “management of criminal proceedings</w:t>
      </w:r>
      <w:r w:rsidR="001D3210" w:rsidRPr="00A56A3E">
        <w:rPr>
          <w:szCs w:val="28"/>
        </w:rPr>
        <w:t>,</w:t>
      </w:r>
      <w:r w:rsidRPr="00A56A3E">
        <w:rPr>
          <w:szCs w:val="28"/>
        </w:rPr>
        <w:t>” APAAC Comment at 5</w:t>
      </w:r>
      <w:r w:rsidR="001D3210" w:rsidRPr="00A56A3E">
        <w:rPr>
          <w:szCs w:val="28"/>
        </w:rPr>
        <w:t xml:space="preserve">, and that “[t]he personal speech rights of defense counsel are not pivotal, implicated, or consequential when it comes to regulating pretrial criminal discovery procedures,” </w:t>
      </w:r>
      <w:r w:rsidR="00EF1E79" w:rsidRPr="00EF1E79">
        <w:rPr>
          <w:i/>
          <w:iCs/>
          <w:szCs w:val="28"/>
        </w:rPr>
        <w:t>id.</w:t>
      </w:r>
      <w:r w:rsidR="001D3210" w:rsidRPr="00A56A3E">
        <w:rPr>
          <w:szCs w:val="28"/>
        </w:rPr>
        <w:t xml:space="preserve"> at 4. These arguments are incorrect as a matter of First Amendment law. </w:t>
      </w:r>
      <w:r w:rsidR="00592811" w:rsidRPr="00592811">
        <w:rPr>
          <w:i/>
          <w:iCs/>
          <w:szCs w:val="28"/>
        </w:rPr>
        <w:t>See generally</w:t>
      </w:r>
      <w:r w:rsidR="00592811">
        <w:rPr>
          <w:szCs w:val="28"/>
        </w:rPr>
        <w:t xml:space="preserve"> </w:t>
      </w:r>
      <w:r w:rsidR="00592811" w:rsidRPr="00592811">
        <w:rPr>
          <w:szCs w:val="28"/>
        </w:rPr>
        <w:t>Pinal County Public Defender Comment</w:t>
      </w:r>
      <w:r w:rsidR="00592811">
        <w:rPr>
          <w:szCs w:val="28"/>
        </w:rPr>
        <w:t xml:space="preserve"> (and authorities discussed); </w:t>
      </w:r>
      <w:r w:rsidR="00592811" w:rsidRPr="00592811">
        <w:rPr>
          <w:i/>
          <w:iCs/>
          <w:szCs w:val="28"/>
        </w:rPr>
        <w:t>see also, e.g.</w:t>
      </w:r>
      <w:r w:rsidR="00592811">
        <w:rPr>
          <w:szCs w:val="28"/>
        </w:rPr>
        <w:t xml:space="preserve">, </w:t>
      </w:r>
      <w:r w:rsidR="007202D8" w:rsidRPr="004B022C">
        <w:rPr>
          <w:i/>
          <w:iCs/>
          <w:szCs w:val="28"/>
        </w:rPr>
        <w:t>Moss v. U.S. Secret Serv.</w:t>
      </w:r>
      <w:r w:rsidR="007202D8" w:rsidRPr="007202D8">
        <w:rPr>
          <w:szCs w:val="28"/>
        </w:rPr>
        <w:t>, 572 F.3d 962, 970 (9th Cir.</w:t>
      </w:r>
      <w:r w:rsidR="00592811">
        <w:rPr>
          <w:szCs w:val="28"/>
        </w:rPr>
        <w:t xml:space="preserve"> </w:t>
      </w:r>
      <w:r w:rsidR="007202D8" w:rsidRPr="007202D8">
        <w:rPr>
          <w:szCs w:val="28"/>
        </w:rPr>
        <w:t>2009) (“Viewpoint discrimination occurs when the government prohibits speech by</w:t>
      </w:r>
      <w:r w:rsidR="00592811">
        <w:rPr>
          <w:szCs w:val="28"/>
        </w:rPr>
        <w:t xml:space="preserve"> </w:t>
      </w:r>
      <w:r w:rsidR="007202D8" w:rsidRPr="007202D8">
        <w:rPr>
          <w:szCs w:val="28"/>
        </w:rPr>
        <w:t>particular speakers, thereby suppressing a particular view about a subject.”) (cleaned up);</w:t>
      </w:r>
      <w:r w:rsidR="007202D8" w:rsidRPr="004B022C">
        <w:rPr>
          <w:szCs w:val="28"/>
        </w:rPr>
        <w:t xml:space="preserve"> </w:t>
      </w:r>
      <w:r w:rsidR="007202D8" w:rsidRPr="004B022C">
        <w:rPr>
          <w:i/>
          <w:iCs/>
          <w:szCs w:val="28"/>
        </w:rPr>
        <w:t xml:space="preserve">Levine v. U.S. </w:t>
      </w:r>
      <w:r w:rsidR="007202D8" w:rsidRPr="006E2ECA">
        <w:rPr>
          <w:i/>
          <w:iCs/>
          <w:szCs w:val="28"/>
        </w:rPr>
        <w:t>Dist. Ct.</w:t>
      </w:r>
      <w:r w:rsidR="007202D8" w:rsidRPr="006E2ECA">
        <w:rPr>
          <w:szCs w:val="28"/>
        </w:rPr>
        <w:t>, 764 F.2d 590, 595 (9th Cir. 1985) (“[A]ttorneys and other trial participants do not lose their constitutional rights at the courthouse door.”).</w:t>
      </w:r>
    </w:p>
  </w:footnote>
  <w:footnote w:id="11">
    <w:p w14:paraId="748C67A4" w14:textId="30AD3F14" w:rsidR="003B1FEC" w:rsidRPr="006E2ECA" w:rsidRDefault="003B1FEC">
      <w:pPr>
        <w:pStyle w:val="FootnoteText"/>
        <w:rPr>
          <w:szCs w:val="28"/>
        </w:rPr>
      </w:pPr>
      <w:r w:rsidRPr="006E2ECA">
        <w:rPr>
          <w:rStyle w:val="FootnoteReference"/>
          <w:szCs w:val="28"/>
        </w:rPr>
        <w:footnoteRef/>
      </w:r>
      <w:r w:rsidRPr="006E2ECA">
        <w:rPr>
          <w:szCs w:val="28"/>
        </w:rPr>
        <w:t xml:space="preserve"> </w:t>
      </w:r>
      <w:r w:rsidR="004B022C" w:rsidRPr="006E2ECA">
        <w:rPr>
          <w:szCs w:val="28"/>
        </w:rPr>
        <w:t xml:space="preserve">Exh. 2 </w:t>
      </w:r>
      <w:r w:rsidR="00A31B9C" w:rsidRPr="006E2ECA">
        <w:rPr>
          <w:szCs w:val="28"/>
        </w:rPr>
        <w:t xml:space="preserve">at </w:t>
      </w:r>
      <w:r w:rsidR="00A4043D" w:rsidRPr="006E2ECA">
        <w:rPr>
          <w:szCs w:val="28"/>
        </w:rPr>
        <w:t xml:space="preserve">13; </w:t>
      </w:r>
      <w:r w:rsidR="00A4043D" w:rsidRPr="006E2ECA">
        <w:rPr>
          <w:i/>
          <w:iCs/>
          <w:szCs w:val="28"/>
        </w:rPr>
        <w:t>see id.</w:t>
      </w:r>
      <w:r w:rsidR="00A4043D" w:rsidRPr="006E2ECA">
        <w:rPr>
          <w:szCs w:val="28"/>
        </w:rPr>
        <w:t xml:space="preserve"> at </w:t>
      </w:r>
      <w:r w:rsidR="00A31B9C" w:rsidRPr="006E2ECA">
        <w:rPr>
          <w:szCs w:val="28"/>
        </w:rPr>
        <w:t xml:space="preserve">20 (finding </w:t>
      </w:r>
      <w:r w:rsidR="004B022C" w:rsidRPr="006E2ECA">
        <w:rPr>
          <w:szCs w:val="28"/>
        </w:rPr>
        <w:t xml:space="preserve">that </w:t>
      </w:r>
      <w:r w:rsidR="00A31B9C" w:rsidRPr="006E2ECA">
        <w:rPr>
          <w:szCs w:val="28"/>
        </w:rPr>
        <w:t xml:space="preserve">“as </w:t>
      </w:r>
      <w:r w:rsidR="00A31B9C" w:rsidRPr="006E2ECA">
        <w:t>opposed to contributing to the proper functioning of the legal system, there is evidence that the Statute actually detracts from it by inhibiting the defense team’s ability to investigate the relevant facts”).</w:t>
      </w:r>
    </w:p>
  </w:footnote>
  <w:footnote w:id="12">
    <w:p w14:paraId="69B6C05A" w14:textId="3954E707" w:rsidR="002D5431" w:rsidRPr="002D5431" w:rsidRDefault="006313FE" w:rsidP="002D5431">
      <w:pPr>
        <w:pStyle w:val="FootnoteText"/>
        <w:rPr>
          <w:szCs w:val="28"/>
        </w:rPr>
      </w:pPr>
      <w:r w:rsidRPr="006E2ECA">
        <w:rPr>
          <w:rStyle w:val="FootnoteReference"/>
          <w:szCs w:val="28"/>
        </w:rPr>
        <w:footnoteRef/>
      </w:r>
      <w:r w:rsidRPr="006E2ECA">
        <w:rPr>
          <w:szCs w:val="28"/>
        </w:rPr>
        <w:t xml:space="preserve"> Joint Comment by the Directors of the Maricopa County Indigent Defense Agencies at 2; MCAO Comment at 2 (“[T]he [District Court’s] holding led to confusion.”)</w:t>
      </w:r>
      <w:r w:rsidR="00883EEF" w:rsidRPr="006E2ECA">
        <w:rPr>
          <w:szCs w:val="28"/>
        </w:rPr>
        <w:t xml:space="preserve">; </w:t>
      </w:r>
      <w:r w:rsidR="00A56A3E" w:rsidRPr="006E2ECA">
        <w:t xml:space="preserve">AVCV </w:t>
      </w:r>
      <w:r w:rsidR="00883EEF" w:rsidRPr="006E2ECA">
        <w:rPr>
          <w:szCs w:val="28"/>
        </w:rPr>
        <w:t xml:space="preserve">Comment at 14 (“[P]arts of the [District] Court’s [orders] </w:t>
      </w:r>
      <w:r w:rsidR="00883EEF" w:rsidRPr="006E2ECA">
        <w:rPr>
          <w:i/>
          <w:iCs/>
          <w:szCs w:val="28"/>
        </w:rPr>
        <w:t>were</w:t>
      </w:r>
      <w:r w:rsidR="00883EEF" w:rsidRPr="006E2ECA">
        <w:rPr>
          <w:szCs w:val="28"/>
        </w:rPr>
        <w:t xml:space="preserve"> ambiguous.”)</w:t>
      </w:r>
      <w:r w:rsidR="00F122AF" w:rsidRPr="006E2ECA">
        <w:rPr>
          <w:szCs w:val="28"/>
        </w:rPr>
        <w:t xml:space="preserve">. </w:t>
      </w:r>
      <w:r w:rsidR="002D5431" w:rsidRPr="006E2ECA">
        <w:rPr>
          <w:szCs w:val="28"/>
        </w:rPr>
        <w:t xml:space="preserve">Since shortly after the District Court’s orders, </w:t>
      </w:r>
      <w:r w:rsidR="00F122AF" w:rsidRPr="006E2ECA">
        <w:rPr>
          <w:szCs w:val="28"/>
        </w:rPr>
        <w:t xml:space="preserve">MCAO </w:t>
      </w:r>
      <w:r w:rsidR="002D5431" w:rsidRPr="006E2ECA">
        <w:rPr>
          <w:szCs w:val="28"/>
        </w:rPr>
        <w:t>has been sending letters to crime victims to notify th</w:t>
      </w:r>
      <w:r w:rsidR="00B17966">
        <w:rPr>
          <w:szCs w:val="28"/>
        </w:rPr>
        <w:t>em</w:t>
      </w:r>
      <w:r w:rsidR="002D5431" w:rsidRPr="006E2ECA">
        <w:rPr>
          <w:szCs w:val="28"/>
        </w:rPr>
        <w:t xml:space="preserve"> about the ruling. </w:t>
      </w:r>
      <w:r w:rsidR="002D5431" w:rsidRPr="006E2ECA">
        <w:rPr>
          <w:i/>
          <w:iCs/>
          <w:szCs w:val="28"/>
        </w:rPr>
        <w:t>See</w:t>
      </w:r>
      <w:r w:rsidR="002D5431" w:rsidRPr="006E2ECA">
        <w:rPr>
          <w:szCs w:val="28"/>
        </w:rPr>
        <w:t xml:space="preserve"> </w:t>
      </w:r>
      <w:r w:rsidR="002D5431" w:rsidRPr="006E2ECA">
        <w:rPr>
          <w:b/>
          <w:bCs/>
          <w:szCs w:val="28"/>
        </w:rPr>
        <w:t>Exh. 11</w:t>
      </w:r>
      <w:r w:rsidR="002D5431" w:rsidRPr="006E2ECA">
        <w:rPr>
          <w:szCs w:val="28"/>
        </w:rPr>
        <w:t xml:space="preserve"> (MCAO public records) (informing victims, “[T]he defendant’s attorney and</w:t>
      </w:r>
    </w:p>
    <w:p w14:paraId="46723C6D" w14:textId="30DCA33F" w:rsidR="006313FE" w:rsidRPr="00A56A3E" w:rsidRDefault="002D5431" w:rsidP="002D5431">
      <w:pPr>
        <w:pStyle w:val="FootnoteText"/>
        <w:rPr>
          <w:szCs w:val="28"/>
        </w:rPr>
      </w:pPr>
      <w:r w:rsidRPr="002D5431">
        <w:rPr>
          <w:szCs w:val="28"/>
        </w:rPr>
        <w:t>the attorney’s employees are prohibited from asking you to participate in an interview or otherwise interview</w:t>
      </w:r>
      <w:r>
        <w:rPr>
          <w:szCs w:val="28"/>
        </w:rPr>
        <w:t xml:space="preserve"> </w:t>
      </w:r>
      <w:r w:rsidRPr="002D5431">
        <w:rPr>
          <w:szCs w:val="28"/>
        </w:rPr>
        <w:t>you. Any request to interview you must still go through the Maricopa County Attorney’s Office.</w:t>
      </w:r>
      <w:r>
        <w:rPr>
          <w:szCs w:val="28"/>
        </w:rPr>
        <w:t>”).</w:t>
      </w:r>
    </w:p>
  </w:footnote>
  <w:footnote w:id="13">
    <w:p w14:paraId="39EC23A0" w14:textId="0EC4212E" w:rsidR="000626F1" w:rsidRPr="00A56A3E" w:rsidRDefault="000626F1" w:rsidP="000626F1">
      <w:pPr>
        <w:pStyle w:val="FootnoteText"/>
        <w:rPr>
          <w:szCs w:val="28"/>
        </w:rPr>
      </w:pPr>
      <w:r w:rsidRPr="00A56A3E">
        <w:rPr>
          <w:rStyle w:val="FootnoteReference"/>
          <w:szCs w:val="28"/>
        </w:rPr>
        <w:footnoteRef/>
      </w:r>
      <w:r w:rsidRPr="00A56A3E">
        <w:rPr>
          <w:szCs w:val="28"/>
        </w:rPr>
        <w:t xml:space="preserve"> APAAC Comment at 1 (“The intent and effect of Rule 39(</w:t>
      </w:r>
      <w:r w:rsidR="00B17966">
        <w:rPr>
          <w:szCs w:val="28"/>
        </w:rPr>
        <w:t>b)(12</w:t>
      </w:r>
      <w:r w:rsidRPr="00A56A3E">
        <w:rPr>
          <w:szCs w:val="28"/>
        </w:rPr>
        <w:t>) . . . is to regulate pretrial discovery procedures; namely interviews, depositions, and other discovery requests of the victim, made by the defendant, the defendant’s attorney, or other person acting on the defendant’s behalf.”).</w:t>
      </w:r>
    </w:p>
  </w:footnote>
  <w:footnote w:id="14">
    <w:p w14:paraId="06F78A49" w14:textId="1985F803" w:rsidR="00E63919" w:rsidRPr="006E2ECA" w:rsidRDefault="00E63919" w:rsidP="00E63919">
      <w:pPr>
        <w:autoSpaceDE w:val="0"/>
        <w:autoSpaceDN w:val="0"/>
        <w:adjustRightInd w:val="0"/>
        <w:rPr>
          <w:rFonts w:eastAsiaTheme="minorHAnsi"/>
          <w:snapToGrid/>
          <w:sz w:val="28"/>
          <w:szCs w:val="28"/>
        </w:rPr>
      </w:pPr>
      <w:r w:rsidRPr="006E2ECA">
        <w:rPr>
          <w:rStyle w:val="FootnoteReference"/>
          <w:sz w:val="28"/>
          <w:szCs w:val="28"/>
        </w:rPr>
        <w:footnoteRef/>
      </w:r>
      <w:r w:rsidRPr="006E2ECA">
        <w:rPr>
          <w:sz w:val="28"/>
          <w:szCs w:val="28"/>
        </w:rPr>
        <w:t xml:space="preserve"> </w:t>
      </w:r>
      <w:r w:rsidR="00A56A3E">
        <w:t xml:space="preserve">AVCV </w:t>
      </w:r>
      <w:r w:rsidRPr="006E2ECA">
        <w:rPr>
          <w:sz w:val="28"/>
          <w:szCs w:val="28"/>
        </w:rPr>
        <w:t>Comment at 15 (“</w:t>
      </w:r>
      <w:r w:rsidRPr="006E2ECA">
        <w:rPr>
          <w:rFonts w:eastAsiaTheme="minorHAnsi"/>
          <w:snapToGrid/>
          <w:sz w:val="28"/>
          <w:szCs w:val="28"/>
        </w:rPr>
        <w:t>The Plaintiffs’ argume</w:t>
      </w:r>
      <w:r w:rsidRPr="00A56A3E">
        <w:rPr>
          <w:rFonts w:eastAsiaTheme="minorHAnsi"/>
          <w:snapToGrid/>
          <w:sz w:val="28"/>
          <w:szCs w:val="28"/>
        </w:rPr>
        <w:t>n</w:t>
      </w:r>
      <w:r w:rsidRPr="006E2ECA">
        <w:rPr>
          <w:rFonts w:eastAsiaTheme="minorHAnsi"/>
          <w:snapToGrid/>
          <w:sz w:val="28"/>
          <w:szCs w:val="28"/>
        </w:rPr>
        <w:t xml:space="preserve">t at page 3 of their Response that ‘requests to interview a victim’ in Rule 39(b)(12)(A) must refer to formal interviews under </w:t>
      </w:r>
      <w:r w:rsidRPr="00A56A3E">
        <w:rPr>
          <w:rFonts w:eastAsiaTheme="minorHAnsi"/>
          <w:snapToGrid/>
          <w:sz w:val="28"/>
          <w:szCs w:val="28"/>
        </w:rPr>
        <w:t>Rule 15.3 is similarly unavailing.”).</w:t>
      </w:r>
    </w:p>
  </w:footnote>
  <w:footnote w:id="15">
    <w:p w14:paraId="6B5DC348" w14:textId="3F3DB115" w:rsidR="000626F1" w:rsidRPr="00A56A3E" w:rsidRDefault="000626F1">
      <w:pPr>
        <w:pStyle w:val="FootnoteText"/>
        <w:rPr>
          <w:szCs w:val="28"/>
        </w:rPr>
      </w:pPr>
      <w:r w:rsidRPr="00A56A3E">
        <w:rPr>
          <w:rStyle w:val="FootnoteReference"/>
          <w:szCs w:val="28"/>
        </w:rPr>
        <w:footnoteRef/>
      </w:r>
      <w:r w:rsidRPr="00A56A3E">
        <w:rPr>
          <w:szCs w:val="28"/>
        </w:rPr>
        <w:t xml:space="preserve"> MCAO Comment at 3.</w:t>
      </w:r>
    </w:p>
  </w:footnote>
  <w:footnote w:id="16">
    <w:p w14:paraId="44647D1D" w14:textId="77777777" w:rsidR="00992408" w:rsidRPr="00A56A3E" w:rsidRDefault="00992408" w:rsidP="00992408">
      <w:pPr>
        <w:pStyle w:val="FootnoteText"/>
        <w:rPr>
          <w:szCs w:val="28"/>
        </w:rPr>
      </w:pPr>
      <w:r w:rsidRPr="00A56A3E">
        <w:rPr>
          <w:rStyle w:val="FootnoteReference"/>
          <w:szCs w:val="28"/>
        </w:rPr>
        <w:footnoteRef/>
      </w:r>
      <w:r w:rsidRPr="00A56A3E">
        <w:rPr>
          <w:szCs w:val="28"/>
        </w:rPr>
        <w:t xml:space="preserve"> </w:t>
      </w:r>
      <w:r w:rsidRPr="00A56A3E">
        <w:rPr>
          <w:i/>
          <w:iCs/>
          <w:szCs w:val="28"/>
        </w:rPr>
        <w:t>See</w:t>
      </w:r>
      <w:r w:rsidRPr="00A56A3E">
        <w:rPr>
          <w:szCs w:val="28"/>
        </w:rPr>
        <w:t xml:space="preserve"> Joint Comment by the Directors of the Maricopa County Indigent Defense Agencies at 3 (“[S]tatutory victims are not always witnesses to the alleged offense and do not always possess information relevant to prove or disprove elements of the crime but nonetheless have an interest in, for example, what terms the defense is seeking in a plea agreement, whether the defendant has expressed remorse, what the defendant’s motivations were, how the defendant is fairing while incarcerated, and other case-related issues that do not fall squarely within the scope of Rule 15 discovery.”).</w:t>
      </w:r>
    </w:p>
  </w:footnote>
  <w:footnote w:id="17">
    <w:p w14:paraId="3B8C32FD" w14:textId="7426AE2E" w:rsidR="00D43A82" w:rsidRPr="00A56A3E" w:rsidRDefault="00D43A82">
      <w:pPr>
        <w:pStyle w:val="FootnoteText"/>
        <w:rPr>
          <w:szCs w:val="28"/>
        </w:rPr>
      </w:pPr>
      <w:r w:rsidRPr="00A56A3E">
        <w:rPr>
          <w:rStyle w:val="FootnoteReference"/>
          <w:szCs w:val="28"/>
        </w:rPr>
        <w:footnoteRef/>
      </w:r>
      <w:r w:rsidRPr="00A56A3E">
        <w:rPr>
          <w:szCs w:val="28"/>
        </w:rPr>
        <w:t xml:space="preserve"> </w:t>
      </w:r>
      <w:r w:rsidRPr="005C7552">
        <w:rPr>
          <w:rFonts w:eastAsiaTheme="minorHAnsi"/>
          <w:snapToGrid/>
          <w:szCs w:val="28"/>
        </w:rPr>
        <w:t>Exh. 4</w:t>
      </w:r>
      <w:r w:rsidRPr="00A56A3E">
        <w:rPr>
          <w:rFonts w:eastAsiaTheme="minorHAnsi"/>
          <w:b/>
          <w:bCs/>
          <w:snapToGrid/>
          <w:szCs w:val="28"/>
        </w:rPr>
        <w:t xml:space="preserve"> </w:t>
      </w:r>
      <w:r w:rsidRPr="00A56A3E">
        <w:rPr>
          <w:rFonts w:eastAsiaTheme="minorHAnsi"/>
          <w:snapToGrid/>
          <w:szCs w:val="28"/>
        </w:rPr>
        <w:t>at 1-2.</w:t>
      </w:r>
    </w:p>
  </w:footnote>
  <w:footnote w:id="18">
    <w:p w14:paraId="76C05230" w14:textId="72FFD789" w:rsidR="00D43A82" w:rsidRPr="00A56A3E" w:rsidRDefault="00D43A82" w:rsidP="00D43A82">
      <w:pPr>
        <w:pStyle w:val="FootnoteText"/>
        <w:rPr>
          <w:szCs w:val="28"/>
        </w:rPr>
      </w:pPr>
      <w:r w:rsidRPr="00A56A3E">
        <w:rPr>
          <w:rStyle w:val="FootnoteReference"/>
          <w:szCs w:val="28"/>
        </w:rPr>
        <w:footnoteRef/>
      </w:r>
      <w:r w:rsidRPr="00A56A3E">
        <w:rPr>
          <w:szCs w:val="28"/>
        </w:rPr>
        <w:t xml:space="preserve"> </w:t>
      </w:r>
      <w:r w:rsidR="005C7552">
        <w:rPr>
          <w:szCs w:val="28"/>
        </w:rPr>
        <w:t>AVCV Comment, Exh. E at 3</w:t>
      </w:r>
      <w:r w:rsidRPr="00A56A3E">
        <w:rPr>
          <w:szCs w:val="28"/>
        </w:rPr>
        <w:t>.</w:t>
      </w:r>
    </w:p>
  </w:footnote>
  <w:footnote w:id="19">
    <w:p w14:paraId="66E27BF6" w14:textId="35842566" w:rsidR="00D43A82" w:rsidRPr="00A56A3E" w:rsidRDefault="00D43A82" w:rsidP="00D43A82">
      <w:pPr>
        <w:pStyle w:val="FootnoteText"/>
        <w:rPr>
          <w:szCs w:val="28"/>
        </w:rPr>
      </w:pPr>
      <w:r w:rsidRPr="00A56A3E">
        <w:rPr>
          <w:rStyle w:val="FootnoteReference"/>
          <w:szCs w:val="28"/>
        </w:rPr>
        <w:footnoteRef/>
      </w:r>
      <w:r w:rsidRPr="00A56A3E">
        <w:rPr>
          <w:szCs w:val="28"/>
        </w:rPr>
        <w:t xml:space="preserve"> </w:t>
      </w:r>
      <w:r w:rsidR="006E2ECA" w:rsidRPr="006E2ECA">
        <w:rPr>
          <w:b/>
          <w:bCs/>
          <w:szCs w:val="28"/>
        </w:rPr>
        <w:t>Exh. 11</w:t>
      </w:r>
      <w:r w:rsidR="006E2ECA" w:rsidRPr="006E2ECA">
        <w:rPr>
          <w:szCs w:val="28"/>
        </w:rPr>
        <w:t xml:space="preserve"> (MCAO public records) </w:t>
      </w:r>
      <w:r w:rsidRPr="00A56A3E">
        <w:rPr>
          <w:szCs w:val="28"/>
        </w:rPr>
        <w:t>(“We will vigorously defend the rights of victi</w:t>
      </w:r>
      <w:r w:rsidR="007E3E63" w:rsidRPr="00A56A3E">
        <w:rPr>
          <w:szCs w:val="28"/>
        </w:rPr>
        <w:t>m</w:t>
      </w:r>
      <w:r w:rsidRPr="00A56A3E">
        <w:rPr>
          <w:szCs w:val="28"/>
        </w:rPr>
        <w:t>s! Thanks for your vigilance and please notify your chain of command if Motions reference this Decision are filed in your respective cases or if you are contacted by victims who are contacted by defense attorneys of their staff.”).</w:t>
      </w:r>
    </w:p>
  </w:footnote>
  <w:footnote w:id="20">
    <w:p w14:paraId="55E15388" w14:textId="4284E295" w:rsidR="003B1FEC" w:rsidRPr="00A56A3E" w:rsidRDefault="003B1FEC" w:rsidP="003B1FEC">
      <w:pPr>
        <w:pStyle w:val="FootnoteText"/>
        <w:rPr>
          <w:szCs w:val="28"/>
        </w:rPr>
      </w:pPr>
      <w:r w:rsidRPr="00A56A3E">
        <w:rPr>
          <w:rStyle w:val="FootnoteReference"/>
          <w:szCs w:val="28"/>
        </w:rPr>
        <w:footnoteRef/>
      </w:r>
      <w:r w:rsidRPr="00A56A3E">
        <w:rPr>
          <w:szCs w:val="28"/>
        </w:rPr>
        <w:t xml:space="preserve"> </w:t>
      </w:r>
      <w:r w:rsidRPr="00A56A3E">
        <w:rPr>
          <w:i/>
          <w:iCs/>
          <w:szCs w:val="28"/>
        </w:rPr>
        <w:t>See</w:t>
      </w:r>
      <w:r w:rsidRPr="00A56A3E">
        <w:rPr>
          <w:szCs w:val="28"/>
        </w:rPr>
        <w:t xml:space="preserve"> Jerod Macdonald-Evoy, </w:t>
      </w:r>
      <w:r w:rsidRPr="00A56A3E">
        <w:rPr>
          <w:i/>
          <w:iCs/>
          <w:szCs w:val="28"/>
        </w:rPr>
        <w:t xml:space="preserve">Sanctions for </w:t>
      </w:r>
      <w:r w:rsidR="00EE3712" w:rsidRPr="00A56A3E">
        <w:rPr>
          <w:i/>
          <w:iCs/>
          <w:szCs w:val="28"/>
        </w:rPr>
        <w:t xml:space="preserve">Bogus Election Lawsuits Spurs </w:t>
      </w:r>
      <w:r w:rsidRPr="00A56A3E">
        <w:rPr>
          <w:i/>
          <w:iCs/>
          <w:szCs w:val="28"/>
        </w:rPr>
        <w:t xml:space="preserve">GOP </w:t>
      </w:r>
      <w:r w:rsidR="00EE3712" w:rsidRPr="00A56A3E">
        <w:rPr>
          <w:i/>
          <w:iCs/>
          <w:szCs w:val="28"/>
        </w:rPr>
        <w:t xml:space="preserve">Proposal </w:t>
      </w:r>
      <w:r w:rsidRPr="00A56A3E">
        <w:rPr>
          <w:i/>
          <w:iCs/>
          <w:szCs w:val="28"/>
        </w:rPr>
        <w:t xml:space="preserve">to </w:t>
      </w:r>
      <w:r w:rsidR="00EE3712" w:rsidRPr="00A56A3E">
        <w:rPr>
          <w:i/>
          <w:iCs/>
          <w:szCs w:val="28"/>
        </w:rPr>
        <w:t xml:space="preserve">Protect Attorneys </w:t>
      </w:r>
      <w:r w:rsidRPr="00A56A3E">
        <w:rPr>
          <w:i/>
          <w:iCs/>
          <w:szCs w:val="28"/>
        </w:rPr>
        <w:t xml:space="preserve">from </w:t>
      </w:r>
      <w:r w:rsidR="00EE3712" w:rsidRPr="00A56A3E">
        <w:rPr>
          <w:i/>
          <w:iCs/>
          <w:szCs w:val="28"/>
        </w:rPr>
        <w:t>Punishment</w:t>
      </w:r>
      <w:r w:rsidRPr="00A56A3E">
        <w:rPr>
          <w:szCs w:val="28"/>
        </w:rPr>
        <w:t xml:space="preserve">, AZ Mirror (Feb. 14, 2023), </w:t>
      </w:r>
      <w:r w:rsidRPr="00EE3712">
        <w:rPr>
          <w:i/>
          <w:iCs/>
          <w:szCs w:val="28"/>
        </w:rPr>
        <w:t>available at</w:t>
      </w:r>
      <w:r w:rsidRPr="00A56A3E">
        <w:rPr>
          <w:szCs w:val="28"/>
        </w:rPr>
        <w:t xml:space="preserve"> </w:t>
      </w:r>
      <w:hyperlink r:id="rId2" w:history="1">
        <w:r w:rsidRPr="00A56A3E">
          <w:rPr>
            <w:rStyle w:val="Hyperlink"/>
            <w:szCs w:val="28"/>
          </w:rPr>
          <w:t>https://www.azmirror.com/2023/02/14/sanctions-for-bogus-election-lawsuits-spurs-gop-proposal-to-protect-attorneys-from-punishment/</w:t>
        </w:r>
      </w:hyperlink>
      <w:r w:rsidRPr="00A56A3E">
        <w:rPr>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CB09" w14:textId="77777777" w:rsidR="00400B25" w:rsidRDefault="00400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F92B" w14:textId="77777777" w:rsidR="00400B25" w:rsidRDefault="00400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1B45" w14:textId="77777777" w:rsidR="00400B25" w:rsidRDefault="0040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6048867">
    <w:abstractNumId w:val="1"/>
  </w:num>
  <w:num w:numId="2" w16cid:durableId="148211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F1"/>
    <w:rsid w:val="0000296E"/>
    <w:rsid w:val="0000310B"/>
    <w:rsid w:val="00003A2B"/>
    <w:rsid w:val="00006C13"/>
    <w:rsid w:val="0001776C"/>
    <w:rsid w:val="000221B3"/>
    <w:rsid w:val="000268D9"/>
    <w:rsid w:val="000301F7"/>
    <w:rsid w:val="00031630"/>
    <w:rsid w:val="00040B6C"/>
    <w:rsid w:val="00045825"/>
    <w:rsid w:val="00061DCE"/>
    <w:rsid w:val="000626F1"/>
    <w:rsid w:val="00084579"/>
    <w:rsid w:val="000A427B"/>
    <w:rsid w:val="000A6C97"/>
    <w:rsid w:val="00100061"/>
    <w:rsid w:val="00123B24"/>
    <w:rsid w:val="001351F2"/>
    <w:rsid w:val="00135581"/>
    <w:rsid w:val="0015299F"/>
    <w:rsid w:val="00161FD5"/>
    <w:rsid w:val="00192C26"/>
    <w:rsid w:val="001A0BA2"/>
    <w:rsid w:val="001A6A99"/>
    <w:rsid w:val="001B22AD"/>
    <w:rsid w:val="001B2F4E"/>
    <w:rsid w:val="001D3210"/>
    <w:rsid w:val="001F6AA7"/>
    <w:rsid w:val="002037D3"/>
    <w:rsid w:val="002201FB"/>
    <w:rsid w:val="00226D38"/>
    <w:rsid w:val="00237CCB"/>
    <w:rsid w:val="002477F1"/>
    <w:rsid w:val="00255EC4"/>
    <w:rsid w:val="00262EE4"/>
    <w:rsid w:val="002709A8"/>
    <w:rsid w:val="00274753"/>
    <w:rsid w:val="0027610A"/>
    <w:rsid w:val="002A4BB2"/>
    <w:rsid w:val="002C01DE"/>
    <w:rsid w:val="002C2F1B"/>
    <w:rsid w:val="002C6CC0"/>
    <w:rsid w:val="002D52FA"/>
    <w:rsid w:val="002D5431"/>
    <w:rsid w:val="002D70AB"/>
    <w:rsid w:val="002E003C"/>
    <w:rsid w:val="002E0D78"/>
    <w:rsid w:val="003014DD"/>
    <w:rsid w:val="00306F18"/>
    <w:rsid w:val="00310618"/>
    <w:rsid w:val="00311716"/>
    <w:rsid w:val="00316135"/>
    <w:rsid w:val="003363AE"/>
    <w:rsid w:val="0034077D"/>
    <w:rsid w:val="00342B0D"/>
    <w:rsid w:val="00352FA7"/>
    <w:rsid w:val="00354FF4"/>
    <w:rsid w:val="003570E4"/>
    <w:rsid w:val="00357805"/>
    <w:rsid w:val="0036099F"/>
    <w:rsid w:val="0037177B"/>
    <w:rsid w:val="00373430"/>
    <w:rsid w:val="00387312"/>
    <w:rsid w:val="003A0406"/>
    <w:rsid w:val="003B1FEC"/>
    <w:rsid w:val="003B687B"/>
    <w:rsid w:val="003D5E5F"/>
    <w:rsid w:val="003E5291"/>
    <w:rsid w:val="003E69D9"/>
    <w:rsid w:val="003F0DF3"/>
    <w:rsid w:val="003F4E00"/>
    <w:rsid w:val="003F7529"/>
    <w:rsid w:val="003F795C"/>
    <w:rsid w:val="00400ADD"/>
    <w:rsid w:val="00400B25"/>
    <w:rsid w:val="00401ACF"/>
    <w:rsid w:val="00414421"/>
    <w:rsid w:val="00422479"/>
    <w:rsid w:val="00423378"/>
    <w:rsid w:val="00434764"/>
    <w:rsid w:val="00442751"/>
    <w:rsid w:val="0044388D"/>
    <w:rsid w:val="00462F44"/>
    <w:rsid w:val="0046744A"/>
    <w:rsid w:val="00491A2C"/>
    <w:rsid w:val="00491C6B"/>
    <w:rsid w:val="004950E8"/>
    <w:rsid w:val="004B022C"/>
    <w:rsid w:val="004B694C"/>
    <w:rsid w:val="004D1FFA"/>
    <w:rsid w:val="004D6B3D"/>
    <w:rsid w:val="004E4AFB"/>
    <w:rsid w:val="004E7FD1"/>
    <w:rsid w:val="004F56FB"/>
    <w:rsid w:val="004F70EB"/>
    <w:rsid w:val="0050233E"/>
    <w:rsid w:val="005106AF"/>
    <w:rsid w:val="00512CA1"/>
    <w:rsid w:val="005200CC"/>
    <w:rsid w:val="00535A28"/>
    <w:rsid w:val="00556601"/>
    <w:rsid w:val="00556A45"/>
    <w:rsid w:val="0055702F"/>
    <w:rsid w:val="00565E69"/>
    <w:rsid w:val="00570E80"/>
    <w:rsid w:val="00580F3A"/>
    <w:rsid w:val="00592811"/>
    <w:rsid w:val="005B11DE"/>
    <w:rsid w:val="005B503D"/>
    <w:rsid w:val="005B54EF"/>
    <w:rsid w:val="005C49AC"/>
    <w:rsid w:val="005C7552"/>
    <w:rsid w:val="005C78FF"/>
    <w:rsid w:val="005D3297"/>
    <w:rsid w:val="005E0BFC"/>
    <w:rsid w:val="005F29C5"/>
    <w:rsid w:val="006313FE"/>
    <w:rsid w:val="00633D38"/>
    <w:rsid w:val="00655507"/>
    <w:rsid w:val="00657679"/>
    <w:rsid w:val="0066281A"/>
    <w:rsid w:val="006828C1"/>
    <w:rsid w:val="0068590F"/>
    <w:rsid w:val="006B351C"/>
    <w:rsid w:val="006B6FEF"/>
    <w:rsid w:val="006C21C5"/>
    <w:rsid w:val="006C5207"/>
    <w:rsid w:val="006C5E32"/>
    <w:rsid w:val="006C68BB"/>
    <w:rsid w:val="006E2ECA"/>
    <w:rsid w:val="006F374B"/>
    <w:rsid w:val="006F3C15"/>
    <w:rsid w:val="00702047"/>
    <w:rsid w:val="007029A9"/>
    <w:rsid w:val="00713B23"/>
    <w:rsid w:val="007202D8"/>
    <w:rsid w:val="0072593F"/>
    <w:rsid w:val="00734A34"/>
    <w:rsid w:val="00735D64"/>
    <w:rsid w:val="00756030"/>
    <w:rsid w:val="0076283F"/>
    <w:rsid w:val="00773600"/>
    <w:rsid w:val="00774B6C"/>
    <w:rsid w:val="00783F81"/>
    <w:rsid w:val="007911B6"/>
    <w:rsid w:val="007B63B9"/>
    <w:rsid w:val="007C1DCA"/>
    <w:rsid w:val="007C3AC1"/>
    <w:rsid w:val="007E2C5B"/>
    <w:rsid w:val="007E3E63"/>
    <w:rsid w:val="007F6B47"/>
    <w:rsid w:val="007F6E6E"/>
    <w:rsid w:val="00803FDA"/>
    <w:rsid w:val="008142C9"/>
    <w:rsid w:val="008218AC"/>
    <w:rsid w:val="00826234"/>
    <w:rsid w:val="00827017"/>
    <w:rsid w:val="00831693"/>
    <w:rsid w:val="00845FC8"/>
    <w:rsid w:val="008528B4"/>
    <w:rsid w:val="00865830"/>
    <w:rsid w:val="008659A7"/>
    <w:rsid w:val="00865B9E"/>
    <w:rsid w:val="00867A3E"/>
    <w:rsid w:val="00872564"/>
    <w:rsid w:val="00883EEF"/>
    <w:rsid w:val="00892721"/>
    <w:rsid w:val="0089568F"/>
    <w:rsid w:val="00896B69"/>
    <w:rsid w:val="00897C08"/>
    <w:rsid w:val="008B44D6"/>
    <w:rsid w:val="008D0D96"/>
    <w:rsid w:val="008F0AFF"/>
    <w:rsid w:val="008F39DC"/>
    <w:rsid w:val="009136D8"/>
    <w:rsid w:val="00924CD8"/>
    <w:rsid w:val="0093404C"/>
    <w:rsid w:val="009419DD"/>
    <w:rsid w:val="009532DD"/>
    <w:rsid w:val="009560F9"/>
    <w:rsid w:val="00957167"/>
    <w:rsid w:val="009629A8"/>
    <w:rsid w:val="009902BA"/>
    <w:rsid w:val="00992408"/>
    <w:rsid w:val="009A0935"/>
    <w:rsid w:val="009A157F"/>
    <w:rsid w:val="009B26A3"/>
    <w:rsid w:val="009C0808"/>
    <w:rsid w:val="009D5D5A"/>
    <w:rsid w:val="009E04F7"/>
    <w:rsid w:val="009E12A6"/>
    <w:rsid w:val="009E5035"/>
    <w:rsid w:val="009F2BF7"/>
    <w:rsid w:val="00A1226C"/>
    <w:rsid w:val="00A20BFE"/>
    <w:rsid w:val="00A264A6"/>
    <w:rsid w:val="00A3051E"/>
    <w:rsid w:val="00A31B9C"/>
    <w:rsid w:val="00A4043D"/>
    <w:rsid w:val="00A47556"/>
    <w:rsid w:val="00A56A3E"/>
    <w:rsid w:val="00A673E9"/>
    <w:rsid w:val="00A9273E"/>
    <w:rsid w:val="00A94E9C"/>
    <w:rsid w:val="00AC211B"/>
    <w:rsid w:val="00AC39E7"/>
    <w:rsid w:val="00AC7501"/>
    <w:rsid w:val="00AF744E"/>
    <w:rsid w:val="00B04507"/>
    <w:rsid w:val="00B160FD"/>
    <w:rsid w:val="00B17966"/>
    <w:rsid w:val="00B23B67"/>
    <w:rsid w:val="00B302B5"/>
    <w:rsid w:val="00B44842"/>
    <w:rsid w:val="00B50EF6"/>
    <w:rsid w:val="00B55967"/>
    <w:rsid w:val="00B57F01"/>
    <w:rsid w:val="00B92206"/>
    <w:rsid w:val="00BA350B"/>
    <w:rsid w:val="00BB0C0F"/>
    <w:rsid w:val="00BC3215"/>
    <w:rsid w:val="00BC68D2"/>
    <w:rsid w:val="00BE38F8"/>
    <w:rsid w:val="00BE432A"/>
    <w:rsid w:val="00BF2856"/>
    <w:rsid w:val="00BF54A9"/>
    <w:rsid w:val="00C0013A"/>
    <w:rsid w:val="00C01647"/>
    <w:rsid w:val="00C02762"/>
    <w:rsid w:val="00C05CD0"/>
    <w:rsid w:val="00C10F72"/>
    <w:rsid w:val="00C13D53"/>
    <w:rsid w:val="00C209F2"/>
    <w:rsid w:val="00C23A5A"/>
    <w:rsid w:val="00C54846"/>
    <w:rsid w:val="00C81BB0"/>
    <w:rsid w:val="00C90B1E"/>
    <w:rsid w:val="00C919E3"/>
    <w:rsid w:val="00C9542D"/>
    <w:rsid w:val="00C97B73"/>
    <w:rsid w:val="00CA5540"/>
    <w:rsid w:val="00CF4600"/>
    <w:rsid w:val="00CF4B32"/>
    <w:rsid w:val="00D22E60"/>
    <w:rsid w:val="00D33D7D"/>
    <w:rsid w:val="00D37C4A"/>
    <w:rsid w:val="00D43A82"/>
    <w:rsid w:val="00D87B32"/>
    <w:rsid w:val="00D94CB8"/>
    <w:rsid w:val="00D97C6D"/>
    <w:rsid w:val="00DB2A86"/>
    <w:rsid w:val="00DC1CA6"/>
    <w:rsid w:val="00DC30A2"/>
    <w:rsid w:val="00DF35A2"/>
    <w:rsid w:val="00DF74A9"/>
    <w:rsid w:val="00E051DD"/>
    <w:rsid w:val="00E124A0"/>
    <w:rsid w:val="00E20EA0"/>
    <w:rsid w:val="00E35DAD"/>
    <w:rsid w:val="00E3724F"/>
    <w:rsid w:val="00E47B79"/>
    <w:rsid w:val="00E531E2"/>
    <w:rsid w:val="00E555CE"/>
    <w:rsid w:val="00E572B2"/>
    <w:rsid w:val="00E621E1"/>
    <w:rsid w:val="00E63919"/>
    <w:rsid w:val="00E70AC4"/>
    <w:rsid w:val="00E81ED4"/>
    <w:rsid w:val="00E9050D"/>
    <w:rsid w:val="00E95F8C"/>
    <w:rsid w:val="00E975FC"/>
    <w:rsid w:val="00EA01C3"/>
    <w:rsid w:val="00EB267F"/>
    <w:rsid w:val="00EE35E8"/>
    <w:rsid w:val="00EE3712"/>
    <w:rsid w:val="00EF1E79"/>
    <w:rsid w:val="00F06A4F"/>
    <w:rsid w:val="00F122AF"/>
    <w:rsid w:val="00F15968"/>
    <w:rsid w:val="00F16A11"/>
    <w:rsid w:val="00F5321D"/>
    <w:rsid w:val="00F54970"/>
    <w:rsid w:val="00F67CFA"/>
    <w:rsid w:val="00F81E74"/>
    <w:rsid w:val="00F824AE"/>
    <w:rsid w:val="00F859ED"/>
    <w:rsid w:val="00F915EB"/>
    <w:rsid w:val="00F96D11"/>
    <w:rsid w:val="00FA04F2"/>
    <w:rsid w:val="00FB1F82"/>
    <w:rsid w:val="00FD5401"/>
    <w:rsid w:val="00FD769F"/>
    <w:rsid w:val="00FE67B1"/>
    <w:rsid w:val="00FF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30A5"/>
  <w15:chartTrackingRefBased/>
  <w15:docId w15:val="{4FB073B6-E5CA-44DF-B6CE-4F54CA00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61"/>
    <w:pPr>
      <w:spacing w:after="0" w:line="240" w:lineRule="auto"/>
    </w:pPr>
    <w:rPr>
      <w:rFonts w:ascii="Times New Roman" w:eastAsia="Times New Roman" w:hAnsi="Times New Roman" w:cs="Times New Roman"/>
      <w:snapToGrid w:val="0"/>
      <w:sz w:val="26"/>
      <w:szCs w:val="20"/>
    </w:rPr>
  </w:style>
  <w:style w:type="paragraph" w:styleId="Heading1">
    <w:name w:val="heading 1"/>
    <w:basedOn w:val="Normal"/>
    <w:next w:val="Normal"/>
    <w:link w:val="Heading1Char"/>
    <w:uiPriority w:val="9"/>
    <w:qFormat/>
    <w:rsid w:val="007911B6"/>
    <w:pPr>
      <w:spacing w:line="480" w:lineRule="auto"/>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77F1"/>
    <w:rPr>
      <w:color w:val="0000FF"/>
      <w:u w:val="single"/>
    </w:rPr>
  </w:style>
  <w:style w:type="paragraph" w:customStyle="1" w:styleId="Default">
    <w:name w:val="Default"/>
    <w:rsid w:val="00247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rsid w:val="00C209F2"/>
    <w:rPr>
      <w:vertAlign w:val="superscript"/>
    </w:rPr>
  </w:style>
  <w:style w:type="paragraph" w:styleId="BodyText">
    <w:name w:val="Body Text"/>
    <w:basedOn w:val="Normal"/>
    <w:link w:val="BodyTextChar"/>
    <w:uiPriority w:val="1"/>
    <w:qFormat/>
    <w:rsid w:val="007911B6"/>
    <w:pPr>
      <w:spacing w:line="480" w:lineRule="auto"/>
      <w:ind w:firstLine="720"/>
    </w:pPr>
    <w:rPr>
      <w:snapToGrid/>
      <w:sz w:val="28"/>
      <w:szCs w:val="28"/>
    </w:rPr>
  </w:style>
  <w:style w:type="character" w:customStyle="1" w:styleId="BodyTextChar">
    <w:name w:val="Body Text Char"/>
    <w:basedOn w:val="DefaultParagraphFont"/>
    <w:link w:val="BodyText"/>
    <w:uiPriority w:val="1"/>
    <w:rsid w:val="007911B6"/>
    <w:rPr>
      <w:rFonts w:ascii="Times New Roman" w:eastAsia="Times New Roman" w:hAnsi="Times New Roman" w:cs="Times New Roman"/>
      <w:sz w:val="28"/>
      <w:szCs w:val="28"/>
    </w:rPr>
  </w:style>
  <w:style w:type="paragraph" w:styleId="ListParagraph">
    <w:name w:val="List Paragraph"/>
    <w:basedOn w:val="Normal"/>
    <w:uiPriority w:val="34"/>
    <w:qFormat/>
    <w:rsid w:val="00C209F2"/>
    <w:pPr>
      <w:ind w:left="720"/>
    </w:pPr>
    <w:rPr>
      <w:snapToGrid/>
      <w:sz w:val="24"/>
    </w:rPr>
  </w:style>
  <w:style w:type="character" w:customStyle="1" w:styleId="Heading1Char">
    <w:name w:val="Heading 1 Char"/>
    <w:basedOn w:val="DefaultParagraphFont"/>
    <w:link w:val="Heading1"/>
    <w:uiPriority w:val="9"/>
    <w:rsid w:val="007911B6"/>
    <w:rPr>
      <w:rFonts w:ascii="Times New Roman" w:eastAsia="Times New Roman" w:hAnsi="Times New Roman" w:cs="Times New Roman"/>
      <w:b/>
      <w:snapToGrid w:val="0"/>
      <w:sz w:val="28"/>
      <w:szCs w:val="28"/>
    </w:rPr>
  </w:style>
  <w:style w:type="paragraph" w:styleId="FootnoteText">
    <w:name w:val="footnote text"/>
    <w:basedOn w:val="Normal"/>
    <w:link w:val="FootnoteTextChar"/>
    <w:uiPriority w:val="99"/>
    <w:unhideWhenUsed/>
    <w:rsid w:val="00100061"/>
    <w:rPr>
      <w:sz w:val="28"/>
    </w:rPr>
  </w:style>
  <w:style w:type="character" w:customStyle="1" w:styleId="FootnoteTextChar">
    <w:name w:val="Footnote Text Char"/>
    <w:basedOn w:val="DefaultParagraphFont"/>
    <w:link w:val="FootnoteText"/>
    <w:uiPriority w:val="99"/>
    <w:rsid w:val="00100061"/>
    <w:rPr>
      <w:rFonts w:ascii="Times New Roman" w:eastAsia="Times New Roman" w:hAnsi="Times New Roman" w:cs="Times New Roman"/>
      <w:snapToGrid w:val="0"/>
      <w:sz w:val="28"/>
      <w:szCs w:val="20"/>
    </w:rPr>
  </w:style>
  <w:style w:type="paragraph" w:styleId="Header">
    <w:name w:val="header"/>
    <w:basedOn w:val="Normal"/>
    <w:link w:val="HeaderChar"/>
    <w:uiPriority w:val="99"/>
    <w:unhideWhenUsed/>
    <w:rsid w:val="008B44D6"/>
    <w:pPr>
      <w:tabs>
        <w:tab w:val="center" w:pos="4680"/>
        <w:tab w:val="right" w:pos="9360"/>
      </w:tabs>
    </w:pPr>
  </w:style>
  <w:style w:type="character" w:customStyle="1" w:styleId="HeaderChar">
    <w:name w:val="Header Char"/>
    <w:basedOn w:val="DefaultParagraphFont"/>
    <w:link w:val="Header"/>
    <w:uiPriority w:val="99"/>
    <w:rsid w:val="008B44D6"/>
    <w:rPr>
      <w:rFonts w:ascii="Times New Roman" w:eastAsia="Times New Roman" w:hAnsi="Times New Roman" w:cs="Times New Roman"/>
      <w:snapToGrid w:val="0"/>
      <w:sz w:val="26"/>
      <w:szCs w:val="20"/>
    </w:rPr>
  </w:style>
  <w:style w:type="paragraph" w:styleId="Footer">
    <w:name w:val="footer"/>
    <w:basedOn w:val="Normal"/>
    <w:link w:val="FooterChar"/>
    <w:uiPriority w:val="99"/>
    <w:unhideWhenUsed/>
    <w:rsid w:val="008B44D6"/>
    <w:pPr>
      <w:tabs>
        <w:tab w:val="center" w:pos="4680"/>
        <w:tab w:val="right" w:pos="9360"/>
      </w:tabs>
    </w:pPr>
  </w:style>
  <w:style w:type="character" w:customStyle="1" w:styleId="FooterChar">
    <w:name w:val="Footer Char"/>
    <w:basedOn w:val="DefaultParagraphFont"/>
    <w:link w:val="Footer"/>
    <w:uiPriority w:val="99"/>
    <w:rsid w:val="008B44D6"/>
    <w:rPr>
      <w:rFonts w:ascii="Times New Roman" w:eastAsia="Times New Roman" w:hAnsi="Times New Roman" w:cs="Times New Roman"/>
      <w:snapToGrid w:val="0"/>
      <w:sz w:val="26"/>
      <w:szCs w:val="20"/>
    </w:rPr>
  </w:style>
  <w:style w:type="paragraph" w:styleId="Quote">
    <w:name w:val="Quote"/>
    <w:basedOn w:val="BodyText"/>
    <w:next w:val="Normal"/>
    <w:link w:val="QuoteChar"/>
    <w:uiPriority w:val="29"/>
    <w:qFormat/>
    <w:rsid w:val="005B11DE"/>
    <w:pPr>
      <w:spacing w:after="240" w:line="240" w:lineRule="auto"/>
      <w:ind w:left="720" w:right="720" w:firstLine="0"/>
    </w:pPr>
  </w:style>
  <w:style w:type="character" w:customStyle="1" w:styleId="QuoteChar">
    <w:name w:val="Quote Char"/>
    <w:basedOn w:val="DefaultParagraphFont"/>
    <w:link w:val="Quote"/>
    <w:uiPriority w:val="29"/>
    <w:rsid w:val="005B11DE"/>
    <w:rPr>
      <w:rFonts w:ascii="Times New Roman" w:eastAsia="Times New Roman" w:hAnsi="Times New Roman" w:cs="Times New Roman"/>
      <w:sz w:val="28"/>
      <w:szCs w:val="28"/>
    </w:rPr>
  </w:style>
  <w:style w:type="paragraph" w:styleId="Revision">
    <w:name w:val="Revision"/>
    <w:hidden/>
    <w:uiPriority w:val="99"/>
    <w:semiHidden/>
    <w:rsid w:val="00C54846"/>
    <w:pPr>
      <w:spacing w:after="0" w:line="240" w:lineRule="auto"/>
    </w:pPr>
    <w:rPr>
      <w:rFonts w:ascii="Times New Roman" w:eastAsia="Times New Roman" w:hAnsi="Times New Roman" w:cs="Times New Roman"/>
      <w:snapToGrid w:val="0"/>
      <w:sz w:val="26"/>
      <w:szCs w:val="20"/>
    </w:rPr>
  </w:style>
  <w:style w:type="character" w:styleId="CommentReference">
    <w:name w:val="annotation reference"/>
    <w:basedOn w:val="DefaultParagraphFont"/>
    <w:uiPriority w:val="99"/>
    <w:semiHidden/>
    <w:unhideWhenUsed/>
    <w:rsid w:val="0046744A"/>
    <w:rPr>
      <w:sz w:val="16"/>
      <w:szCs w:val="16"/>
    </w:rPr>
  </w:style>
  <w:style w:type="paragraph" w:styleId="CommentText">
    <w:name w:val="annotation text"/>
    <w:basedOn w:val="Normal"/>
    <w:link w:val="CommentTextChar"/>
    <w:uiPriority w:val="99"/>
    <w:unhideWhenUsed/>
    <w:rsid w:val="0046744A"/>
    <w:rPr>
      <w:sz w:val="20"/>
    </w:rPr>
  </w:style>
  <w:style w:type="character" w:customStyle="1" w:styleId="CommentTextChar">
    <w:name w:val="Comment Text Char"/>
    <w:basedOn w:val="DefaultParagraphFont"/>
    <w:link w:val="CommentText"/>
    <w:uiPriority w:val="99"/>
    <w:rsid w:val="0046744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6744A"/>
    <w:rPr>
      <w:b/>
      <w:bCs/>
    </w:rPr>
  </w:style>
  <w:style w:type="character" w:customStyle="1" w:styleId="CommentSubjectChar">
    <w:name w:val="Comment Subject Char"/>
    <w:basedOn w:val="CommentTextChar"/>
    <w:link w:val="CommentSubject"/>
    <w:uiPriority w:val="99"/>
    <w:semiHidden/>
    <w:rsid w:val="0046744A"/>
    <w:rPr>
      <w:rFonts w:ascii="Times New Roman" w:eastAsia="Times New Roman" w:hAnsi="Times New Roman" w:cs="Times New Roman"/>
      <w:b/>
      <w:bCs/>
      <w:snapToGrid w:val="0"/>
      <w:sz w:val="20"/>
      <w:szCs w:val="20"/>
    </w:rPr>
  </w:style>
  <w:style w:type="character" w:styleId="UnresolvedMention">
    <w:name w:val="Unresolved Mention"/>
    <w:basedOn w:val="DefaultParagraphFont"/>
    <w:uiPriority w:val="99"/>
    <w:semiHidden/>
    <w:unhideWhenUsed/>
    <w:rsid w:val="00310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1275">
      <w:bodyDiv w:val="1"/>
      <w:marLeft w:val="0"/>
      <w:marRight w:val="0"/>
      <w:marTop w:val="0"/>
      <w:marBottom w:val="0"/>
      <w:divBdr>
        <w:top w:val="none" w:sz="0" w:space="0" w:color="auto"/>
        <w:left w:val="none" w:sz="0" w:space="0" w:color="auto"/>
        <w:bottom w:val="none" w:sz="0" w:space="0" w:color="auto"/>
        <w:right w:val="none" w:sz="0" w:space="0" w:color="auto"/>
      </w:divBdr>
    </w:div>
    <w:div w:id="1338538124">
      <w:bodyDiv w:val="1"/>
      <w:marLeft w:val="0"/>
      <w:marRight w:val="0"/>
      <w:marTop w:val="0"/>
      <w:marBottom w:val="0"/>
      <w:divBdr>
        <w:top w:val="none" w:sz="0" w:space="0" w:color="auto"/>
        <w:left w:val="none" w:sz="0" w:space="0" w:color="auto"/>
        <w:bottom w:val="none" w:sz="0" w:space="0" w:color="auto"/>
        <w:right w:val="none" w:sz="0" w:space="0" w:color="auto"/>
      </w:divBdr>
    </w:div>
    <w:div w:id="17820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redkeenan.aacj@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zmirror.com/2023/02/14/sanctions-for-bogus-election-lawsuits-spurs-gop-proposal-to-protect-attorneys-from-punishment/" TargetMode="External"/><Relationship Id="rId1" Type="http://schemas.openxmlformats.org/officeDocument/2006/relationships/hyperlink" Target="https://cdn.ca9.uscourts.gov/datastore/general/2022/Ninth_Circuit_Judicial_Caseload_Profile_Jun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McClellan</dc:creator>
  <cp:keywords/>
  <dc:description/>
  <cp:lastModifiedBy>Peggy McClellan</cp:lastModifiedBy>
  <cp:revision>36</cp:revision>
  <cp:lastPrinted>2023-06-01T18:32:00Z</cp:lastPrinted>
  <dcterms:created xsi:type="dcterms:W3CDTF">2023-06-01T00:27:00Z</dcterms:created>
  <dcterms:modified xsi:type="dcterms:W3CDTF">2023-06-01T19:12:00Z</dcterms:modified>
</cp:coreProperties>
</file>