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3A00" w14:textId="5C095ADC"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6DEF93A5" w14:textId="77777777" w:rsidR="004C4921" w:rsidRDefault="004C4921" w:rsidP="00A74317">
      <w:pPr>
        <w:pStyle w:val="AttorneyName"/>
        <w:spacing w:line="240" w:lineRule="auto"/>
        <w:rPr>
          <w:rFonts w:ascii="Times New Roman" w:hAnsi="Times New Roman"/>
          <w:b/>
          <w:sz w:val="24"/>
          <w:szCs w:val="24"/>
        </w:rPr>
      </w:pPr>
    </w:p>
    <w:p w14:paraId="4904E671" w14:textId="77777777" w:rsidR="004C4921" w:rsidRDefault="004C4921" w:rsidP="004C4921">
      <w:pPr>
        <w:pStyle w:val="AttorneyName"/>
        <w:spacing w:line="240" w:lineRule="auto"/>
        <w:rPr>
          <w:rFonts w:ascii="Times New Roman" w:hAnsi="Times New Roman"/>
          <w:b/>
          <w:sz w:val="24"/>
          <w:szCs w:val="24"/>
        </w:rPr>
      </w:pPr>
      <w:r>
        <w:rPr>
          <w:rFonts w:ascii="Times New Roman" w:hAnsi="Times New Roman"/>
          <w:b/>
          <w:sz w:val="24"/>
          <w:szCs w:val="24"/>
        </w:rPr>
        <w:t>Erin K. Sutherland, SB#027627</w:t>
      </w:r>
    </w:p>
    <w:p w14:paraId="442F9F02" w14:textId="6D5CD891"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752F3CE3"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E-Mail:</w:t>
      </w:r>
      <w:r w:rsidR="00677B21">
        <w:rPr>
          <w:rFonts w:ascii="Times New Roman" w:hAnsi="Times New Roman"/>
          <w:b/>
          <w:sz w:val="24"/>
          <w:szCs w:val="24"/>
        </w:rPr>
        <w:t xml:space="preserve"> </w:t>
      </w:r>
      <w:hyperlink r:id="rId11" w:history="1">
        <w:r w:rsidR="00677B21" w:rsidRPr="00E22EB8">
          <w:rPr>
            <w:rStyle w:val="Hyperlink"/>
            <w:rFonts w:ascii="Times New Roman" w:hAnsi="Times New Roman"/>
            <w:b/>
            <w:sz w:val="24"/>
            <w:szCs w:val="24"/>
          </w:rPr>
          <w:t>erin.sutherland@pima.gov</w:t>
        </w:r>
      </w:hyperlink>
      <w:r w:rsidR="00677B21">
        <w:rPr>
          <w:rFonts w:ascii="Times New Roman" w:hAnsi="Times New Roman"/>
          <w:b/>
          <w:sz w:val="24"/>
          <w:szCs w:val="24"/>
        </w:rPr>
        <w:t xml:space="preserve">; </w:t>
      </w:r>
      <w:hyperlink r:id="rId12" w:history="1">
        <w:r w:rsidR="004C4921" w:rsidRPr="00E22EB8">
          <w:rPr>
            <w:rStyle w:val="Hyperlink"/>
            <w:rFonts w:ascii="Times New Roman" w:hAnsi="Times New Roman"/>
            <w:b/>
            <w:sz w:val="24"/>
            <w:szCs w:val="24"/>
          </w:rPr>
          <w:t>david.euchner@pima.gov</w:t>
        </w:r>
      </w:hyperlink>
      <w:r w:rsidR="004C4921">
        <w:rPr>
          <w:rFonts w:ascii="Times New Roman" w:hAnsi="Times New Roman"/>
          <w:b/>
          <w:sz w:val="24"/>
          <w:szCs w:val="24"/>
        </w:rPr>
        <w:t xml:space="preserve">; </w:t>
      </w:r>
    </w:p>
    <w:p w14:paraId="35A33EFC" w14:textId="77777777" w:rsidR="004C4921" w:rsidRDefault="004C4921" w:rsidP="004C4921">
      <w:pPr>
        <w:pStyle w:val="AttorneyName"/>
        <w:spacing w:line="240" w:lineRule="auto"/>
        <w:rPr>
          <w:rFonts w:ascii="Times New Roman" w:hAnsi="Times New Roman"/>
          <w:b/>
          <w:sz w:val="24"/>
          <w:szCs w:val="24"/>
        </w:rPr>
      </w:pPr>
    </w:p>
    <w:p w14:paraId="468D7198" w14:textId="52B41945" w:rsidR="004C4921" w:rsidRDefault="004C4921" w:rsidP="004C4921">
      <w:pPr>
        <w:pStyle w:val="AttorneyName"/>
        <w:spacing w:line="240" w:lineRule="auto"/>
        <w:rPr>
          <w:rFonts w:ascii="Times New Roman" w:hAnsi="Times New Roman"/>
          <w:b/>
          <w:sz w:val="24"/>
          <w:szCs w:val="24"/>
        </w:rPr>
      </w:pPr>
      <w:r>
        <w:rPr>
          <w:rFonts w:ascii="Times New Roman" w:hAnsi="Times New Roman"/>
          <w:b/>
          <w:sz w:val="24"/>
          <w:szCs w:val="24"/>
        </w:rPr>
        <w:t>Amy P. Knight, SB#31374</w:t>
      </w:r>
    </w:p>
    <w:p w14:paraId="623A5018" w14:textId="6CAF040E" w:rsidR="004C4921" w:rsidRDefault="004C4921" w:rsidP="004C4921">
      <w:pPr>
        <w:pStyle w:val="AttorneyName"/>
        <w:spacing w:line="240" w:lineRule="auto"/>
        <w:rPr>
          <w:rFonts w:ascii="Times New Roman" w:hAnsi="Times New Roman"/>
          <w:b/>
          <w:sz w:val="24"/>
          <w:szCs w:val="24"/>
        </w:rPr>
      </w:pPr>
      <w:r>
        <w:rPr>
          <w:rFonts w:ascii="Times New Roman" w:hAnsi="Times New Roman"/>
          <w:b/>
          <w:sz w:val="24"/>
          <w:szCs w:val="24"/>
        </w:rPr>
        <w:t>1714 Franklin St. #100-806</w:t>
      </w:r>
    </w:p>
    <w:p w14:paraId="113B8580" w14:textId="396AE606" w:rsidR="004C4921" w:rsidRDefault="004C4921" w:rsidP="004C4921">
      <w:pPr>
        <w:pStyle w:val="AttorneyName"/>
        <w:spacing w:line="240" w:lineRule="auto"/>
        <w:rPr>
          <w:rFonts w:ascii="Times New Roman" w:hAnsi="Times New Roman"/>
          <w:b/>
          <w:sz w:val="24"/>
          <w:szCs w:val="24"/>
        </w:rPr>
      </w:pPr>
      <w:r>
        <w:rPr>
          <w:rFonts w:ascii="Times New Roman" w:hAnsi="Times New Roman"/>
          <w:b/>
          <w:sz w:val="24"/>
          <w:szCs w:val="24"/>
        </w:rPr>
        <w:t>Oakland, CA  94612</w:t>
      </w:r>
    </w:p>
    <w:p w14:paraId="550733CB" w14:textId="24092E26" w:rsidR="004C4921" w:rsidRDefault="004C4921" w:rsidP="004C4921">
      <w:pPr>
        <w:pStyle w:val="AttorneyName"/>
        <w:spacing w:line="240" w:lineRule="auto"/>
        <w:rPr>
          <w:rFonts w:ascii="Times New Roman" w:hAnsi="Times New Roman"/>
          <w:b/>
          <w:sz w:val="24"/>
          <w:szCs w:val="24"/>
        </w:rPr>
      </w:pPr>
      <w:r>
        <w:rPr>
          <w:rFonts w:ascii="Times New Roman" w:hAnsi="Times New Roman"/>
          <w:b/>
          <w:sz w:val="24"/>
          <w:szCs w:val="24"/>
        </w:rPr>
        <w:t>TEL: (520) 878-8849</w:t>
      </w:r>
    </w:p>
    <w:p w14:paraId="0F3C2DCB" w14:textId="17526E9E" w:rsidR="004C4921" w:rsidRDefault="004C4921" w:rsidP="004C4921">
      <w:pPr>
        <w:pStyle w:val="AttorneyName"/>
        <w:spacing w:line="240" w:lineRule="auto"/>
        <w:rPr>
          <w:rFonts w:ascii="Times New Roman" w:hAnsi="Times New Roman"/>
          <w:b/>
          <w:sz w:val="24"/>
          <w:szCs w:val="24"/>
        </w:rPr>
      </w:pPr>
      <w:r>
        <w:rPr>
          <w:rFonts w:ascii="Times New Roman" w:hAnsi="Times New Roman"/>
          <w:b/>
          <w:sz w:val="24"/>
          <w:szCs w:val="24"/>
        </w:rPr>
        <w:t xml:space="preserve">E-Mail: </w:t>
      </w:r>
      <w:hyperlink r:id="rId13" w:history="1">
        <w:r w:rsidRPr="00E22EB8">
          <w:rPr>
            <w:rStyle w:val="Hyperlink"/>
            <w:rFonts w:ascii="Times New Roman" w:hAnsi="Times New Roman"/>
            <w:b/>
            <w:sz w:val="24"/>
            <w:szCs w:val="24"/>
          </w:rPr>
          <w:t>a.knight@phillipsblack.org</w:t>
        </w:r>
      </w:hyperlink>
    </w:p>
    <w:p w14:paraId="506A63D6" w14:textId="77777777" w:rsidR="004C4921" w:rsidRDefault="004C4921" w:rsidP="004C4921">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019F918F"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bookmarkEnd w:id="1"/>
            <w:r w:rsidR="00677B21">
              <w:rPr>
                <w:rFonts w:ascii="Times New Roman" w:hAnsi="Times New Roman"/>
                <w:sz w:val="28"/>
                <w:szCs w:val="28"/>
              </w:rPr>
              <w:t>Amend Arizona Rule of Evidence 702</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54EEEF3D"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677B21">
              <w:rPr>
                <w:rFonts w:ascii="Times New Roman" w:hAnsi="Times New Roman"/>
                <w:sz w:val="28"/>
                <w:szCs w:val="28"/>
              </w:rPr>
              <w:t>3-0004</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631A4395"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 xml:space="preserve">PETITION TO </w:t>
            </w:r>
            <w:r w:rsidR="00677B21">
              <w:rPr>
                <w:rFonts w:ascii="Times New Roman" w:hAnsi="Times New Roman"/>
                <w:b/>
                <w:sz w:val="28"/>
                <w:szCs w:val="28"/>
              </w:rPr>
              <w:t>AMEND</w:t>
            </w:r>
            <w:r w:rsidR="00DC38DE" w:rsidRPr="0014499B">
              <w:rPr>
                <w:rFonts w:ascii="Times New Roman" w:hAnsi="Times New Roman"/>
                <w:b/>
                <w:sz w:val="28"/>
                <w:szCs w:val="28"/>
              </w:rPr>
              <w:t xml:space="preserve"> ARIZONA RULE OF </w:t>
            </w:r>
            <w:r w:rsidR="00677B21">
              <w:rPr>
                <w:rFonts w:ascii="Times New Roman" w:hAnsi="Times New Roman"/>
                <w:b/>
                <w:sz w:val="28"/>
                <w:szCs w:val="28"/>
              </w:rPr>
              <w:t>EVIDENCE</w:t>
            </w:r>
            <w:r w:rsidR="00A03454">
              <w:rPr>
                <w:rFonts w:ascii="Times New Roman" w:hAnsi="Times New Roman"/>
                <w:b/>
                <w:sz w:val="28"/>
                <w:szCs w:val="28"/>
              </w:rPr>
              <w:t xml:space="preserve"> </w:t>
            </w:r>
            <w:r w:rsidR="00677B21">
              <w:rPr>
                <w:rFonts w:ascii="Times New Roman" w:hAnsi="Times New Roman"/>
                <w:b/>
                <w:sz w:val="28"/>
                <w:szCs w:val="28"/>
              </w:rPr>
              <w:t>702</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5B724D0F"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677B21">
        <w:rPr>
          <w:rFonts w:ascii="Times New Roman" w:hAnsi="Times New Roman"/>
          <w:sz w:val="28"/>
          <w:szCs w:val="28"/>
        </w:rPr>
        <w:t>amend</w:t>
      </w:r>
      <w:r w:rsidR="00A74317">
        <w:rPr>
          <w:rFonts w:ascii="Times New Roman" w:hAnsi="Times New Roman"/>
          <w:sz w:val="28"/>
          <w:szCs w:val="28"/>
        </w:rPr>
        <w:t xml:space="preserve"> Arizona Rule of </w:t>
      </w:r>
      <w:r w:rsidR="00677B21">
        <w:rPr>
          <w:rFonts w:ascii="Times New Roman" w:hAnsi="Times New Roman"/>
          <w:sz w:val="28"/>
          <w:szCs w:val="28"/>
        </w:rPr>
        <w:t>Evidence 702</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w:t>
      </w:r>
      <w:r w:rsidRPr="00A629F8">
        <w:rPr>
          <w:rFonts w:ascii="Times New Roman" w:hAnsi="Times New Roman"/>
          <w:sz w:val="28"/>
          <w:szCs w:val="28"/>
        </w:rPr>
        <w:lastRenderedPageBreak/>
        <w:t>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4F68B7FC" w14:textId="48F620B7" w:rsidR="00677B21" w:rsidRDefault="00A03454"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C76BAA">
        <w:rPr>
          <w:rFonts w:ascii="Times New Roman" w:hAnsi="Times New Roman"/>
          <w:sz w:val="28"/>
          <w:szCs w:val="28"/>
        </w:rPr>
        <w:t xml:space="preserve">supports the </w:t>
      </w:r>
      <w:r w:rsidR="005E11F3">
        <w:rPr>
          <w:rFonts w:ascii="Times New Roman" w:hAnsi="Times New Roman"/>
          <w:sz w:val="28"/>
          <w:szCs w:val="28"/>
        </w:rPr>
        <w:t>proposal</w:t>
      </w:r>
      <w:r w:rsidR="00677B21">
        <w:rPr>
          <w:rFonts w:ascii="Times New Roman" w:hAnsi="Times New Roman"/>
          <w:sz w:val="28"/>
          <w:szCs w:val="28"/>
        </w:rPr>
        <w:t xml:space="preserve"> and urges the Court to </w:t>
      </w:r>
      <w:r w:rsidR="004C4921">
        <w:rPr>
          <w:rFonts w:ascii="Times New Roman" w:hAnsi="Times New Roman"/>
          <w:sz w:val="28"/>
          <w:szCs w:val="28"/>
        </w:rPr>
        <w:t xml:space="preserve">grant the petition and amend Rule 702. </w:t>
      </w:r>
      <w:r w:rsidR="005E11F3">
        <w:rPr>
          <w:rFonts w:ascii="Times New Roman" w:hAnsi="Times New Roman"/>
          <w:sz w:val="28"/>
          <w:szCs w:val="28"/>
        </w:rPr>
        <w:t xml:space="preserve"> </w:t>
      </w:r>
      <w:r w:rsidR="00793D50">
        <w:rPr>
          <w:rFonts w:ascii="Times New Roman" w:hAnsi="Times New Roman"/>
          <w:sz w:val="28"/>
          <w:szCs w:val="28"/>
        </w:rPr>
        <w:t>By adopting the proposed amendment to the rule, this Court would 1) bring Arizona</w:t>
      </w:r>
      <w:r w:rsidR="00DE0873">
        <w:rPr>
          <w:rFonts w:ascii="Times New Roman" w:hAnsi="Times New Roman"/>
          <w:sz w:val="28"/>
          <w:szCs w:val="28"/>
        </w:rPr>
        <w:t>’s</w:t>
      </w:r>
      <w:r w:rsidR="00793D50">
        <w:rPr>
          <w:rFonts w:ascii="Times New Roman" w:hAnsi="Times New Roman"/>
          <w:sz w:val="28"/>
          <w:szCs w:val="28"/>
        </w:rPr>
        <w:t xml:space="preserve"> Rule 702 in line with the federal rule </w:t>
      </w:r>
      <w:r w:rsidR="00DE0873">
        <w:rPr>
          <w:rFonts w:ascii="Times New Roman" w:hAnsi="Times New Roman"/>
          <w:sz w:val="28"/>
          <w:szCs w:val="28"/>
        </w:rPr>
        <w:t xml:space="preserve">after which </w:t>
      </w:r>
      <w:r w:rsidR="00793D50">
        <w:rPr>
          <w:rFonts w:ascii="Times New Roman" w:hAnsi="Times New Roman"/>
          <w:sz w:val="28"/>
          <w:szCs w:val="28"/>
        </w:rPr>
        <w:t xml:space="preserve">it </w:t>
      </w:r>
      <w:r w:rsidR="00DE0873">
        <w:rPr>
          <w:rFonts w:ascii="Times New Roman" w:hAnsi="Times New Roman"/>
          <w:sz w:val="28"/>
          <w:szCs w:val="28"/>
        </w:rPr>
        <w:t>is</w:t>
      </w:r>
      <w:r w:rsidR="00793D50">
        <w:rPr>
          <w:rFonts w:ascii="Times New Roman" w:hAnsi="Times New Roman"/>
          <w:sz w:val="28"/>
          <w:szCs w:val="28"/>
        </w:rPr>
        <w:t xml:space="preserve"> modeled, 2) </w:t>
      </w:r>
      <w:r w:rsidR="004440E1">
        <w:rPr>
          <w:rFonts w:ascii="Times New Roman" w:hAnsi="Times New Roman"/>
          <w:sz w:val="28"/>
          <w:szCs w:val="28"/>
        </w:rPr>
        <w:t>provide greater guidance to the lower courts still struggling with application of the correct standard</w:t>
      </w:r>
      <w:r w:rsidR="00793D50">
        <w:rPr>
          <w:rFonts w:ascii="Times New Roman" w:hAnsi="Times New Roman"/>
          <w:sz w:val="28"/>
          <w:szCs w:val="28"/>
        </w:rPr>
        <w:t xml:space="preserve">, and 3) </w:t>
      </w:r>
      <w:r w:rsidR="004440E1">
        <w:rPr>
          <w:rFonts w:ascii="Times New Roman" w:hAnsi="Times New Roman"/>
          <w:sz w:val="28"/>
          <w:szCs w:val="28"/>
        </w:rPr>
        <w:t>simplify the application of the standard by incorporating interpretive case law into the rule itself.</w:t>
      </w:r>
    </w:p>
    <w:p w14:paraId="747C26AF" w14:textId="315E3CD7" w:rsidR="0009256E" w:rsidRPr="0009256E" w:rsidRDefault="0009256E" w:rsidP="0009256E">
      <w:pPr>
        <w:pStyle w:val="ListParagraph"/>
        <w:numPr>
          <w:ilvl w:val="0"/>
          <w:numId w:val="9"/>
        </w:numPr>
        <w:spacing w:line="480" w:lineRule="auto"/>
        <w:jc w:val="both"/>
        <w:rPr>
          <w:rFonts w:ascii="Times New Roman" w:hAnsi="Times New Roman"/>
          <w:b/>
          <w:bCs/>
          <w:sz w:val="28"/>
          <w:szCs w:val="28"/>
          <w:u w:val="single"/>
        </w:rPr>
      </w:pPr>
      <w:r>
        <w:rPr>
          <w:rFonts w:ascii="Times New Roman" w:hAnsi="Times New Roman"/>
          <w:b/>
          <w:bCs/>
          <w:sz w:val="28"/>
          <w:szCs w:val="28"/>
          <w:u w:val="single"/>
        </w:rPr>
        <w:t xml:space="preserve">History of </w:t>
      </w:r>
      <w:r w:rsidR="0031349A">
        <w:rPr>
          <w:rFonts w:ascii="Times New Roman" w:hAnsi="Times New Roman"/>
          <w:b/>
          <w:bCs/>
          <w:sz w:val="28"/>
          <w:szCs w:val="28"/>
          <w:u w:val="single"/>
        </w:rPr>
        <w:t xml:space="preserve">Arizona and Federal </w:t>
      </w:r>
      <w:r>
        <w:rPr>
          <w:rFonts w:ascii="Times New Roman" w:hAnsi="Times New Roman"/>
          <w:b/>
          <w:bCs/>
          <w:sz w:val="28"/>
          <w:szCs w:val="28"/>
          <w:u w:val="single"/>
        </w:rPr>
        <w:t>Rule</w:t>
      </w:r>
      <w:r w:rsidR="0031349A">
        <w:rPr>
          <w:rFonts w:ascii="Times New Roman" w:hAnsi="Times New Roman"/>
          <w:b/>
          <w:bCs/>
          <w:sz w:val="28"/>
          <w:szCs w:val="28"/>
          <w:u w:val="single"/>
        </w:rPr>
        <w:t>s of Evidence Rule</w:t>
      </w:r>
      <w:r>
        <w:rPr>
          <w:rFonts w:ascii="Times New Roman" w:hAnsi="Times New Roman"/>
          <w:b/>
          <w:bCs/>
          <w:sz w:val="28"/>
          <w:szCs w:val="28"/>
          <w:u w:val="single"/>
        </w:rPr>
        <w:t xml:space="preserve"> 702</w:t>
      </w:r>
    </w:p>
    <w:p w14:paraId="199E337B" w14:textId="2484AB68" w:rsidR="00DE0873" w:rsidRDefault="00DE0873" w:rsidP="005033AB">
      <w:pPr>
        <w:spacing w:line="480" w:lineRule="auto"/>
        <w:ind w:firstLine="720"/>
        <w:jc w:val="both"/>
        <w:rPr>
          <w:rFonts w:ascii="Times New Roman" w:hAnsi="Times New Roman"/>
          <w:sz w:val="28"/>
          <w:szCs w:val="28"/>
        </w:rPr>
      </w:pPr>
      <w:r>
        <w:rPr>
          <w:rFonts w:ascii="Times New Roman" w:hAnsi="Times New Roman"/>
          <w:sz w:val="28"/>
          <w:szCs w:val="28"/>
        </w:rPr>
        <w:t xml:space="preserve">For decades, state and federal courts determined the admissibility of expert testimony using the standard first set out in </w:t>
      </w:r>
      <w:r w:rsidRPr="004E6E74">
        <w:rPr>
          <w:rFonts w:ascii="Times New Roman" w:hAnsi="Times New Roman"/>
          <w:i/>
          <w:iCs/>
          <w:sz w:val="28"/>
          <w:szCs w:val="28"/>
        </w:rPr>
        <w:t>Frye v. United States</w:t>
      </w:r>
      <w:r w:rsidRPr="004E6E74">
        <w:rPr>
          <w:rFonts w:ascii="Times New Roman" w:hAnsi="Times New Roman"/>
          <w:sz w:val="28"/>
          <w:szCs w:val="28"/>
        </w:rPr>
        <w:t>, 293 F. 1013 (D.C.</w:t>
      </w:r>
      <w:r w:rsidR="004F5F6E">
        <w:rPr>
          <w:rFonts w:ascii="Times New Roman" w:hAnsi="Times New Roman"/>
          <w:sz w:val="28"/>
          <w:szCs w:val="28"/>
        </w:rPr>
        <w:t xml:space="preserve"> </w:t>
      </w:r>
      <w:r w:rsidRPr="004E6E74">
        <w:rPr>
          <w:rFonts w:ascii="Times New Roman" w:hAnsi="Times New Roman"/>
          <w:sz w:val="28"/>
          <w:szCs w:val="28"/>
        </w:rPr>
        <w:t>Cir. 1923)</w:t>
      </w:r>
      <w:r>
        <w:rPr>
          <w:rFonts w:ascii="Times New Roman" w:hAnsi="Times New Roman"/>
          <w:sz w:val="28"/>
          <w:szCs w:val="28"/>
        </w:rPr>
        <w:t>, that “while courts will go a long way in admitting expert testimony deduced from a well-recognized scientific principle or discover</w:t>
      </w:r>
      <w:r w:rsidR="00F356AD">
        <w:rPr>
          <w:rFonts w:ascii="Times New Roman" w:hAnsi="Times New Roman"/>
          <w:sz w:val="28"/>
          <w:szCs w:val="28"/>
        </w:rPr>
        <w:t>y</w:t>
      </w:r>
      <w:r>
        <w:rPr>
          <w:rFonts w:ascii="Times New Roman" w:hAnsi="Times New Roman"/>
          <w:sz w:val="28"/>
          <w:szCs w:val="28"/>
        </w:rPr>
        <w:t>, the thing from which the deduction is made must be sufficiently established to have gained general acceptance in the particular field in which it belongs</w:t>
      </w:r>
      <w:r w:rsidRPr="004F5F6E">
        <w:rPr>
          <w:rFonts w:ascii="Times New Roman" w:hAnsi="Times New Roman"/>
          <w:sz w:val="28"/>
          <w:szCs w:val="28"/>
        </w:rPr>
        <w:t xml:space="preserve">.” </w:t>
      </w:r>
      <w:r w:rsidR="0083056F">
        <w:rPr>
          <w:rFonts w:ascii="Times New Roman" w:hAnsi="Times New Roman"/>
          <w:i/>
          <w:iCs/>
          <w:sz w:val="28"/>
          <w:szCs w:val="28"/>
        </w:rPr>
        <w:t xml:space="preserve">Frye, </w:t>
      </w:r>
      <w:r w:rsidR="0083056F">
        <w:rPr>
          <w:rFonts w:ascii="Times New Roman" w:hAnsi="Times New Roman"/>
          <w:sz w:val="28"/>
          <w:szCs w:val="28"/>
        </w:rPr>
        <w:t>293 F.</w:t>
      </w:r>
      <w:r>
        <w:rPr>
          <w:rFonts w:ascii="Times New Roman" w:hAnsi="Times New Roman"/>
          <w:i/>
          <w:iCs/>
          <w:sz w:val="28"/>
          <w:szCs w:val="28"/>
        </w:rPr>
        <w:t xml:space="preserve"> </w:t>
      </w:r>
      <w:r>
        <w:rPr>
          <w:rFonts w:ascii="Times New Roman" w:hAnsi="Times New Roman"/>
          <w:sz w:val="28"/>
          <w:szCs w:val="28"/>
        </w:rPr>
        <w:t xml:space="preserve">at 1014. </w:t>
      </w:r>
      <w:r w:rsidR="000B2E15">
        <w:rPr>
          <w:rFonts w:ascii="Times New Roman" w:hAnsi="Times New Roman"/>
          <w:sz w:val="28"/>
          <w:szCs w:val="28"/>
        </w:rPr>
        <w:t xml:space="preserve">In </w:t>
      </w:r>
      <w:r>
        <w:rPr>
          <w:rFonts w:ascii="Times New Roman" w:hAnsi="Times New Roman"/>
          <w:sz w:val="28"/>
          <w:szCs w:val="28"/>
        </w:rPr>
        <w:t xml:space="preserve">1975, Congress enacted the Federal Rules of Evidence, and in </w:t>
      </w:r>
      <w:r w:rsidR="000B2E15">
        <w:rPr>
          <w:rFonts w:ascii="Times New Roman" w:hAnsi="Times New Roman"/>
          <w:sz w:val="28"/>
          <w:szCs w:val="28"/>
        </w:rPr>
        <w:t xml:space="preserve">1977, Arizona adopted evidentiary rules modeled </w:t>
      </w:r>
      <w:r>
        <w:rPr>
          <w:rFonts w:ascii="Times New Roman" w:hAnsi="Times New Roman"/>
          <w:sz w:val="28"/>
          <w:szCs w:val="28"/>
        </w:rPr>
        <w:t>on those federal rules</w:t>
      </w:r>
      <w:r w:rsidR="000B2E15">
        <w:rPr>
          <w:rFonts w:ascii="Times New Roman" w:hAnsi="Times New Roman"/>
          <w:sz w:val="28"/>
          <w:szCs w:val="28"/>
        </w:rPr>
        <w:t xml:space="preserve">. </w:t>
      </w:r>
      <w:r w:rsidR="000B2E15">
        <w:rPr>
          <w:rFonts w:ascii="Times New Roman" w:hAnsi="Times New Roman"/>
          <w:i/>
          <w:iCs/>
          <w:sz w:val="28"/>
          <w:szCs w:val="28"/>
        </w:rPr>
        <w:t>State v. Winegardner</w:t>
      </w:r>
      <w:r w:rsidR="000B2E15">
        <w:rPr>
          <w:rFonts w:ascii="Times New Roman" w:hAnsi="Times New Roman"/>
          <w:sz w:val="28"/>
          <w:szCs w:val="28"/>
        </w:rPr>
        <w:t xml:space="preserve">, 243 Ariz. </w:t>
      </w:r>
      <w:r w:rsidR="000B2E15">
        <w:rPr>
          <w:rFonts w:ascii="Times New Roman" w:hAnsi="Times New Roman"/>
          <w:sz w:val="28"/>
          <w:szCs w:val="28"/>
        </w:rPr>
        <w:lastRenderedPageBreak/>
        <w:t xml:space="preserve">482, 485 ¶ 8 (2018); </w:t>
      </w:r>
      <w:r w:rsidR="000B2E15">
        <w:rPr>
          <w:rFonts w:ascii="Times New Roman" w:hAnsi="Times New Roman"/>
          <w:i/>
          <w:iCs/>
          <w:sz w:val="28"/>
          <w:szCs w:val="28"/>
        </w:rPr>
        <w:t>Logerquist v. McVey</w:t>
      </w:r>
      <w:r w:rsidR="000B2E15">
        <w:rPr>
          <w:rFonts w:ascii="Times New Roman" w:hAnsi="Times New Roman"/>
          <w:sz w:val="28"/>
          <w:szCs w:val="28"/>
        </w:rPr>
        <w:t xml:space="preserve">, 196 Ariz. 470, 484 ¶ 44 (2000). At the time, both Rules 702 read: “If scientific, technical, or other specialized knowledge will assist the trier of fact to understand the evidence or to determine a fact in issue, a witness qualified as an expert by knowledge, skill, experience, training, or education, may testify thereto in the form of an opinion or otherwise.” </w:t>
      </w:r>
    </w:p>
    <w:p w14:paraId="30F990DD" w14:textId="1A81773A" w:rsidR="005E60EB" w:rsidRDefault="0007448C" w:rsidP="0083056F">
      <w:pPr>
        <w:spacing w:line="480" w:lineRule="auto"/>
        <w:ind w:firstLine="720"/>
        <w:jc w:val="both"/>
        <w:rPr>
          <w:rFonts w:ascii="Times New Roman" w:hAnsi="Times New Roman"/>
          <w:sz w:val="28"/>
          <w:szCs w:val="28"/>
        </w:rPr>
      </w:pPr>
      <w:r>
        <w:rPr>
          <w:rFonts w:ascii="Times New Roman" w:hAnsi="Times New Roman"/>
          <w:sz w:val="28"/>
          <w:szCs w:val="28"/>
        </w:rPr>
        <w:t>After the adoption of Rule 702</w:t>
      </w:r>
      <w:r w:rsidR="00BA144C">
        <w:rPr>
          <w:rFonts w:ascii="Times New Roman" w:hAnsi="Times New Roman"/>
          <w:sz w:val="28"/>
          <w:szCs w:val="28"/>
        </w:rPr>
        <w:t xml:space="preserve"> (Federal and Arizona)</w:t>
      </w:r>
      <w:r>
        <w:rPr>
          <w:rFonts w:ascii="Times New Roman" w:hAnsi="Times New Roman"/>
          <w:sz w:val="28"/>
          <w:szCs w:val="28"/>
        </w:rPr>
        <w:t>,</w:t>
      </w:r>
      <w:r w:rsidR="00BA144C">
        <w:rPr>
          <w:rFonts w:ascii="Times New Roman" w:hAnsi="Times New Roman"/>
          <w:sz w:val="28"/>
          <w:szCs w:val="28"/>
        </w:rPr>
        <w:t xml:space="preserve"> a majority of jurisdictions continued applying the </w:t>
      </w:r>
      <w:r w:rsidR="00BA144C">
        <w:rPr>
          <w:rFonts w:ascii="Times New Roman" w:hAnsi="Times New Roman"/>
          <w:i/>
          <w:iCs/>
          <w:sz w:val="28"/>
          <w:szCs w:val="28"/>
        </w:rPr>
        <w:t>Frye</w:t>
      </w:r>
      <w:r w:rsidR="00BA144C">
        <w:rPr>
          <w:rFonts w:ascii="Times New Roman" w:hAnsi="Times New Roman"/>
          <w:sz w:val="28"/>
          <w:szCs w:val="28"/>
        </w:rPr>
        <w:t xml:space="preserve"> general acceptance standard for determining the admissibility of novel scientific evidence at trial</w:t>
      </w:r>
      <w:r w:rsidR="00F356AD">
        <w:rPr>
          <w:rFonts w:ascii="Times New Roman" w:hAnsi="Times New Roman"/>
          <w:sz w:val="28"/>
          <w:szCs w:val="28"/>
        </w:rPr>
        <w:t xml:space="preserve">. </w:t>
      </w:r>
      <w:r w:rsidR="00F356AD">
        <w:rPr>
          <w:rFonts w:ascii="Times New Roman" w:hAnsi="Times New Roman"/>
          <w:i/>
          <w:iCs/>
          <w:sz w:val="28"/>
          <w:szCs w:val="28"/>
        </w:rPr>
        <w:t>Daubert v. Merrell Dow Pharmaceuticals</w:t>
      </w:r>
      <w:r w:rsidR="00F356AD">
        <w:rPr>
          <w:rFonts w:ascii="Times New Roman" w:hAnsi="Times New Roman"/>
          <w:sz w:val="28"/>
          <w:szCs w:val="28"/>
        </w:rPr>
        <w:t>, 509 U.S. 579, 585 (1993). Eventually, however, the Supreme Court declared</w:t>
      </w:r>
      <w:r w:rsidR="00BA144C">
        <w:rPr>
          <w:rFonts w:ascii="Times New Roman" w:hAnsi="Times New Roman"/>
          <w:sz w:val="28"/>
          <w:szCs w:val="28"/>
        </w:rPr>
        <w:t xml:space="preserve"> </w:t>
      </w:r>
      <w:r w:rsidR="001E5535">
        <w:rPr>
          <w:rFonts w:ascii="Times New Roman" w:hAnsi="Times New Roman"/>
          <w:sz w:val="28"/>
          <w:szCs w:val="28"/>
        </w:rPr>
        <w:t xml:space="preserve">that </w:t>
      </w:r>
      <w:r w:rsidR="00BA144C">
        <w:rPr>
          <w:rFonts w:ascii="Times New Roman" w:hAnsi="Times New Roman"/>
          <w:sz w:val="28"/>
          <w:szCs w:val="28"/>
        </w:rPr>
        <w:t xml:space="preserve">the </w:t>
      </w:r>
      <w:r w:rsidR="00BA144C">
        <w:rPr>
          <w:rFonts w:ascii="Times New Roman" w:hAnsi="Times New Roman"/>
          <w:i/>
          <w:iCs/>
          <w:sz w:val="28"/>
          <w:szCs w:val="28"/>
        </w:rPr>
        <w:t xml:space="preserve">Frye </w:t>
      </w:r>
      <w:r w:rsidR="00BA144C">
        <w:rPr>
          <w:rFonts w:ascii="Times New Roman" w:hAnsi="Times New Roman"/>
          <w:sz w:val="28"/>
          <w:szCs w:val="28"/>
        </w:rPr>
        <w:t>test had been superseded by the adoption of the Federal Rules of Evidence</w:t>
      </w:r>
      <w:r w:rsidR="00F356AD">
        <w:rPr>
          <w:rFonts w:ascii="Times New Roman" w:hAnsi="Times New Roman"/>
          <w:sz w:val="28"/>
          <w:szCs w:val="28"/>
        </w:rPr>
        <w:t xml:space="preserve"> because</w:t>
      </w:r>
      <w:r w:rsidR="0083056F">
        <w:rPr>
          <w:rFonts w:ascii="Times New Roman" w:hAnsi="Times New Roman"/>
          <w:sz w:val="28"/>
          <w:szCs w:val="28"/>
        </w:rPr>
        <w:t xml:space="preserve"> </w:t>
      </w:r>
      <w:r w:rsidR="00DE0873">
        <w:rPr>
          <w:rFonts w:ascii="Times New Roman" w:hAnsi="Times New Roman"/>
          <w:sz w:val="28"/>
          <w:szCs w:val="28"/>
        </w:rPr>
        <w:t>nothing in FRE 702 established “general acceptance” as a prerequisite to admissibility</w:t>
      </w:r>
      <w:r w:rsidR="00BA144C">
        <w:rPr>
          <w:rFonts w:ascii="Times New Roman" w:hAnsi="Times New Roman"/>
          <w:sz w:val="28"/>
          <w:szCs w:val="28"/>
        </w:rPr>
        <w:t xml:space="preserve">. </w:t>
      </w:r>
      <w:r w:rsidR="00BA144C">
        <w:rPr>
          <w:rFonts w:ascii="Times New Roman" w:hAnsi="Times New Roman"/>
          <w:i/>
          <w:iCs/>
          <w:sz w:val="28"/>
          <w:szCs w:val="28"/>
        </w:rPr>
        <w:t>Daubert</w:t>
      </w:r>
      <w:r w:rsidR="00BA144C">
        <w:rPr>
          <w:rFonts w:ascii="Times New Roman" w:hAnsi="Times New Roman"/>
          <w:sz w:val="28"/>
          <w:szCs w:val="28"/>
        </w:rPr>
        <w:t xml:space="preserve">, 509 U.S. at </w:t>
      </w:r>
      <w:r w:rsidR="00DE0873">
        <w:rPr>
          <w:rFonts w:ascii="Times New Roman" w:hAnsi="Times New Roman"/>
          <w:sz w:val="28"/>
          <w:szCs w:val="28"/>
        </w:rPr>
        <w:t xml:space="preserve">585, </w:t>
      </w:r>
      <w:r w:rsidR="00BA144C">
        <w:rPr>
          <w:rFonts w:ascii="Times New Roman" w:hAnsi="Times New Roman"/>
          <w:sz w:val="28"/>
          <w:szCs w:val="28"/>
        </w:rPr>
        <w:t>587</w:t>
      </w:r>
      <w:r w:rsidR="00E7769C">
        <w:rPr>
          <w:rFonts w:ascii="Times New Roman" w:hAnsi="Times New Roman"/>
          <w:sz w:val="28"/>
          <w:szCs w:val="28"/>
        </w:rPr>
        <w:t>-88</w:t>
      </w:r>
      <w:r w:rsidR="00BA144C">
        <w:rPr>
          <w:rFonts w:ascii="Times New Roman" w:hAnsi="Times New Roman"/>
          <w:sz w:val="28"/>
          <w:szCs w:val="28"/>
        </w:rPr>
        <w:t xml:space="preserve">. </w:t>
      </w:r>
      <w:r w:rsidR="00580C77">
        <w:rPr>
          <w:rFonts w:ascii="Times New Roman" w:hAnsi="Times New Roman"/>
          <w:sz w:val="28"/>
          <w:szCs w:val="28"/>
        </w:rPr>
        <w:t>Instead, the Court found that Rule 702 requires courts to perform a gatekeeping function by determining</w:t>
      </w:r>
      <w:r w:rsidR="00685714">
        <w:rPr>
          <w:rFonts w:ascii="Times New Roman" w:hAnsi="Times New Roman"/>
          <w:sz w:val="28"/>
          <w:szCs w:val="28"/>
        </w:rPr>
        <w:t>, by a preponderance of the evidence,</w:t>
      </w:r>
      <w:r w:rsidR="00580C77">
        <w:rPr>
          <w:rFonts w:ascii="Times New Roman" w:hAnsi="Times New Roman"/>
          <w:sz w:val="28"/>
          <w:szCs w:val="28"/>
        </w:rPr>
        <w:t xml:space="preserve"> that the proposed scientific evidence is reliable and relevant, which necessarily requires the testimony to be sufficiently tied to the facts of the case and the reasoning or methodology underlying the testimony to be scientifically valid. </w:t>
      </w:r>
      <w:r w:rsidR="00580C77">
        <w:rPr>
          <w:rFonts w:ascii="Times New Roman" w:hAnsi="Times New Roman"/>
          <w:i/>
          <w:iCs/>
          <w:sz w:val="28"/>
          <w:szCs w:val="28"/>
        </w:rPr>
        <w:t>Id.</w:t>
      </w:r>
      <w:r w:rsidR="00580C77">
        <w:rPr>
          <w:rFonts w:ascii="Times New Roman" w:hAnsi="Times New Roman"/>
          <w:sz w:val="28"/>
          <w:szCs w:val="28"/>
        </w:rPr>
        <w:t xml:space="preserve"> at </w:t>
      </w:r>
      <w:r w:rsidR="00685714">
        <w:rPr>
          <w:rFonts w:ascii="Times New Roman" w:hAnsi="Times New Roman"/>
          <w:sz w:val="28"/>
          <w:szCs w:val="28"/>
        </w:rPr>
        <w:t xml:space="preserve">592-93. The Court went on to cite </w:t>
      </w:r>
      <w:r w:rsidR="001F23C2">
        <w:rPr>
          <w:rFonts w:ascii="Times New Roman" w:hAnsi="Times New Roman"/>
          <w:sz w:val="28"/>
          <w:szCs w:val="28"/>
        </w:rPr>
        <w:t>a list of</w:t>
      </w:r>
      <w:r w:rsidR="00685714">
        <w:rPr>
          <w:rFonts w:ascii="Times New Roman" w:hAnsi="Times New Roman"/>
          <w:sz w:val="28"/>
          <w:szCs w:val="28"/>
        </w:rPr>
        <w:t xml:space="preserve"> factors lower courts should consider when making this determination, including whether the theory or technique 1) can </w:t>
      </w:r>
      <w:r w:rsidR="002C2E43">
        <w:rPr>
          <w:rFonts w:ascii="Times New Roman" w:hAnsi="Times New Roman"/>
          <w:sz w:val="28"/>
          <w:szCs w:val="28"/>
        </w:rPr>
        <w:t xml:space="preserve">be </w:t>
      </w:r>
      <w:r w:rsidR="00685714">
        <w:rPr>
          <w:rFonts w:ascii="Times New Roman" w:hAnsi="Times New Roman"/>
          <w:sz w:val="28"/>
          <w:szCs w:val="28"/>
        </w:rPr>
        <w:t xml:space="preserve">or has been tested, 2) has been subjected </w:t>
      </w:r>
      <w:r w:rsidR="00685714">
        <w:rPr>
          <w:rFonts w:ascii="Times New Roman" w:hAnsi="Times New Roman"/>
          <w:sz w:val="28"/>
          <w:szCs w:val="28"/>
        </w:rPr>
        <w:lastRenderedPageBreak/>
        <w:t xml:space="preserve">to peer review and publication, 3) has a known or potential rate of error, </w:t>
      </w:r>
      <w:r w:rsidR="001F23C2">
        <w:rPr>
          <w:rFonts w:ascii="Times New Roman" w:hAnsi="Times New Roman"/>
          <w:sz w:val="28"/>
          <w:szCs w:val="28"/>
        </w:rPr>
        <w:t xml:space="preserve">and </w:t>
      </w:r>
      <w:r w:rsidR="00685714">
        <w:rPr>
          <w:rFonts w:ascii="Times New Roman" w:hAnsi="Times New Roman"/>
          <w:sz w:val="28"/>
          <w:szCs w:val="28"/>
        </w:rPr>
        <w:t xml:space="preserve">4) is accepted within the community. </w:t>
      </w:r>
      <w:r w:rsidR="00685714">
        <w:rPr>
          <w:rFonts w:ascii="Times New Roman" w:hAnsi="Times New Roman"/>
          <w:i/>
          <w:iCs/>
          <w:sz w:val="28"/>
          <w:szCs w:val="28"/>
        </w:rPr>
        <w:t>Id.</w:t>
      </w:r>
      <w:r w:rsidR="00685714">
        <w:rPr>
          <w:rFonts w:ascii="Times New Roman" w:hAnsi="Times New Roman"/>
          <w:sz w:val="28"/>
          <w:szCs w:val="28"/>
        </w:rPr>
        <w:t xml:space="preserve"> at 593-95.</w:t>
      </w:r>
      <w:r w:rsidR="002E64B7">
        <w:rPr>
          <w:rFonts w:ascii="Times New Roman" w:hAnsi="Times New Roman"/>
          <w:sz w:val="28"/>
          <w:szCs w:val="28"/>
        </w:rPr>
        <w:t xml:space="preserve"> </w:t>
      </w:r>
    </w:p>
    <w:p w14:paraId="2869631F" w14:textId="74E148F4" w:rsidR="005E60EB" w:rsidRDefault="00E52938" w:rsidP="009007A6">
      <w:pPr>
        <w:spacing w:line="480" w:lineRule="auto"/>
        <w:ind w:firstLine="720"/>
        <w:jc w:val="both"/>
        <w:rPr>
          <w:rFonts w:ascii="Times New Roman" w:hAnsi="Times New Roman"/>
          <w:sz w:val="28"/>
          <w:szCs w:val="28"/>
        </w:rPr>
      </w:pPr>
      <w:r>
        <w:rPr>
          <w:rFonts w:ascii="Times New Roman" w:hAnsi="Times New Roman"/>
          <w:sz w:val="28"/>
          <w:szCs w:val="28"/>
        </w:rPr>
        <w:t xml:space="preserve">The </w:t>
      </w:r>
      <w:r w:rsidR="002C2E43">
        <w:rPr>
          <w:rFonts w:ascii="Times New Roman" w:hAnsi="Times New Roman"/>
          <w:sz w:val="28"/>
          <w:szCs w:val="28"/>
        </w:rPr>
        <w:t xml:space="preserve">Supreme </w:t>
      </w:r>
      <w:r>
        <w:rPr>
          <w:rFonts w:ascii="Times New Roman" w:hAnsi="Times New Roman"/>
          <w:sz w:val="28"/>
          <w:szCs w:val="28"/>
        </w:rPr>
        <w:t xml:space="preserve">Court subsequently clarified the scope of </w:t>
      </w:r>
      <w:r>
        <w:rPr>
          <w:rFonts w:ascii="Times New Roman" w:hAnsi="Times New Roman"/>
          <w:i/>
          <w:iCs/>
          <w:sz w:val="28"/>
          <w:szCs w:val="28"/>
        </w:rPr>
        <w:t xml:space="preserve">Daubert </w:t>
      </w:r>
      <w:r>
        <w:rPr>
          <w:rFonts w:ascii="Times New Roman" w:hAnsi="Times New Roman"/>
          <w:sz w:val="28"/>
          <w:szCs w:val="28"/>
        </w:rPr>
        <w:t xml:space="preserve">in </w:t>
      </w:r>
      <w:r>
        <w:rPr>
          <w:rFonts w:ascii="Times New Roman" w:hAnsi="Times New Roman"/>
          <w:i/>
          <w:iCs/>
          <w:sz w:val="28"/>
          <w:szCs w:val="28"/>
        </w:rPr>
        <w:t>General Electric Co. v. Joiner</w:t>
      </w:r>
      <w:r>
        <w:rPr>
          <w:rFonts w:ascii="Times New Roman" w:hAnsi="Times New Roman"/>
          <w:sz w:val="28"/>
          <w:szCs w:val="28"/>
        </w:rPr>
        <w:t>, 522 U.S. 136 (1997)</w:t>
      </w:r>
      <w:r w:rsidR="005033AB">
        <w:rPr>
          <w:rFonts w:ascii="Times New Roman" w:hAnsi="Times New Roman"/>
          <w:sz w:val="28"/>
          <w:szCs w:val="28"/>
        </w:rPr>
        <w:t>,</w:t>
      </w:r>
      <w:r>
        <w:rPr>
          <w:rFonts w:ascii="Times New Roman" w:hAnsi="Times New Roman"/>
          <w:sz w:val="28"/>
          <w:szCs w:val="28"/>
        </w:rPr>
        <w:t xml:space="preserve"> and </w:t>
      </w:r>
      <w:r>
        <w:rPr>
          <w:rFonts w:ascii="Times New Roman" w:hAnsi="Times New Roman"/>
          <w:i/>
          <w:iCs/>
          <w:sz w:val="28"/>
          <w:szCs w:val="28"/>
        </w:rPr>
        <w:t xml:space="preserve">Kumho Tire Co., Ltd. </w:t>
      </w:r>
      <w:r w:rsidR="005033AB">
        <w:rPr>
          <w:rFonts w:ascii="Times New Roman" w:hAnsi="Times New Roman"/>
          <w:i/>
          <w:iCs/>
          <w:sz w:val="28"/>
          <w:szCs w:val="28"/>
        </w:rPr>
        <w:t>v</w:t>
      </w:r>
      <w:r>
        <w:rPr>
          <w:rFonts w:ascii="Times New Roman" w:hAnsi="Times New Roman"/>
          <w:i/>
          <w:iCs/>
          <w:sz w:val="28"/>
          <w:szCs w:val="28"/>
        </w:rPr>
        <w:t>. Carmichael</w:t>
      </w:r>
      <w:r>
        <w:rPr>
          <w:rFonts w:ascii="Times New Roman" w:hAnsi="Times New Roman"/>
          <w:sz w:val="28"/>
          <w:szCs w:val="28"/>
        </w:rPr>
        <w:t xml:space="preserve">, 526 U.S. 137 (1999). In </w:t>
      </w:r>
      <w:r>
        <w:rPr>
          <w:rFonts w:ascii="Times New Roman" w:hAnsi="Times New Roman"/>
          <w:i/>
          <w:iCs/>
          <w:sz w:val="28"/>
          <w:szCs w:val="28"/>
        </w:rPr>
        <w:t>Joiner</w:t>
      </w:r>
      <w:r>
        <w:rPr>
          <w:rFonts w:ascii="Times New Roman" w:hAnsi="Times New Roman"/>
          <w:sz w:val="28"/>
          <w:szCs w:val="28"/>
        </w:rPr>
        <w:t xml:space="preserve"> the Court held that </w:t>
      </w:r>
      <w:r>
        <w:rPr>
          <w:rFonts w:ascii="Times New Roman" w:hAnsi="Times New Roman"/>
          <w:i/>
          <w:iCs/>
          <w:sz w:val="28"/>
          <w:szCs w:val="28"/>
        </w:rPr>
        <w:t xml:space="preserve">Daubert </w:t>
      </w:r>
      <w:r>
        <w:rPr>
          <w:rFonts w:ascii="Times New Roman" w:hAnsi="Times New Roman"/>
          <w:sz w:val="28"/>
          <w:szCs w:val="28"/>
        </w:rPr>
        <w:t xml:space="preserve">applies to an expert’s conclusions and not just the principles and methodologies used to reach those conclusions. 522 U.S. at 146. Then, in </w:t>
      </w:r>
      <w:r>
        <w:rPr>
          <w:rFonts w:ascii="Times New Roman" w:hAnsi="Times New Roman"/>
          <w:i/>
          <w:iCs/>
          <w:sz w:val="28"/>
          <w:szCs w:val="28"/>
        </w:rPr>
        <w:t>Kumho Tire</w:t>
      </w:r>
      <w:r>
        <w:rPr>
          <w:rFonts w:ascii="Times New Roman" w:hAnsi="Times New Roman"/>
          <w:sz w:val="28"/>
          <w:szCs w:val="28"/>
        </w:rPr>
        <w:t xml:space="preserve">, the Court concluded that </w:t>
      </w:r>
      <w:r w:rsidR="001F23C2">
        <w:rPr>
          <w:rFonts w:ascii="Times New Roman" w:hAnsi="Times New Roman"/>
          <w:sz w:val="28"/>
          <w:szCs w:val="28"/>
        </w:rPr>
        <w:t xml:space="preserve">the </w:t>
      </w:r>
      <w:r w:rsidR="002E64B7">
        <w:rPr>
          <w:rFonts w:ascii="Times New Roman" w:hAnsi="Times New Roman"/>
          <w:sz w:val="28"/>
          <w:szCs w:val="28"/>
        </w:rPr>
        <w:t>gatekeeping obligation applie</w:t>
      </w:r>
      <w:r w:rsidR="001F23C2">
        <w:rPr>
          <w:rFonts w:ascii="Times New Roman" w:hAnsi="Times New Roman"/>
          <w:sz w:val="28"/>
          <w:szCs w:val="28"/>
        </w:rPr>
        <w:t>s</w:t>
      </w:r>
      <w:r w:rsidR="002E64B7">
        <w:rPr>
          <w:rFonts w:ascii="Times New Roman" w:hAnsi="Times New Roman"/>
          <w:sz w:val="28"/>
          <w:szCs w:val="28"/>
        </w:rPr>
        <w:t xml:space="preserve"> to all expert testimony, not just scientific testimony. 526 U.S. </w:t>
      </w:r>
      <w:r>
        <w:rPr>
          <w:rFonts w:ascii="Times New Roman" w:hAnsi="Times New Roman"/>
          <w:sz w:val="28"/>
          <w:szCs w:val="28"/>
        </w:rPr>
        <w:t>at 146-47. The next year,</w:t>
      </w:r>
      <w:r w:rsidR="005E60EB">
        <w:rPr>
          <w:rFonts w:ascii="Times New Roman" w:hAnsi="Times New Roman"/>
          <w:sz w:val="28"/>
          <w:szCs w:val="28"/>
        </w:rPr>
        <w:t xml:space="preserve"> </w:t>
      </w:r>
      <w:r w:rsidR="009007A6">
        <w:rPr>
          <w:rFonts w:ascii="Times New Roman" w:hAnsi="Times New Roman"/>
          <w:sz w:val="28"/>
          <w:szCs w:val="28"/>
        </w:rPr>
        <w:t>effective</w:t>
      </w:r>
      <w:r w:rsidR="005E60EB">
        <w:rPr>
          <w:rFonts w:ascii="Times New Roman" w:hAnsi="Times New Roman"/>
          <w:sz w:val="28"/>
          <w:szCs w:val="28"/>
        </w:rPr>
        <w:t xml:space="preserve"> December </w:t>
      </w:r>
      <w:r w:rsidR="009007A6">
        <w:rPr>
          <w:rFonts w:ascii="Times New Roman" w:hAnsi="Times New Roman"/>
          <w:sz w:val="28"/>
          <w:szCs w:val="28"/>
        </w:rPr>
        <w:t xml:space="preserve">1, </w:t>
      </w:r>
      <w:r w:rsidR="005E60EB">
        <w:rPr>
          <w:rFonts w:ascii="Times New Roman" w:hAnsi="Times New Roman"/>
          <w:sz w:val="28"/>
          <w:szCs w:val="28"/>
        </w:rPr>
        <w:t>2000,</w:t>
      </w:r>
      <w:r>
        <w:rPr>
          <w:rFonts w:ascii="Times New Roman" w:hAnsi="Times New Roman"/>
          <w:sz w:val="28"/>
          <w:szCs w:val="28"/>
        </w:rPr>
        <w:t xml:space="preserve"> FRE 702 was amended to</w:t>
      </w:r>
      <w:r w:rsidR="005E60EB">
        <w:rPr>
          <w:rFonts w:ascii="Times New Roman" w:hAnsi="Times New Roman"/>
          <w:sz w:val="28"/>
          <w:szCs w:val="28"/>
        </w:rPr>
        <w:t xml:space="preserve"> its current form to</w:t>
      </w:r>
      <w:r>
        <w:rPr>
          <w:rFonts w:ascii="Times New Roman" w:hAnsi="Times New Roman"/>
          <w:sz w:val="28"/>
          <w:szCs w:val="28"/>
        </w:rPr>
        <w:t xml:space="preserve"> reflect </w:t>
      </w:r>
      <w:r w:rsidR="005E60EB">
        <w:rPr>
          <w:rFonts w:ascii="Times New Roman" w:hAnsi="Times New Roman"/>
          <w:sz w:val="28"/>
          <w:szCs w:val="28"/>
        </w:rPr>
        <w:t xml:space="preserve">and codify </w:t>
      </w:r>
      <w:r>
        <w:rPr>
          <w:rFonts w:ascii="Times New Roman" w:hAnsi="Times New Roman"/>
          <w:sz w:val="28"/>
          <w:szCs w:val="28"/>
        </w:rPr>
        <w:t xml:space="preserve">the holdings in </w:t>
      </w:r>
      <w:r>
        <w:rPr>
          <w:rFonts w:ascii="Times New Roman" w:hAnsi="Times New Roman"/>
          <w:i/>
          <w:iCs/>
          <w:sz w:val="28"/>
          <w:szCs w:val="28"/>
        </w:rPr>
        <w:t>Daubert</w:t>
      </w:r>
      <w:r>
        <w:rPr>
          <w:rFonts w:ascii="Times New Roman" w:hAnsi="Times New Roman"/>
          <w:sz w:val="28"/>
          <w:szCs w:val="28"/>
        </w:rPr>
        <w:t xml:space="preserve">, </w:t>
      </w:r>
      <w:r>
        <w:rPr>
          <w:rFonts w:ascii="Times New Roman" w:hAnsi="Times New Roman"/>
          <w:i/>
          <w:iCs/>
          <w:sz w:val="28"/>
          <w:szCs w:val="28"/>
        </w:rPr>
        <w:t>Joiner</w:t>
      </w:r>
      <w:r>
        <w:rPr>
          <w:rFonts w:ascii="Times New Roman" w:hAnsi="Times New Roman"/>
          <w:sz w:val="28"/>
          <w:szCs w:val="28"/>
        </w:rPr>
        <w:t xml:space="preserve">, and </w:t>
      </w:r>
      <w:r>
        <w:rPr>
          <w:rFonts w:ascii="Times New Roman" w:hAnsi="Times New Roman"/>
          <w:i/>
          <w:iCs/>
          <w:sz w:val="28"/>
          <w:szCs w:val="28"/>
        </w:rPr>
        <w:t>Kumho Tire</w:t>
      </w:r>
      <w:r>
        <w:rPr>
          <w:rFonts w:ascii="Times New Roman" w:hAnsi="Times New Roman"/>
          <w:sz w:val="28"/>
          <w:szCs w:val="28"/>
        </w:rPr>
        <w:t xml:space="preserve">. </w:t>
      </w:r>
      <w:r w:rsidR="009007A6">
        <w:rPr>
          <w:rFonts w:ascii="Times New Roman" w:hAnsi="Times New Roman"/>
          <w:sz w:val="28"/>
          <w:szCs w:val="28"/>
        </w:rPr>
        <w:t>5 Handbook of Fed. Evid. § 702:5 (9th ed.).</w:t>
      </w:r>
      <w:r w:rsidR="002E64B7">
        <w:rPr>
          <w:rFonts w:ascii="Times New Roman" w:hAnsi="Times New Roman"/>
          <w:sz w:val="28"/>
          <w:szCs w:val="28"/>
        </w:rPr>
        <w:t xml:space="preserve"> </w:t>
      </w:r>
    </w:p>
    <w:p w14:paraId="17B57D75" w14:textId="6E194B1B" w:rsidR="005033AB" w:rsidRDefault="007F69F9" w:rsidP="009007A6">
      <w:pPr>
        <w:spacing w:line="480" w:lineRule="auto"/>
        <w:ind w:firstLine="720"/>
        <w:jc w:val="both"/>
        <w:rPr>
          <w:rFonts w:ascii="Times New Roman" w:hAnsi="Times New Roman"/>
          <w:sz w:val="28"/>
          <w:szCs w:val="28"/>
        </w:rPr>
      </w:pPr>
      <w:r>
        <w:rPr>
          <w:rFonts w:ascii="Times New Roman" w:hAnsi="Times New Roman"/>
          <w:sz w:val="28"/>
          <w:szCs w:val="28"/>
        </w:rPr>
        <w:t>Arizona</w:t>
      </w:r>
      <w:r w:rsidR="0083056F">
        <w:rPr>
          <w:rFonts w:ascii="Times New Roman" w:hAnsi="Times New Roman"/>
          <w:sz w:val="28"/>
          <w:szCs w:val="28"/>
        </w:rPr>
        <w:t>, however,</w:t>
      </w:r>
      <w:r>
        <w:rPr>
          <w:rFonts w:ascii="Times New Roman" w:hAnsi="Times New Roman"/>
          <w:sz w:val="28"/>
          <w:szCs w:val="28"/>
        </w:rPr>
        <w:t xml:space="preserve"> </w:t>
      </w:r>
      <w:r w:rsidR="002E64B7">
        <w:rPr>
          <w:rFonts w:ascii="Times New Roman" w:hAnsi="Times New Roman"/>
          <w:sz w:val="28"/>
          <w:szCs w:val="28"/>
        </w:rPr>
        <w:t xml:space="preserve">continued </w:t>
      </w:r>
      <w:r w:rsidR="0083056F">
        <w:rPr>
          <w:rFonts w:ascii="Times New Roman" w:hAnsi="Times New Roman"/>
          <w:sz w:val="28"/>
          <w:szCs w:val="28"/>
        </w:rPr>
        <w:t xml:space="preserve">to </w:t>
      </w:r>
      <w:r w:rsidR="002E64B7">
        <w:rPr>
          <w:rFonts w:ascii="Times New Roman" w:hAnsi="Times New Roman"/>
          <w:sz w:val="28"/>
          <w:szCs w:val="28"/>
        </w:rPr>
        <w:t xml:space="preserve">use the </w:t>
      </w:r>
      <w:r w:rsidR="002E64B7">
        <w:rPr>
          <w:rFonts w:ascii="Times New Roman" w:hAnsi="Times New Roman"/>
          <w:i/>
          <w:iCs/>
          <w:sz w:val="28"/>
          <w:szCs w:val="28"/>
        </w:rPr>
        <w:t xml:space="preserve">Frye </w:t>
      </w:r>
      <w:r w:rsidR="002E64B7">
        <w:rPr>
          <w:rFonts w:ascii="Times New Roman" w:hAnsi="Times New Roman"/>
          <w:sz w:val="28"/>
          <w:szCs w:val="28"/>
        </w:rPr>
        <w:t>test</w:t>
      </w:r>
      <w:r w:rsidR="0083056F">
        <w:rPr>
          <w:rFonts w:ascii="Times New Roman" w:hAnsi="Times New Roman"/>
          <w:sz w:val="28"/>
          <w:szCs w:val="28"/>
        </w:rPr>
        <w:t xml:space="preserve"> for Ariz. R. Evid. 702</w:t>
      </w:r>
      <w:r w:rsidR="002E64B7">
        <w:rPr>
          <w:rFonts w:ascii="Times New Roman" w:hAnsi="Times New Roman"/>
          <w:sz w:val="28"/>
          <w:szCs w:val="28"/>
        </w:rPr>
        <w:t xml:space="preserve"> </w:t>
      </w:r>
      <w:r>
        <w:rPr>
          <w:rFonts w:ascii="Times New Roman" w:hAnsi="Times New Roman"/>
          <w:sz w:val="28"/>
          <w:szCs w:val="28"/>
        </w:rPr>
        <w:t>post-</w:t>
      </w:r>
      <w:r>
        <w:rPr>
          <w:rFonts w:ascii="Times New Roman" w:hAnsi="Times New Roman"/>
          <w:i/>
          <w:iCs/>
          <w:sz w:val="28"/>
          <w:szCs w:val="28"/>
        </w:rPr>
        <w:t>Daubert</w:t>
      </w:r>
      <w:r>
        <w:rPr>
          <w:rFonts w:ascii="Times New Roman" w:hAnsi="Times New Roman"/>
          <w:sz w:val="28"/>
          <w:szCs w:val="28"/>
        </w:rPr>
        <w:t xml:space="preserve">, </w:t>
      </w:r>
      <w:r w:rsidR="0083056F">
        <w:rPr>
          <w:rFonts w:ascii="Times New Roman" w:hAnsi="Times New Roman"/>
          <w:sz w:val="28"/>
          <w:szCs w:val="28"/>
        </w:rPr>
        <w:t xml:space="preserve">a practice </w:t>
      </w:r>
      <w:r>
        <w:rPr>
          <w:rFonts w:ascii="Times New Roman" w:hAnsi="Times New Roman"/>
          <w:sz w:val="28"/>
          <w:szCs w:val="28"/>
        </w:rPr>
        <w:t>challenged “with increasing frequency,”</w:t>
      </w:r>
      <w:r w:rsidR="002E64B7">
        <w:rPr>
          <w:rFonts w:ascii="Times New Roman" w:hAnsi="Times New Roman"/>
          <w:sz w:val="28"/>
          <w:szCs w:val="28"/>
        </w:rPr>
        <w:t xml:space="preserve"> </w:t>
      </w:r>
      <w:r w:rsidR="005033AB">
        <w:rPr>
          <w:rFonts w:ascii="Times New Roman" w:hAnsi="Times New Roman"/>
          <w:sz w:val="28"/>
          <w:szCs w:val="28"/>
        </w:rPr>
        <w:t>until this Court</w:t>
      </w:r>
      <w:r w:rsidR="002E64B7">
        <w:rPr>
          <w:rFonts w:ascii="Times New Roman" w:hAnsi="Times New Roman"/>
          <w:sz w:val="28"/>
          <w:szCs w:val="28"/>
        </w:rPr>
        <w:t xml:space="preserve"> explicitly </w:t>
      </w:r>
      <w:r w:rsidR="0083056F">
        <w:rPr>
          <w:rFonts w:ascii="Times New Roman" w:hAnsi="Times New Roman"/>
          <w:sz w:val="28"/>
          <w:szCs w:val="28"/>
        </w:rPr>
        <w:t xml:space="preserve">ruled in 2000 that </w:t>
      </w:r>
      <w:r w:rsidR="0060458C">
        <w:rPr>
          <w:rFonts w:ascii="Times New Roman" w:hAnsi="Times New Roman"/>
          <w:sz w:val="28"/>
          <w:szCs w:val="28"/>
        </w:rPr>
        <w:t xml:space="preserve">the </w:t>
      </w:r>
      <w:r w:rsidR="0060458C">
        <w:rPr>
          <w:rFonts w:ascii="Times New Roman" w:hAnsi="Times New Roman"/>
          <w:i/>
          <w:iCs/>
          <w:sz w:val="28"/>
          <w:szCs w:val="28"/>
        </w:rPr>
        <w:t>Daubert</w:t>
      </w:r>
      <w:r w:rsidR="0009256E">
        <w:rPr>
          <w:rFonts w:ascii="Times New Roman" w:hAnsi="Times New Roman"/>
          <w:sz w:val="28"/>
          <w:szCs w:val="28"/>
        </w:rPr>
        <w:t>/</w:t>
      </w:r>
      <w:r w:rsidR="0009256E">
        <w:rPr>
          <w:rFonts w:ascii="Times New Roman" w:hAnsi="Times New Roman"/>
          <w:i/>
          <w:iCs/>
          <w:sz w:val="28"/>
          <w:szCs w:val="28"/>
        </w:rPr>
        <w:t>Kumho</w:t>
      </w:r>
      <w:r w:rsidR="0060458C">
        <w:rPr>
          <w:rFonts w:ascii="Times New Roman" w:hAnsi="Times New Roman"/>
          <w:sz w:val="28"/>
          <w:szCs w:val="28"/>
        </w:rPr>
        <w:t xml:space="preserve"> </w:t>
      </w:r>
      <w:r w:rsidR="0009256E">
        <w:rPr>
          <w:rFonts w:ascii="Times New Roman" w:hAnsi="Times New Roman"/>
          <w:sz w:val="28"/>
          <w:szCs w:val="28"/>
        </w:rPr>
        <w:t>interpretation of FRE 702</w:t>
      </w:r>
      <w:r w:rsidR="005033AB">
        <w:rPr>
          <w:rFonts w:ascii="Times New Roman" w:hAnsi="Times New Roman"/>
          <w:sz w:val="28"/>
          <w:szCs w:val="28"/>
        </w:rPr>
        <w:t xml:space="preserve"> </w:t>
      </w:r>
      <w:r w:rsidR="0083056F">
        <w:rPr>
          <w:rFonts w:ascii="Times New Roman" w:hAnsi="Times New Roman"/>
          <w:sz w:val="28"/>
          <w:szCs w:val="28"/>
        </w:rPr>
        <w:t>did not apply to Arizona’s Rule 702</w:t>
      </w:r>
      <w:r>
        <w:rPr>
          <w:rFonts w:ascii="Times New Roman" w:hAnsi="Times New Roman"/>
          <w:sz w:val="28"/>
          <w:szCs w:val="28"/>
        </w:rPr>
        <w:t xml:space="preserve">. </w:t>
      </w:r>
      <w:r>
        <w:rPr>
          <w:rFonts w:ascii="Times New Roman" w:hAnsi="Times New Roman"/>
          <w:i/>
          <w:iCs/>
          <w:sz w:val="28"/>
          <w:szCs w:val="28"/>
        </w:rPr>
        <w:t>Logerquist</w:t>
      </w:r>
      <w:r>
        <w:rPr>
          <w:rFonts w:ascii="Times New Roman" w:hAnsi="Times New Roman"/>
          <w:sz w:val="28"/>
          <w:szCs w:val="28"/>
        </w:rPr>
        <w:t xml:space="preserve">, 196 Ariz. at 471 ¶ 2, 491 ¶ 65. Finding nothing </w:t>
      </w:r>
      <w:r w:rsidR="00457D8F">
        <w:rPr>
          <w:rFonts w:ascii="Times New Roman" w:hAnsi="Times New Roman"/>
          <w:sz w:val="28"/>
          <w:szCs w:val="28"/>
        </w:rPr>
        <w:t xml:space="preserve">in </w:t>
      </w:r>
      <w:r w:rsidR="00E52938">
        <w:rPr>
          <w:rFonts w:ascii="Times New Roman" w:hAnsi="Times New Roman"/>
          <w:sz w:val="28"/>
          <w:szCs w:val="28"/>
        </w:rPr>
        <w:t>the</w:t>
      </w:r>
      <w:r>
        <w:rPr>
          <w:rFonts w:ascii="Times New Roman" w:hAnsi="Times New Roman"/>
          <w:sz w:val="28"/>
          <w:szCs w:val="28"/>
        </w:rPr>
        <w:t xml:space="preserve"> comments of the court or its committees to indicate </w:t>
      </w:r>
      <w:r w:rsidR="00305D9D">
        <w:rPr>
          <w:rFonts w:ascii="Times New Roman" w:hAnsi="Times New Roman"/>
          <w:sz w:val="28"/>
          <w:szCs w:val="28"/>
        </w:rPr>
        <w:t>they contemplated a</w:t>
      </w:r>
      <w:r>
        <w:rPr>
          <w:rFonts w:ascii="Times New Roman" w:hAnsi="Times New Roman"/>
          <w:sz w:val="28"/>
          <w:szCs w:val="28"/>
        </w:rPr>
        <w:t xml:space="preserve"> reliability standard when</w:t>
      </w:r>
      <w:r w:rsidR="00305D9D">
        <w:rPr>
          <w:rFonts w:ascii="Times New Roman" w:hAnsi="Times New Roman"/>
          <w:sz w:val="28"/>
          <w:szCs w:val="28"/>
        </w:rPr>
        <w:t xml:space="preserve"> adopting</w:t>
      </w:r>
      <w:r>
        <w:rPr>
          <w:rFonts w:ascii="Times New Roman" w:hAnsi="Times New Roman"/>
          <w:sz w:val="28"/>
          <w:szCs w:val="28"/>
        </w:rPr>
        <w:t xml:space="preserve"> Ariz. R. Evid. 702, the </w:t>
      </w:r>
      <w:r>
        <w:rPr>
          <w:rFonts w:ascii="Times New Roman" w:hAnsi="Times New Roman"/>
          <w:i/>
          <w:iCs/>
          <w:sz w:val="28"/>
          <w:szCs w:val="28"/>
        </w:rPr>
        <w:t xml:space="preserve">Logerguist </w:t>
      </w:r>
      <w:r>
        <w:rPr>
          <w:rFonts w:ascii="Times New Roman" w:hAnsi="Times New Roman"/>
          <w:sz w:val="28"/>
          <w:szCs w:val="28"/>
        </w:rPr>
        <w:t xml:space="preserve">Court held </w:t>
      </w:r>
      <w:r w:rsidR="0009256E">
        <w:rPr>
          <w:rFonts w:ascii="Times New Roman" w:hAnsi="Times New Roman"/>
          <w:sz w:val="28"/>
          <w:szCs w:val="28"/>
        </w:rPr>
        <w:t>that Arizona would “continue to apply Ariz.</w:t>
      </w:r>
      <w:r w:rsidR="005033AB">
        <w:rPr>
          <w:rFonts w:ascii="Times New Roman" w:hAnsi="Times New Roman"/>
          <w:sz w:val="28"/>
          <w:szCs w:val="28"/>
        </w:rPr>
        <w:t xml:space="preserve"> </w:t>
      </w:r>
      <w:r w:rsidR="0009256E">
        <w:rPr>
          <w:rFonts w:ascii="Times New Roman" w:hAnsi="Times New Roman"/>
          <w:sz w:val="28"/>
          <w:szCs w:val="28"/>
        </w:rPr>
        <w:t>R.</w:t>
      </w:r>
      <w:r w:rsidR="005033AB">
        <w:rPr>
          <w:rFonts w:ascii="Times New Roman" w:hAnsi="Times New Roman"/>
          <w:sz w:val="28"/>
          <w:szCs w:val="28"/>
        </w:rPr>
        <w:t xml:space="preserve"> </w:t>
      </w:r>
      <w:r w:rsidR="0009256E">
        <w:rPr>
          <w:rFonts w:ascii="Times New Roman" w:hAnsi="Times New Roman"/>
          <w:sz w:val="28"/>
          <w:szCs w:val="28"/>
        </w:rPr>
        <w:t>Evid. 702 as written and interpreted by our cases</w:t>
      </w:r>
      <w:r w:rsidR="00305D9D">
        <w:rPr>
          <w:rFonts w:ascii="Times New Roman" w:hAnsi="Times New Roman"/>
          <w:sz w:val="28"/>
          <w:szCs w:val="28"/>
        </w:rPr>
        <w:t>,</w:t>
      </w:r>
      <w:r w:rsidR="0009256E">
        <w:rPr>
          <w:rFonts w:ascii="Times New Roman" w:hAnsi="Times New Roman"/>
          <w:sz w:val="28"/>
          <w:szCs w:val="28"/>
        </w:rPr>
        <w:t>”</w:t>
      </w:r>
      <w:r w:rsidR="00305D9D">
        <w:rPr>
          <w:rFonts w:ascii="Times New Roman" w:hAnsi="Times New Roman"/>
          <w:sz w:val="28"/>
          <w:szCs w:val="28"/>
        </w:rPr>
        <w:t xml:space="preserve"> despite the federal courts’ different interpretation of their identical rule.</w:t>
      </w:r>
      <w:r w:rsidR="001F23C2">
        <w:rPr>
          <w:rFonts w:ascii="Times New Roman" w:hAnsi="Times New Roman"/>
          <w:sz w:val="28"/>
          <w:szCs w:val="28"/>
        </w:rPr>
        <w:t xml:space="preserve"> </w:t>
      </w:r>
      <w:r>
        <w:rPr>
          <w:rFonts w:ascii="Times New Roman" w:hAnsi="Times New Roman"/>
          <w:i/>
          <w:iCs/>
          <w:sz w:val="28"/>
          <w:szCs w:val="28"/>
        </w:rPr>
        <w:t>Id.</w:t>
      </w:r>
      <w:r>
        <w:rPr>
          <w:rFonts w:ascii="Times New Roman" w:hAnsi="Times New Roman"/>
          <w:sz w:val="28"/>
          <w:szCs w:val="28"/>
        </w:rPr>
        <w:t xml:space="preserve"> at 485 ¶ 46, 491 ¶ 65. </w:t>
      </w:r>
      <w:r w:rsidR="005033AB">
        <w:rPr>
          <w:rFonts w:ascii="Times New Roman" w:hAnsi="Times New Roman"/>
          <w:sz w:val="28"/>
          <w:szCs w:val="28"/>
        </w:rPr>
        <w:t xml:space="preserve">This Court further held that the continued use of the </w:t>
      </w:r>
      <w:r w:rsidR="005033AB" w:rsidRPr="004F5F6E">
        <w:rPr>
          <w:rFonts w:ascii="Times New Roman" w:hAnsi="Times New Roman"/>
          <w:i/>
          <w:iCs/>
          <w:sz w:val="28"/>
          <w:szCs w:val="28"/>
        </w:rPr>
        <w:lastRenderedPageBreak/>
        <w:t>Frye</w:t>
      </w:r>
      <w:r w:rsidR="005033AB">
        <w:rPr>
          <w:rFonts w:ascii="Times New Roman" w:hAnsi="Times New Roman"/>
          <w:sz w:val="28"/>
          <w:szCs w:val="28"/>
        </w:rPr>
        <w:t xml:space="preserve"> standard would only apply to scientific evidence; observational or experiential evidence would be held to no standard</w:t>
      </w:r>
      <w:r w:rsidR="00305D9D">
        <w:rPr>
          <w:rFonts w:ascii="Times New Roman" w:hAnsi="Times New Roman"/>
          <w:sz w:val="28"/>
          <w:szCs w:val="28"/>
        </w:rPr>
        <w:t xml:space="preserve"> at all</w:t>
      </w:r>
      <w:r w:rsidR="005033AB">
        <w:rPr>
          <w:rFonts w:ascii="Times New Roman" w:hAnsi="Times New Roman"/>
          <w:sz w:val="28"/>
          <w:szCs w:val="28"/>
        </w:rPr>
        <w:t xml:space="preserve">. </w:t>
      </w:r>
      <w:r w:rsidR="005033AB">
        <w:rPr>
          <w:rFonts w:ascii="Times New Roman" w:hAnsi="Times New Roman"/>
          <w:i/>
          <w:iCs/>
          <w:sz w:val="28"/>
          <w:szCs w:val="28"/>
        </w:rPr>
        <w:t>Id.</w:t>
      </w:r>
      <w:r w:rsidR="005033AB">
        <w:rPr>
          <w:rFonts w:ascii="Times New Roman" w:hAnsi="Times New Roman"/>
          <w:sz w:val="28"/>
          <w:szCs w:val="28"/>
        </w:rPr>
        <w:t xml:space="preserve"> at 480 ¶ 30, 482 ¶ 37.</w:t>
      </w:r>
    </w:p>
    <w:p w14:paraId="492C15F2" w14:textId="46405316" w:rsidR="003C164D" w:rsidRDefault="00305D9D" w:rsidP="00F7423B">
      <w:pPr>
        <w:spacing w:line="480" w:lineRule="auto"/>
        <w:ind w:firstLine="720"/>
        <w:jc w:val="both"/>
        <w:rPr>
          <w:rFonts w:ascii="Times New Roman" w:hAnsi="Times New Roman"/>
          <w:sz w:val="28"/>
          <w:szCs w:val="28"/>
        </w:rPr>
      </w:pPr>
      <w:r>
        <w:rPr>
          <w:rFonts w:ascii="Times New Roman" w:hAnsi="Times New Roman"/>
          <w:sz w:val="28"/>
          <w:szCs w:val="28"/>
        </w:rPr>
        <w:t>After living with this rule for a decade</w:t>
      </w:r>
      <w:r w:rsidR="005033AB">
        <w:rPr>
          <w:rFonts w:ascii="Times New Roman" w:hAnsi="Times New Roman"/>
          <w:sz w:val="28"/>
          <w:szCs w:val="28"/>
        </w:rPr>
        <w:t>, the</w:t>
      </w:r>
      <w:r w:rsidR="0009256E">
        <w:rPr>
          <w:rFonts w:ascii="Times New Roman" w:hAnsi="Times New Roman"/>
          <w:sz w:val="28"/>
          <w:szCs w:val="28"/>
        </w:rPr>
        <w:t xml:space="preserve"> legislature </w:t>
      </w:r>
      <w:r w:rsidR="009007A6">
        <w:rPr>
          <w:rFonts w:ascii="Times New Roman" w:hAnsi="Times New Roman"/>
          <w:sz w:val="28"/>
          <w:szCs w:val="28"/>
        </w:rPr>
        <w:t>enacted A.R.S. § 12-2203</w:t>
      </w:r>
      <w:r>
        <w:rPr>
          <w:rFonts w:ascii="Times New Roman" w:hAnsi="Times New Roman"/>
          <w:sz w:val="28"/>
          <w:szCs w:val="28"/>
        </w:rPr>
        <w:t xml:space="preserve"> in 2010</w:t>
      </w:r>
      <w:r w:rsidR="009007A6">
        <w:rPr>
          <w:rFonts w:ascii="Times New Roman" w:hAnsi="Times New Roman"/>
          <w:sz w:val="28"/>
          <w:szCs w:val="28"/>
        </w:rPr>
        <w:t>, essentially codif</w:t>
      </w:r>
      <w:r w:rsidR="005033AB">
        <w:rPr>
          <w:rFonts w:ascii="Times New Roman" w:hAnsi="Times New Roman"/>
          <w:sz w:val="28"/>
          <w:szCs w:val="28"/>
        </w:rPr>
        <w:t>ying</w:t>
      </w:r>
      <w:r w:rsidR="009007A6">
        <w:rPr>
          <w:rFonts w:ascii="Times New Roman" w:hAnsi="Times New Roman"/>
          <w:sz w:val="28"/>
          <w:szCs w:val="28"/>
        </w:rPr>
        <w:t xml:space="preserve"> the federal standard of admissibility for expert testimony in Arizona. </w:t>
      </w:r>
      <w:r w:rsidR="005033AB">
        <w:rPr>
          <w:rFonts w:ascii="Times New Roman" w:hAnsi="Times New Roman"/>
          <w:sz w:val="28"/>
          <w:szCs w:val="28"/>
        </w:rPr>
        <w:t>This statute was found unconstitutional for violating the</w:t>
      </w:r>
      <w:r w:rsidR="009007A6">
        <w:rPr>
          <w:rFonts w:ascii="Times New Roman" w:hAnsi="Times New Roman"/>
          <w:sz w:val="28"/>
          <w:szCs w:val="28"/>
        </w:rPr>
        <w:t xml:space="preserve"> separation of powers doctrine. </w:t>
      </w:r>
      <w:r w:rsidR="009007A6">
        <w:rPr>
          <w:rFonts w:ascii="Times New Roman" w:hAnsi="Times New Roman"/>
          <w:i/>
          <w:iCs/>
          <w:sz w:val="28"/>
          <w:szCs w:val="28"/>
        </w:rPr>
        <w:t>Lear v. Fields</w:t>
      </w:r>
      <w:r w:rsidR="009007A6">
        <w:rPr>
          <w:rFonts w:ascii="Times New Roman" w:hAnsi="Times New Roman"/>
          <w:sz w:val="28"/>
          <w:szCs w:val="28"/>
        </w:rPr>
        <w:t xml:space="preserve">, 226 Ariz. 226, 233 ¶ 22 (App. 2011). </w:t>
      </w:r>
      <w:r w:rsidR="00F7423B">
        <w:rPr>
          <w:rFonts w:ascii="Times New Roman" w:hAnsi="Times New Roman"/>
          <w:sz w:val="28"/>
          <w:szCs w:val="28"/>
        </w:rPr>
        <w:t>Simultaneously</w:t>
      </w:r>
      <w:r w:rsidR="00FD1382">
        <w:rPr>
          <w:rFonts w:ascii="Times New Roman" w:hAnsi="Times New Roman"/>
          <w:sz w:val="28"/>
          <w:szCs w:val="28"/>
        </w:rPr>
        <w:t>, in March 2010, th</w:t>
      </w:r>
      <w:r w:rsidR="00F7423B">
        <w:rPr>
          <w:rFonts w:ascii="Times New Roman" w:hAnsi="Times New Roman"/>
          <w:sz w:val="28"/>
          <w:szCs w:val="28"/>
        </w:rPr>
        <w:t>is</w:t>
      </w:r>
      <w:r w:rsidR="00FD1382">
        <w:rPr>
          <w:rFonts w:ascii="Times New Roman" w:hAnsi="Times New Roman"/>
          <w:sz w:val="28"/>
          <w:szCs w:val="28"/>
        </w:rPr>
        <w:t xml:space="preserve"> Court established </w:t>
      </w:r>
      <w:r w:rsidR="00C63C83">
        <w:rPr>
          <w:rFonts w:ascii="Times New Roman" w:hAnsi="Times New Roman"/>
          <w:sz w:val="28"/>
          <w:szCs w:val="28"/>
        </w:rPr>
        <w:t>the</w:t>
      </w:r>
      <w:r w:rsidR="00FD1382">
        <w:rPr>
          <w:rFonts w:ascii="Times New Roman" w:hAnsi="Times New Roman"/>
          <w:sz w:val="28"/>
          <w:szCs w:val="28"/>
        </w:rPr>
        <w:t xml:space="preserve"> Ad Hoc Committee on Rules of Evidence, </w:t>
      </w:r>
      <w:r w:rsidR="00C63C83">
        <w:rPr>
          <w:rFonts w:ascii="Times New Roman" w:hAnsi="Times New Roman"/>
          <w:sz w:val="28"/>
          <w:szCs w:val="28"/>
        </w:rPr>
        <w:t>charged</w:t>
      </w:r>
      <w:r w:rsidR="00FD1382">
        <w:rPr>
          <w:rFonts w:ascii="Times New Roman" w:hAnsi="Times New Roman"/>
          <w:sz w:val="28"/>
          <w:szCs w:val="28"/>
        </w:rPr>
        <w:t xml:space="preserve"> with comparing the Arizona Rules to the restyled Federal Rules and providing input on possible conforming changes to the Arizona Rules. </w:t>
      </w:r>
      <w:hyperlink r:id="rId14" w:history="1">
        <w:r w:rsidR="00FD1382" w:rsidRPr="00C63C83">
          <w:rPr>
            <w:rStyle w:val="Hyperlink"/>
            <w:rFonts w:ascii="Times New Roman" w:hAnsi="Times New Roman"/>
            <w:sz w:val="28"/>
            <w:szCs w:val="28"/>
          </w:rPr>
          <w:t>Ariz. Supreme Ct. Admin. Order No. 2010-42</w:t>
        </w:r>
      </w:hyperlink>
      <w:r w:rsidR="00C63C83">
        <w:rPr>
          <w:rFonts w:ascii="Times New Roman" w:hAnsi="Times New Roman"/>
          <w:sz w:val="28"/>
          <w:szCs w:val="28"/>
        </w:rPr>
        <w:t>.</w:t>
      </w:r>
      <w:r w:rsidR="00FD1382">
        <w:rPr>
          <w:rFonts w:ascii="Times New Roman" w:hAnsi="Times New Roman"/>
          <w:sz w:val="28"/>
          <w:szCs w:val="28"/>
        </w:rPr>
        <w:t xml:space="preserve"> </w:t>
      </w:r>
      <w:r>
        <w:rPr>
          <w:rFonts w:ascii="Times New Roman" w:hAnsi="Times New Roman"/>
          <w:sz w:val="28"/>
          <w:szCs w:val="28"/>
        </w:rPr>
        <w:t>T</w:t>
      </w:r>
      <w:r w:rsidR="00C63C83">
        <w:rPr>
          <w:rFonts w:ascii="Times New Roman" w:hAnsi="Times New Roman"/>
          <w:sz w:val="28"/>
          <w:szCs w:val="28"/>
        </w:rPr>
        <w:t>he committee</w:t>
      </w:r>
      <w:r>
        <w:rPr>
          <w:rFonts w:ascii="Times New Roman" w:hAnsi="Times New Roman"/>
          <w:sz w:val="28"/>
          <w:szCs w:val="28"/>
        </w:rPr>
        <w:t>, however,</w:t>
      </w:r>
      <w:r w:rsidR="00C63C83">
        <w:rPr>
          <w:rFonts w:ascii="Times New Roman" w:hAnsi="Times New Roman"/>
          <w:sz w:val="28"/>
          <w:szCs w:val="28"/>
        </w:rPr>
        <w:t xml:space="preserve"> was split on the issue </w:t>
      </w:r>
      <w:r>
        <w:rPr>
          <w:rFonts w:ascii="Times New Roman" w:hAnsi="Times New Roman"/>
          <w:sz w:val="28"/>
          <w:szCs w:val="28"/>
        </w:rPr>
        <w:t>of expert testimony,</w:t>
      </w:r>
      <w:r w:rsidR="00C63C83">
        <w:rPr>
          <w:rFonts w:ascii="Times New Roman" w:hAnsi="Times New Roman"/>
          <w:sz w:val="28"/>
          <w:szCs w:val="28"/>
        </w:rPr>
        <w:t xml:space="preserve"> </w:t>
      </w:r>
      <w:r>
        <w:rPr>
          <w:rFonts w:ascii="Times New Roman" w:hAnsi="Times New Roman"/>
          <w:sz w:val="28"/>
          <w:szCs w:val="28"/>
        </w:rPr>
        <w:t>and its</w:t>
      </w:r>
      <w:r w:rsidR="00C63C83">
        <w:rPr>
          <w:rFonts w:ascii="Times New Roman" w:hAnsi="Times New Roman"/>
          <w:sz w:val="28"/>
          <w:szCs w:val="28"/>
        </w:rPr>
        <w:t xml:space="preserve"> December 2010 Petition to amend the Arizona Rules of </w:t>
      </w:r>
      <w:r>
        <w:rPr>
          <w:rFonts w:ascii="Times New Roman" w:hAnsi="Times New Roman"/>
          <w:sz w:val="28"/>
          <w:szCs w:val="28"/>
        </w:rPr>
        <w:t>E</w:t>
      </w:r>
      <w:r w:rsidR="00C63C83">
        <w:rPr>
          <w:rFonts w:ascii="Times New Roman" w:hAnsi="Times New Roman"/>
          <w:sz w:val="28"/>
          <w:szCs w:val="28"/>
        </w:rPr>
        <w:t xml:space="preserve">vidence took no position with respect to Rule 702, </w:t>
      </w:r>
      <w:r>
        <w:rPr>
          <w:rFonts w:ascii="Times New Roman" w:hAnsi="Times New Roman"/>
          <w:sz w:val="28"/>
          <w:szCs w:val="28"/>
        </w:rPr>
        <w:t xml:space="preserve">instead laying </w:t>
      </w:r>
      <w:r w:rsidR="00C63C83">
        <w:rPr>
          <w:rFonts w:ascii="Times New Roman" w:hAnsi="Times New Roman"/>
          <w:sz w:val="28"/>
          <w:szCs w:val="28"/>
        </w:rPr>
        <w:t>out three options for the Court’s consideration</w:t>
      </w:r>
      <w:r>
        <w:rPr>
          <w:rFonts w:ascii="Times New Roman" w:hAnsi="Times New Roman"/>
          <w:sz w:val="28"/>
          <w:szCs w:val="28"/>
        </w:rPr>
        <w:t>: keeping Rule 702 as it was, revising it to conform to the federal rule, or taking a hybrid approach of partial adoption of the federal rule</w:t>
      </w:r>
      <w:r w:rsidR="00C63C83">
        <w:rPr>
          <w:rFonts w:ascii="Times New Roman" w:hAnsi="Times New Roman"/>
          <w:sz w:val="28"/>
          <w:szCs w:val="28"/>
        </w:rPr>
        <w:t xml:space="preserve">. </w:t>
      </w:r>
      <w:hyperlink r:id="rId15" w:history="1">
        <w:r w:rsidR="00C63C83" w:rsidRPr="00C63C83">
          <w:rPr>
            <w:rStyle w:val="Hyperlink"/>
            <w:rFonts w:ascii="Times New Roman" w:hAnsi="Times New Roman"/>
            <w:sz w:val="28"/>
            <w:szCs w:val="28"/>
          </w:rPr>
          <w:t>Rule Petition R-10-0035</w:t>
        </w:r>
      </w:hyperlink>
      <w:r w:rsidR="00C63C83">
        <w:rPr>
          <w:rFonts w:ascii="Times New Roman" w:hAnsi="Times New Roman"/>
          <w:sz w:val="28"/>
          <w:szCs w:val="28"/>
        </w:rPr>
        <w:t xml:space="preserve">. </w:t>
      </w:r>
      <w:r w:rsidR="003559C8">
        <w:rPr>
          <w:rFonts w:ascii="Times New Roman" w:hAnsi="Times New Roman"/>
          <w:sz w:val="28"/>
          <w:szCs w:val="28"/>
        </w:rPr>
        <w:t>In September 2011, th</w:t>
      </w:r>
      <w:r w:rsidR="002C2E43">
        <w:rPr>
          <w:rFonts w:ascii="Times New Roman" w:hAnsi="Times New Roman"/>
          <w:sz w:val="28"/>
          <w:szCs w:val="28"/>
        </w:rPr>
        <w:t>is</w:t>
      </w:r>
      <w:r w:rsidR="003559C8">
        <w:rPr>
          <w:rFonts w:ascii="Times New Roman" w:hAnsi="Times New Roman"/>
          <w:sz w:val="28"/>
          <w:szCs w:val="28"/>
        </w:rPr>
        <w:t xml:space="preserve"> Court adopted an amendment to Arizona Rule 702 conforming it to its federal counterpart; amended Rule 702</w:t>
      </w:r>
      <w:r w:rsidR="002C2E43">
        <w:rPr>
          <w:rFonts w:ascii="Times New Roman" w:hAnsi="Times New Roman"/>
          <w:sz w:val="28"/>
          <w:szCs w:val="28"/>
        </w:rPr>
        <w:t xml:space="preserve">, which mirrored the </w:t>
      </w:r>
      <w:r w:rsidR="002C2E43">
        <w:rPr>
          <w:rFonts w:ascii="Times New Roman" w:hAnsi="Times New Roman"/>
          <w:i/>
          <w:iCs/>
          <w:sz w:val="28"/>
          <w:szCs w:val="28"/>
        </w:rPr>
        <w:t xml:space="preserve">Daubert </w:t>
      </w:r>
      <w:r w:rsidR="002C2E43">
        <w:rPr>
          <w:rFonts w:ascii="Times New Roman" w:hAnsi="Times New Roman"/>
          <w:sz w:val="28"/>
          <w:szCs w:val="28"/>
        </w:rPr>
        <w:t>standard,</w:t>
      </w:r>
      <w:r w:rsidR="003559C8">
        <w:rPr>
          <w:rFonts w:ascii="Times New Roman" w:hAnsi="Times New Roman"/>
          <w:sz w:val="28"/>
          <w:szCs w:val="28"/>
        </w:rPr>
        <w:t xml:space="preserve"> went into effect on January 1, 2012. </w:t>
      </w:r>
    </w:p>
    <w:p w14:paraId="06ACE427" w14:textId="13B1A4D8" w:rsidR="0009256E" w:rsidRDefault="004440E1" w:rsidP="00457D8F">
      <w:pPr>
        <w:pStyle w:val="ListParagraph"/>
        <w:keepNext/>
        <w:numPr>
          <w:ilvl w:val="0"/>
          <w:numId w:val="9"/>
        </w:numPr>
        <w:spacing w:line="240" w:lineRule="auto"/>
        <w:ind w:right="720"/>
        <w:jc w:val="both"/>
        <w:rPr>
          <w:rFonts w:ascii="Times New Roman" w:hAnsi="Times New Roman"/>
          <w:b/>
          <w:bCs/>
          <w:sz w:val="28"/>
          <w:szCs w:val="28"/>
          <w:u w:val="single"/>
        </w:rPr>
      </w:pPr>
      <w:r>
        <w:rPr>
          <w:rFonts w:ascii="Times New Roman" w:hAnsi="Times New Roman"/>
          <w:b/>
          <w:bCs/>
          <w:sz w:val="28"/>
          <w:szCs w:val="28"/>
          <w:u w:val="single"/>
        </w:rPr>
        <w:lastRenderedPageBreak/>
        <w:t xml:space="preserve">The federal and state rules should conform, as Arizona </w:t>
      </w:r>
      <w:r w:rsidR="00F7423B">
        <w:rPr>
          <w:rFonts w:ascii="Times New Roman" w:hAnsi="Times New Roman"/>
          <w:b/>
          <w:bCs/>
          <w:sz w:val="28"/>
          <w:szCs w:val="28"/>
          <w:u w:val="single"/>
        </w:rPr>
        <w:t>c</w:t>
      </w:r>
      <w:r w:rsidR="0009256E">
        <w:rPr>
          <w:rFonts w:ascii="Times New Roman" w:hAnsi="Times New Roman"/>
          <w:b/>
          <w:bCs/>
          <w:sz w:val="28"/>
          <w:szCs w:val="28"/>
          <w:u w:val="single"/>
        </w:rPr>
        <w:t xml:space="preserve">ourts frequently rely on federal </w:t>
      </w:r>
      <w:r>
        <w:rPr>
          <w:rFonts w:ascii="Times New Roman" w:hAnsi="Times New Roman"/>
          <w:b/>
          <w:bCs/>
          <w:sz w:val="28"/>
          <w:szCs w:val="28"/>
          <w:u w:val="single"/>
        </w:rPr>
        <w:t>caselaw when determining whether expert testimony was properly admitted/precluded under Rule 702.</w:t>
      </w:r>
    </w:p>
    <w:p w14:paraId="2732BCDC" w14:textId="77777777" w:rsidR="0031349A" w:rsidRDefault="0031349A" w:rsidP="00457D8F">
      <w:pPr>
        <w:pStyle w:val="ListParagraph"/>
        <w:keepNext/>
        <w:spacing w:line="240" w:lineRule="auto"/>
        <w:ind w:right="720"/>
        <w:jc w:val="both"/>
        <w:rPr>
          <w:rFonts w:ascii="Times New Roman" w:hAnsi="Times New Roman"/>
          <w:b/>
          <w:bCs/>
          <w:sz w:val="28"/>
          <w:szCs w:val="28"/>
          <w:u w:val="single"/>
        </w:rPr>
      </w:pPr>
    </w:p>
    <w:p w14:paraId="4EFF0FE1" w14:textId="77777777" w:rsidR="004123FF" w:rsidRDefault="00B0085F" w:rsidP="00F7423B">
      <w:pPr>
        <w:spacing w:line="480" w:lineRule="auto"/>
        <w:ind w:firstLine="720"/>
        <w:jc w:val="both"/>
        <w:rPr>
          <w:rFonts w:ascii="Times New Roman" w:hAnsi="Times New Roman"/>
          <w:sz w:val="28"/>
          <w:szCs w:val="28"/>
        </w:rPr>
      </w:pPr>
      <w:r>
        <w:rPr>
          <w:rFonts w:ascii="Times New Roman" w:hAnsi="Times New Roman"/>
          <w:sz w:val="28"/>
          <w:szCs w:val="28"/>
        </w:rPr>
        <w:t>As the Petition explains, FRE 702, the rule this Court was emulating with its 2012 amendment, is currently undergoing a revision expected to take effect at the end of the year.</w:t>
      </w:r>
      <w:r w:rsidR="004123FF">
        <w:rPr>
          <w:rFonts w:ascii="Times New Roman" w:hAnsi="Times New Roman"/>
          <w:sz w:val="28"/>
          <w:szCs w:val="28"/>
        </w:rPr>
        <w:t xml:space="preserve"> Once FRE 702 is amended, the Arizona Rule will no longer conform. As the Arizona legislature and this Court have previously made efforts to conform Ariz. R. Evid. 702 to its federal counterpart, the same should be true with the new amendment to FRE 702.</w:t>
      </w:r>
      <w:r>
        <w:rPr>
          <w:rFonts w:ascii="Times New Roman" w:hAnsi="Times New Roman"/>
          <w:sz w:val="28"/>
          <w:szCs w:val="28"/>
        </w:rPr>
        <w:t xml:space="preserve"> </w:t>
      </w:r>
    </w:p>
    <w:p w14:paraId="5FC08C1D" w14:textId="2C3F130D" w:rsidR="00F7423B" w:rsidRPr="00293672" w:rsidRDefault="00F7423B" w:rsidP="004123FF">
      <w:pPr>
        <w:spacing w:line="480" w:lineRule="auto"/>
        <w:ind w:firstLine="720"/>
        <w:jc w:val="both"/>
        <w:rPr>
          <w:rFonts w:ascii="Times New Roman" w:hAnsi="Times New Roman"/>
          <w:sz w:val="28"/>
          <w:szCs w:val="28"/>
        </w:rPr>
      </w:pPr>
      <w:r>
        <w:rPr>
          <w:rFonts w:ascii="Times New Roman" w:hAnsi="Times New Roman"/>
          <w:sz w:val="28"/>
          <w:szCs w:val="28"/>
        </w:rPr>
        <w:t>“</w:t>
      </w:r>
      <w:r w:rsidR="003559C8">
        <w:rPr>
          <w:rFonts w:ascii="Times New Roman" w:hAnsi="Times New Roman"/>
          <w:sz w:val="28"/>
          <w:szCs w:val="28"/>
        </w:rPr>
        <w:t xml:space="preserve">When an Arizona evidentiary rule mirrors the corresponding federal rule, </w:t>
      </w:r>
      <w:r>
        <w:rPr>
          <w:rFonts w:ascii="Times New Roman" w:hAnsi="Times New Roman"/>
          <w:sz w:val="28"/>
          <w:szCs w:val="28"/>
        </w:rPr>
        <w:t>[</w:t>
      </w:r>
      <w:r w:rsidR="003559C8">
        <w:rPr>
          <w:rFonts w:ascii="Times New Roman" w:hAnsi="Times New Roman"/>
          <w:sz w:val="28"/>
          <w:szCs w:val="28"/>
        </w:rPr>
        <w:t>Arizona courts</w:t>
      </w:r>
      <w:r>
        <w:rPr>
          <w:rFonts w:ascii="Times New Roman" w:hAnsi="Times New Roman"/>
          <w:sz w:val="28"/>
          <w:szCs w:val="28"/>
        </w:rPr>
        <w:t>]</w:t>
      </w:r>
      <w:r w:rsidR="003559C8">
        <w:rPr>
          <w:rFonts w:ascii="Times New Roman" w:hAnsi="Times New Roman"/>
          <w:sz w:val="28"/>
          <w:szCs w:val="28"/>
        </w:rPr>
        <w:t xml:space="preserve"> look to federal law for guidance.</w:t>
      </w:r>
      <w:r>
        <w:rPr>
          <w:rFonts w:ascii="Times New Roman" w:hAnsi="Times New Roman"/>
          <w:sz w:val="28"/>
          <w:szCs w:val="28"/>
        </w:rPr>
        <w:t>”</w:t>
      </w:r>
      <w:r w:rsidR="003559C8">
        <w:rPr>
          <w:rFonts w:ascii="Times New Roman" w:hAnsi="Times New Roman"/>
          <w:sz w:val="28"/>
          <w:szCs w:val="28"/>
        </w:rPr>
        <w:t xml:space="preserve"> </w:t>
      </w:r>
      <w:r w:rsidR="0031349A">
        <w:rPr>
          <w:rFonts w:ascii="Times New Roman" w:hAnsi="Times New Roman"/>
          <w:i/>
          <w:iCs/>
          <w:sz w:val="28"/>
          <w:szCs w:val="28"/>
        </w:rPr>
        <w:t>Winegardner</w:t>
      </w:r>
      <w:r w:rsidR="003559C8">
        <w:rPr>
          <w:rFonts w:ascii="Times New Roman" w:hAnsi="Times New Roman"/>
          <w:sz w:val="28"/>
          <w:szCs w:val="28"/>
        </w:rPr>
        <w:t xml:space="preserve">, </w:t>
      </w:r>
      <w:r w:rsidR="0031349A">
        <w:rPr>
          <w:rFonts w:ascii="Times New Roman" w:hAnsi="Times New Roman"/>
          <w:sz w:val="28"/>
          <w:szCs w:val="28"/>
        </w:rPr>
        <w:t xml:space="preserve">243 Ariz. at 485 ¶ 8 (citing </w:t>
      </w:r>
      <w:r w:rsidR="0031349A">
        <w:rPr>
          <w:rFonts w:ascii="Times New Roman" w:hAnsi="Times New Roman"/>
          <w:i/>
          <w:iCs/>
          <w:sz w:val="28"/>
          <w:szCs w:val="28"/>
        </w:rPr>
        <w:t>Hernandez v. State</w:t>
      </w:r>
      <w:r w:rsidR="0031349A">
        <w:rPr>
          <w:rFonts w:ascii="Times New Roman" w:hAnsi="Times New Roman"/>
          <w:sz w:val="28"/>
          <w:szCs w:val="28"/>
        </w:rPr>
        <w:t xml:space="preserve">, 203 Ariz. 196, 198 ¶ 10 (2002); Ariz. R. Evid. Prefatory cmt. to 2012 amendments). </w:t>
      </w:r>
      <w:r>
        <w:rPr>
          <w:rFonts w:ascii="Times New Roman" w:hAnsi="Times New Roman"/>
          <w:sz w:val="28"/>
          <w:szCs w:val="28"/>
        </w:rPr>
        <w:t>F</w:t>
      </w:r>
      <w:r w:rsidR="0031349A">
        <w:rPr>
          <w:rFonts w:ascii="Times New Roman" w:hAnsi="Times New Roman"/>
          <w:sz w:val="28"/>
          <w:szCs w:val="28"/>
        </w:rPr>
        <w:t>ederal precedent, although not controlling, “is particularly persuasive given that we have expressly sought to conform our rules to the federal rule</w:t>
      </w:r>
      <w:r>
        <w:rPr>
          <w:rFonts w:ascii="Times New Roman" w:hAnsi="Times New Roman"/>
          <w:sz w:val="28"/>
          <w:szCs w:val="28"/>
        </w:rPr>
        <w:t>s</w:t>
      </w:r>
      <w:r w:rsidR="0031349A">
        <w:rPr>
          <w:rFonts w:ascii="Times New Roman" w:hAnsi="Times New Roman"/>
          <w:sz w:val="28"/>
          <w:szCs w:val="28"/>
        </w:rPr>
        <w:t xml:space="preserve">.” </w:t>
      </w:r>
      <w:r w:rsidR="0031349A">
        <w:rPr>
          <w:rFonts w:ascii="Times New Roman" w:hAnsi="Times New Roman"/>
          <w:i/>
          <w:iCs/>
          <w:sz w:val="28"/>
          <w:szCs w:val="28"/>
        </w:rPr>
        <w:t>Id.</w:t>
      </w:r>
      <w:r w:rsidR="0031349A">
        <w:rPr>
          <w:rFonts w:ascii="Times New Roman" w:hAnsi="Times New Roman"/>
          <w:sz w:val="28"/>
          <w:szCs w:val="28"/>
        </w:rPr>
        <w:t xml:space="preserve"> </w:t>
      </w:r>
      <w:r w:rsidR="004123FF">
        <w:rPr>
          <w:rFonts w:ascii="Times New Roman" w:hAnsi="Times New Roman"/>
          <w:sz w:val="28"/>
          <w:szCs w:val="28"/>
        </w:rPr>
        <w:t>By amending Arizona</w:t>
      </w:r>
      <w:r w:rsidR="00293672">
        <w:rPr>
          <w:rFonts w:ascii="Times New Roman" w:hAnsi="Times New Roman"/>
          <w:sz w:val="28"/>
          <w:szCs w:val="28"/>
        </w:rPr>
        <w:t xml:space="preserve"> Rule 702 in 2012 to </w:t>
      </w:r>
      <w:r w:rsidR="00B0085F">
        <w:rPr>
          <w:rFonts w:ascii="Times New Roman" w:hAnsi="Times New Roman"/>
          <w:sz w:val="28"/>
          <w:szCs w:val="28"/>
        </w:rPr>
        <w:t>bring our state rule back in sync with</w:t>
      </w:r>
      <w:r w:rsidR="00293672">
        <w:rPr>
          <w:rFonts w:ascii="Times New Roman" w:hAnsi="Times New Roman"/>
          <w:sz w:val="28"/>
          <w:szCs w:val="28"/>
        </w:rPr>
        <w:t xml:space="preserve"> the federal rule, Arizona courts gained “the advantage of being able to learn from and follow the reasoning of other courts as the</w:t>
      </w:r>
      <w:r w:rsidR="000E4A16">
        <w:rPr>
          <w:rFonts w:ascii="Times New Roman" w:hAnsi="Times New Roman"/>
          <w:sz w:val="28"/>
          <w:szCs w:val="28"/>
        </w:rPr>
        <w:t>y</w:t>
      </w:r>
      <w:r w:rsidR="00293672">
        <w:rPr>
          <w:rFonts w:ascii="Times New Roman" w:hAnsi="Times New Roman"/>
          <w:sz w:val="28"/>
          <w:szCs w:val="28"/>
        </w:rPr>
        <w:t xml:space="preserve"> develop and apply Rule 702.” </w:t>
      </w:r>
      <w:r w:rsidR="00293672">
        <w:rPr>
          <w:rFonts w:ascii="Times New Roman" w:hAnsi="Times New Roman"/>
          <w:i/>
          <w:iCs/>
          <w:sz w:val="28"/>
          <w:szCs w:val="28"/>
        </w:rPr>
        <w:t>Logerquist</w:t>
      </w:r>
      <w:r w:rsidR="00293672">
        <w:rPr>
          <w:rFonts w:ascii="Times New Roman" w:hAnsi="Times New Roman"/>
          <w:sz w:val="28"/>
          <w:szCs w:val="28"/>
        </w:rPr>
        <w:t>, 196 Ariz. at 498 ¶ 100 (</w:t>
      </w:r>
      <w:r w:rsidR="00BE11AA">
        <w:rPr>
          <w:rFonts w:ascii="Times New Roman" w:hAnsi="Times New Roman"/>
          <w:sz w:val="28"/>
          <w:szCs w:val="28"/>
        </w:rPr>
        <w:t>McGregor, J., dissenting). Since the</w:t>
      </w:r>
      <w:r>
        <w:rPr>
          <w:rFonts w:ascii="Times New Roman" w:hAnsi="Times New Roman"/>
          <w:sz w:val="28"/>
          <w:szCs w:val="28"/>
        </w:rPr>
        <w:t>n</w:t>
      </w:r>
      <w:r w:rsidR="00BE11AA">
        <w:rPr>
          <w:rFonts w:ascii="Times New Roman" w:hAnsi="Times New Roman"/>
          <w:sz w:val="28"/>
          <w:szCs w:val="28"/>
        </w:rPr>
        <w:t xml:space="preserve">, Arizona courts have routinely relied on the comment to the federal rule and federal precedent when determining whether expert testimony is admissible under Rule 702. </w:t>
      </w:r>
      <w:r w:rsidR="00BE11AA">
        <w:rPr>
          <w:rFonts w:ascii="Times New Roman" w:hAnsi="Times New Roman"/>
          <w:i/>
          <w:iCs/>
          <w:sz w:val="28"/>
          <w:szCs w:val="28"/>
        </w:rPr>
        <w:t>See, e.g.</w:t>
      </w:r>
      <w:r w:rsidR="00BE11AA">
        <w:rPr>
          <w:rFonts w:ascii="Times New Roman" w:hAnsi="Times New Roman"/>
          <w:sz w:val="28"/>
          <w:szCs w:val="28"/>
        </w:rPr>
        <w:t>,</w:t>
      </w:r>
      <w:r w:rsidR="00BE11AA">
        <w:rPr>
          <w:rFonts w:ascii="Times New Roman" w:hAnsi="Times New Roman"/>
          <w:i/>
          <w:iCs/>
          <w:sz w:val="28"/>
          <w:szCs w:val="28"/>
        </w:rPr>
        <w:t xml:space="preserve"> State v. Romero</w:t>
      </w:r>
      <w:r w:rsidR="00BE11AA">
        <w:rPr>
          <w:rFonts w:ascii="Times New Roman" w:hAnsi="Times New Roman"/>
          <w:sz w:val="28"/>
          <w:szCs w:val="28"/>
        </w:rPr>
        <w:t xml:space="preserve">, 236 Ariz. 451, 456 ¶ 14 (App. 2014) (firearms </w:t>
      </w:r>
      <w:r w:rsidR="00BE11AA">
        <w:rPr>
          <w:rFonts w:ascii="Times New Roman" w:hAnsi="Times New Roman"/>
          <w:sz w:val="28"/>
          <w:szCs w:val="28"/>
        </w:rPr>
        <w:lastRenderedPageBreak/>
        <w:t xml:space="preserve">identification testimony), </w:t>
      </w:r>
      <w:r w:rsidR="00BE11AA">
        <w:rPr>
          <w:rFonts w:ascii="Times New Roman" w:hAnsi="Times New Roman"/>
          <w:i/>
          <w:iCs/>
          <w:sz w:val="28"/>
          <w:szCs w:val="28"/>
        </w:rPr>
        <w:t>opinion vacated in part</w:t>
      </w:r>
      <w:r w:rsidR="00BE11AA">
        <w:rPr>
          <w:rFonts w:ascii="Times New Roman" w:hAnsi="Times New Roman"/>
          <w:sz w:val="28"/>
          <w:szCs w:val="28"/>
        </w:rPr>
        <w:t xml:space="preserve">, 239 Ariz. 6, ¶ 14 (2016); </w:t>
      </w:r>
      <w:r w:rsidR="00BE11AA">
        <w:rPr>
          <w:rFonts w:ascii="Times New Roman" w:hAnsi="Times New Roman"/>
          <w:i/>
          <w:iCs/>
          <w:sz w:val="28"/>
          <w:szCs w:val="28"/>
        </w:rPr>
        <w:t>State v. Salazar-Mercado</w:t>
      </w:r>
      <w:r w:rsidR="00BE11AA">
        <w:rPr>
          <w:rFonts w:ascii="Times New Roman" w:hAnsi="Times New Roman"/>
          <w:sz w:val="28"/>
          <w:szCs w:val="28"/>
        </w:rPr>
        <w:t>, 234 Ariz. 590, 593 ¶¶ 8-10</w:t>
      </w:r>
      <w:r w:rsidR="000E4A16">
        <w:rPr>
          <w:rFonts w:ascii="Times New Roman" w:hAnsi="Times New Roman"/>
          <w:sz w:val="28"/>
          <w:szCs w:val="28"/>
        </w:rPr>
        <w:t xml:space="preserve"> (2014)</w:t>
      </w:r>
      <w:r w:rsidR="00BE11AA">
        <w:rPr>
          <w:rFonts w:ascii="Times New Roman" w:hAnsi="Times New Roman"/>
          <w:sz w:val="28"/>
          <w:szCs w:val="28"/>
        </w:rPr>
        <w:t xml:space="preserve"> (“cold” expert testimony); </w:t>
      </w:r>
      <w:r w:rsidR="00BE11AA">
        <w:rPr>
          <w:rFonts w:ascii="Times New Roman" w:hAnsi="Times New Roman"/>
          <w:i/>
          <w:iCs/>
          <w:sz w:val="28"/>
          <w:szCs w:val="28"/>
        </w:rPr>
        <w:t>State v. Delgado</w:t>
      </w:r>
      <w:r w:rsidR="00BE11AA">
        <w:rPr>
          <w:rFonts w:ascii="Times New Roman" w:hAnsi="Times New Roman"/>
          <w:sz w:val="28"/>
          <w:szCs w:val="28"/>
        </w:rPr>
        <w:t xml:space="preserve">, 232 Ariz. 182, 186-87 ¶¶ 11-17 </w:t>
      </w:r>
      <w:r w:rsidR="000E4A16">
        <w:rPr>
          <w:rFonts w:ascii="Times New Roman" w:hAnsi="Times New Roman"/>
          <w:sz w:val="28"/>
          <w:szCs w:val="28"/>
        </w:rPr>
        <w:t xml:space="preserve">(App. 2013) </w:t>
      </w:r>
      <w:r w:rsidR="00BE11AA">
        <w:rPr>
          <w:rFonts w:ascii="Times New Roman" w:hAnsi="Times New Roman"/>
          <w:sz w:val="28"/>
          <w:szCs w:val="28"/>
        </w:rPr>
        <w:t xml:space="preserve">(strangulation expert). If the current rule is not amended to reflect the change to the corresponding federal rule, Arizona will once again be at a disadvantage. </w:t>
      </w:r>
    </w:p>
    <w:p w14:paraId="27037DBF" w14:textId="666AA03A" w:rsidR="004440E1" w:rsidRDefault="004440E1" w:rsidP="004440E1">
      <w:pPr>
        <w:pStyle w:val="ListParagraph"/>
        <w:numPr>
          <w:ilvl w:val="0"/>
          <w:numId w:val="9"/>
        </w:numPr>
        <w:spacing w:line="240" w:lineRule="auto"/>
        <w:ind w:right="720"/>
        <w:jc w:val="both"/>
        <w:rPr>
          <w:rFonts w:ascii="Times New Roman" w:hAnsi="Times New Roman"/>
          <w:b/>
          <w:bCs/>
          <w:sz w:val="28"/>
          <w:szCs w:val="28"/>
          <w:u w:val="single"/>
        </w:rPr>
      </w:pPr>
      <w:r>
        <w:rPr>
          <w:rFonts w:ascii="Times New Roman" w:hAnsi="Times New Roman"/>
          <w:b/>
          <w:bCs/>
          <w:sz w:val="28"/>
          <w:szCs w:val="28"/>
          <w:u w:val="single"/>
        </w:rPr>
        <w:t>The Rule should be amended to provide greater guidance to the lower courts on how to properly apply the standard.</w:t>
      </w:r>
    </w:p>
    <w:p w14:paraId="2391B361" w14:textId="77777777" w:rsidR="004440E1" w:rsidRDefault="004440E1" w:rsidP="004440E1">
      <w:pPr>
        <w:pStyle w:val="ListParagraph"/>
        <w:spacing w:line="240" w:lineRule="auto"/>
        <w:ind w:right="720"/>
        <w:jc w:val="both"/>
        <w:rPr>
          <w:rFonts w:ascii="Times New Roman" w:hAnsi="Times New Roman"/>
          <w:b/>
          <w:bCs/>
          <w:sz w:val="28"/>
          <w:szCs w:val="28"/>
          <w:u w:val="single"/>
        </w:rPr>
      </w:pPr>
    </w:p>
    <w:p w14:paraId="6C4862F2" w14:textId="044C58F5" w:rsidR="004440E1" w:rsidRPr="00614C50" w:rsidRDefault="004440E1" w:rsidP="00C84F85">
      <w:pPr>
        <w:spacing w:line="480" w:lineRule="auto"/>
        <w:ind w:firstLine="720"/>
        <w:jc w:val="both"/>
        <w:rPr>
          <w:rFonts w:ascii="Times New Roman" w:hAnsi="Times New Roman"/>
          <w:sz w:val="28"/>
          <w:szCs w:val="28"/>
        </w:rPr>
      </w:pPr>
      <w:r>
        <w:rPr>
          <w:rFonts w:ascii="Times New Roman" w:hAnsi="Times New Roman"/>
          <w:sz w:val="28"/>
          <w:szCs w:val="28"/>
        </w:rPr>
        <w:t xml:space="preserve">The impetus behind the </w:t>
      </w:r>
      <w:r w:rsidR="00A14AF0">
        <w:rPr>
          <w:rFonts w:ascii="Times New Roman" w:hAnsi="Times New Roman"/>
          <w:sz w:val="28"/>
          <w:szCs w:val="28"/>
        </w:rPr>
        <w:t xml:space="preserve">pending </w:t>
      </w:r>
      <w:r>
        <w:rPr>
          <w:rFonts w:ascii="Times New Roman" w:hAnsi="Times New Roman"/>
          <w:sz w:val="28"/>
          <w:szCs w:val="28"/>
        </w:rPr>
        <w:t xml:space="preserve">amendment to the federal rule </w:t>
      </w:r>
      <w:r w:rsidR="00217EA9">
        <w:rPr>
          <w:rFonts w:ascii="Times New Roman" w:hAnsi="Times New Roman"/>
          <w:sz w:val="28"/>
          <w:szCs w:val="28"/>
        </w:rPr>
        <w:t xml:space="preserve">(to </w:t>
      </w:r>
      <w:r>
        <w:rPr>
          <w:rFonts w:ascii="Times New Roman" w:hAnsi="Times New Roman"/>
          <w:sz w:val="28"/>
          <w:szCs w:val="28"/>
        </w:rPr>
        <w:t>which this Petition now seeks to conform the Arizona rule</w:t>
      </w:r>
      <w:r w:rsidR="00217EA9">
        <w:rPr>
          <w:rFonts w:ascii="Times New Roman" w:hAnsi="Times New Roman"/>
          <w:sz w:val="28"/>
          <w:szCs w:val="28"/>
        </w:rPr>
        <w:t>)</w:t>
      </w:r>
      <w:r>
        <w:rPr>
          <w:rFonts w:ascii="Times New Roman" w:hAnsi="Times New Roman"/>
          <w:sz w:val="28"/>
          <w:szCs w:val="28"/>
        </w:rPr>
        <w:t xml:space="preserve"> was the fact that the lower federal courts were not properly applying the new standard</w:t>
      </w:r>
      <w:r w:rsidR="00D821A6">
        <w:rPr>
          <w:rFonts w:ascii="Times New Roman" w:hAnsi="Times New Roman"/>
          <w:sz w:val="28"/>
          <w:szCs w:val="28"/>
        </w:rPr>
        <w:t xml:space="preserve"> and were failing to perform the required gatekeeping function</w:t>
      </w:r>
      <w:r>
        <w:rPr>
          <w:rFonts w:ascii="Times New Roman" w:hAnsi="Times New Roman"/>
          <w:sz w:val="28"/>
          <w:szCs w:val="28"/>
        </w:rPr>
        <w:t>.</w:t>
      </w:r>
      <w:r w:rsidR="00A97ACE">
        <w:rPr>
          <w:rFonts w:ascii="Times New Roman" w:hAnsi="Times New Roman"/>
          <w:sz w:val="28"/>
          <w:szCs w:val="28"/>
        </w:rPr>
        <w:t xml:space="preserve"> In its final report recommending the amendment to FRE 702, the Committee on Rules of Practice and Procedure noted that the amendment was “designed to reject the view of some courts that the reliability requirements set forth in Rule 702(b) and (d)—that the expert has relied on sufficient facts or data and has reliably applied a reliable methodology to the facts—are questions of weight and not </w:t>
      </w:r>
      <w:r w:rsidR="00614C50">
        <w:rPr>
          <w:rFonts w:ascii="Times New Roman" w:hAnsi="Times New Roman"/>
          <w:sz w:val="28"/>
          <w:szCs w:val="28"/>
        </w:rPr>
        <w:t>admissibility</w:t>
      </w:r>
      <w:r w:rsidR="00A97ACE">
        <w:rPr>
          <w:rFonts w:ascii="Times New Roman" w:hAnsi="Times New Roman"/>
          <w:sz w:val="28"/>
          <w:szCs w:val="28"/>
        </w:rPr>
        <w:t>, and more broadly that expert testimony is presumed to be admissible.”</w:t>
      </w:r>
      <w:r w:rsidR="00614C50">
        <w:rPr>
          <w:rFonts w:ascii="Times New Roman" w:hAnsi="Times New Roman"/>
          <w:i/>
          <w:iCs/>
          <w:sz w:val="28"/>
          <w:szCs w:val="28"/>
        </w:rPr>
        <w:t xml:space="preserve"> </w:t>
      </w:r>
      <w:hyperlink r:id="rId16" w:history="1">
        <w:r w:rsidR="00614C50">
          <w:rPr>
            <w:rStyle w:val="Hyperlink"/>
            <w:rFonts w:ascii="Times New Roman" w:hAnsi="Times New Roman"/>
            <w:sz w:val="28"/>
            <w:szCs w:val="28"/>
          </w:rPr>
          <w:t>Standing Committee R</w:t>
        </w:r>
        <w:r w:rsidR="00614C50" w:rsidRPr="00614C50">
          <w:rPr>
            <w:rStyle w:val="Hyperlink"/>
            <w:rFonts w:ascii="Times New Roman" w:hAnsi="Times New Roman"/>
            <w:sz w:val="28"/>
            <w:szCs w:val="28"/>
          </w:rPr>
          <w:t>epor</w:t>
        </w:r>
        <w:r w:rsidR="00614C50">
          <w:rPr>
            <w:rStyle w:val="Hyperlink"/>
            <w:rFonts w:ascii="Times New Roman" w:hAnsi="Times New Roman"/>
            <w:sz w:val="28"/>
            <w:szCs w:val="28"/>
          </w:rPr>
          <w:t>t to the Judicial Conference</w:t>
        </w:r>
      </w:hyperlink>
      <w:r w:rsidR="00614C50">
        <w:rPr>
          <w:rFonts w:ascii="Times New Roman" w:hAnsi="Times New Roman"/>
          <w:sz w:val="28"/>
          <w:szCs w:val="28"/>
        </w:rPr>
        <w:t xml:space="preserve">, ep 25-26. Indeed, a study by the Lawyers for Civil Justice “revealed that in 61% of federal judicial districts (57 or 93), courts split over whether to apply the preponderance standard when assessing admissibility.” Mark A. Behrens &amp; Kateland R. Jackson, </w:t>
      </w:r>
      <w:hyperlink r:id="rId17" w:history="1">
        <w:r w:rsidR="00614C50" w:rsidRPr="00614C50">
          <w:rPr>
            <w:rStyle w:val="Hyperlink"/>
            <w:rFonts w:ascii="Times New Roman" w:hAnsi="Times New Roman"/>
            <w:i/>
            <w:iCs/>
            <w:sz w:val="28"/>
            <w:szCs w:val="28"/>
          </w:rPr>
          <w:t xml:space="preserve">Federal Judiciary’s Standing Committee Approves </w:t>
        </w:r>
        <w:r w:rsidR="000E4A16" w:rsidRPr="00614C50">
          <w:rPr>
            <w:rStyle w:val="Hyperlink"/>
            <w:rFonts w:ascii="Times New Roman" w:hAnsi="Times New Roman"/>
            <w:i/>
            <w:iCs/>
            <w:sz w:val="28"/>
            <w:szCs w:val="28"/>
          </w:rPr>
          <w:t>Changes</w:t>
        </w:r>
        <w:r w:rsidR="00614C50" w:rsidRPr="00614C50">
          <w:rPr>
            <w:rStyle w:val="Hyperlink"/>
            <w:rFonts w:ascii="Times New Roman" w:hAnsi="Times New Roman"/>
            <w:i/>
            <w:iCs/>
            <w:sz w:val="28"/>
            <w:szCs w:val="28"/>
          </w:rPr>
          <w:t xml:space="preserve"> </w:t>
        </w:r>
        <w:r w:rsidR="00614C50" w:rsidRPr="00614C50">
          <w:rPr>
            <w:rStyle w:val="Hyperlink"/>
            <w:rFonts w:ascii="Times New Roman" w:hAnsi="Times New Roman"/>
            <w:i/>
            <w:iCs/>
            <w:sz w:val="28"/>
            <w:szCs w:val="28"/>
          </w:rPr>
          <w:lastRenderedPageBreak/>
          <w:t>to Federal Rules of Evidence, Including Rule 702 Governing Expert Testimony</w:t>
        </w:r>
      </w:hyperlink>
      <w:r w:rsidR="00614C50">
        <w:rPr>
          <w:rFonts w:ascii="Times New Roman" w:hAnsi="Times New Roman"/>
          <w:sz w:val="28"/>
          <w:szCs w:val="28"/>
        </w:rPr>
        <w:t>, The Federalist Society, June 2022.</w:t>
      </w:r>
    </w:p>
    <w:p w14:paraId="54207399" w14:textId="3DD65EA7" w:rsidR="00EB304B" w:rsidRDefault="004440E1" w:rsidP="00C84F85">
      <w:pPr>
        <w:spacing w:line="480" w:lineRule="auto"/>
        <w:ind w:firstLine="720"/>
        <w:jc w:val="both"/>
        <w:rPr>
          <w:rFonts w:ascii="Times New Roman" w:hAnsi="Times New Roman"/>
          <w:sz w:val="28"/>
          <w:szCs w:val="28"/>
        </w:rPr>
      </w:pPr>
      <w:r>
        <w:rPr>
          <w:rFonts w:ascii="Times New Roman" w:hAnsi="Times New Roman"/>
          <w:sz w:val="28"/>
          <w:szCs w:val="28"/>
        </w:rPr>
        <w:t xml:space="preserve">The same is true in Arizona, where </w:t>
      </w:r>
      <w:r w:rsidR="00614C50">
        <w:rPr>
          <w:rFonts w:ascii="Times New Roman" w:hAnsi="Times New Roman"/>
          <w:sz w:val="28"/>
          <w:szCs w:val="28"/>
        </w:rPr>
        <w:t xml:space="preserve">courts </w:t>
      </w:r>
      <w:r w:rsidR="000E55B4">
        <w:rPr>
          <w:rFonts w:ascii="Times New Roman" w:hAnsi="Times New Roman"/>
          <w:sz w:val="28"/>
          <w:szCs w:val="28"/>
        </w:rPr>
        <w:t xml:space="preserve">have incorrectly continued to </w:t>
      </w:r>
      <w:r w:rsidR="00614C50">
        <w:rPr>
          <w:rFonts w:ascii="Times New Roman" w:hAnsi="Times New Roman"/>
          <w:sz w:val="28"/>
          <w:szCs w:val="28"/>
        </w:rPr>
        <w:t xml:space="preserve">presume that expert testimony is admissible and to rely on </w:t>
      </w:r>
      <w:r w:rsidR="003A33D0">
        <w:rPr>
          <w:rFonts w:ascii="Times New Roman" w:hAnsi="Times New Roman"/>
          <w:sz w:val="28"/>
          <w:szCs w:val="28"/>
        </w:rPr>
        <w:t>pre-</w:t>
      </w:r>
      <w:r w:rsidR="003A33D0">
        <w:rPr>
          <w:rFonts w:ascii="Times New Roman" w:hAnsi="Times New Roman"/>
          <w:i/>
          <w:iCs/>
          <w:sz w:val="28"/>
          <w:szCs w:val="28"/>
        </w:rPr>
        <w:t xml:space="preserve">Daubert </w:t>
      </w:r>
      <w:r w:rsidR="003A33D0">
        <w:rPr>
          <w:rFonts w:ascii="Times New Roman" w:hAnsi="Times New Roman"/>
          <w:sz w:val="28"/>
          <w:szCs w:val="28"/>
        </w:rPr>
        <w:t>caselaw</w:t>
      </w:r>
      <w:r w:rsidR="00723A5C">
        <w:rPr>
          <w:rFonts w:ascii="Times New Roman" w:hAnsi="Times New Roman"/>
          <w:sz w:val="28"/>
          <w:szCs w:val="28"/>
        </w:rPr>
        <w:t xml:space="preserve"> or practices</w:t>
      </w:r>
      <w:r w:rsidR="00614C50">
        <w:rPr>
          <w:rFonts w:ascii="Times New Roman" w:hAnsi="Times New Roman"/>
          <w:i/>
          <w:iCs/>
          <w:sz w:val="28"/>
          <w:szCs w:val="28"/>
        </w:rPr>
        <w:t xml:space="preserve"> </w:t>
      </w:r>
      <w:r w:rsidR="00614C50">
        <w:rPr>
          <w:rFonts w:ascii="Times New Roman" w:hAnsi="Times New Roman"/>
          <w:sz w:val="28"/>
          <w:szCs w:val="28"/>
        </w:rPr>
        <w:t xml:space="preserve">for the proposition that “[q]uestions about the accuracy and reliability of [an expert] witness’ factual basis, data, and methods go to the weight and credibility of the witness’ testimony and are questions of fact” to be decided by the jury. </w:t>
      </w:r>
      <w:r w:rsidR="003A33D0">
        <w:rPr>
          <w:rFonts w:ascii="Times New Roman" w:hAnsi="Times New Roman"/>
          <w:i/>
          <w:iCs/>
          <w:sz w:val="28"/>
          <w:szCs w:val="28"/>
        </w:rPr>
        <w:t>See</w:t>
      </w:r>
      <w:r w:rsidR="000E55B4">
        <w:rPr>
          <w:rFonts w:ascii="Times New Roman" w:hAnsi="Times New Roman"/>
          <w:i/>
          <w:iCs/>
          <w:sz w:val="28"/>
          <w:szCs w:val="28"/>
        </w:rPr>
        <w:t>, e.g.</w:t>
      </w:r>
      <w:r w:rsidR="000E55B4" w:rsidRPr="00457D8F">
        <w:rPr>
          <w:rFonts w:ascii="Times New Roman" w:hAnsi="Times New Roman"/>
          <w:sz w:val="28"/>
          <w:szCs w:val="28"/>
        </w:rPr>
        <w:t>,</w:t>
      </w:r>
      <w:r w:rsidR="000E55B4">
        <w:rPr>
          <w:rFonts w:ascii="Times New Roman" w:hAnsi="Times New Roman"/>
          <w:i/>
          <w:iCs/>
          <w:sz w:val="28"/>
          <w:szCs w:val="28"/>
        </w:rPr>
        <w:t xml:space="preserve"> </w:t>
      </w:r>
      <w:hyperlink r:id="rId18" w:history="1">
        <w:r w:rsidR="00614C50" w:rsidRPr="00E4447E">
          <w:rPr>
            <w:rStyle w:val="Hyperlink"/>
            <w:rFonts w:ascii="Times New Roman" w:hAnsi="Times New Roman"/>
            <w:i/>
            <w:iCs/>
            <w:sz w:val="28"/>
            <w:szCs w:val="28"/>
          </w:rPr>
          <w:t>State v. Foshee</w:t>
        </w:r>
      </w:hyperlink>
      <w:r w:rsidR="003A33D0">
        <w:rPr>
          <w:rFonts w:ascii="Times New Roman" w:hAnsi="Times New Roman"/>
          <w:sz w:val="28"/>
          <w:szCs w:val="28"/>
        </w:rPr>
        <w:t xml:space="preserve">, 2014 WL 346110, at *4 ¶ 21 (App. 2014) (Mem. Dec.) (quoting </w:t>
      </w:r>
      <w:r w:rsidR="003A33D0">
        <w:rPr>
          <w:rFonts w:ascii="Times New Roman" w:hAnsi="Times New Roman"/>
          <w:i/>
          <w:iCs/>
          <w:sz w:val="28"/>
          <w:szCs w:val="28"/>
        </w:rPr>
        <w:t>Logerquist</w:t>
      </w:r>
      <w:r w:rsidR="003A33D0">
        <w:rPr>
          <w:rFonts w:ascii="Times New Roman" w:hAnsi="Times New Roman"/>
          <w:sz w:val="28"/>
          <w:szCs w:val="28"/>
        </w:rPr>
        <w:t xml:space="preserve">, 196 Ariz. at 488 ¶ 52); </w:t>
      </w:r>
      <w:hyperlink r:id="rId19" w:history="1">
        <w:r w:rsidR="003A33D0" w:rsidRPr="00E4447E">
          <w:rPr>
            <w:rStyle w:val="Hyperlink"/>
            <w:rFonts w:ascii="Times New Roman" w:hAnsi="Times New Roman"/>
            <w:i/>
            <w:iCs/>
            <w:sz w:val="28"/>
            <w:szCs w:val="28"/>
          </w:rPr>
          <w:t>State v. Craft</w:t>
        </w:r>
      </w:hyperlink>
      <w:r w:rsidR="003A33D0">
        <w:rPr>
          <w:rFonts w:ascii="Times New Roman" w:hAnsi="Times New Roman"/>
          <w:sz w:val="28"/>
          <w:szCs w:val="28"/>
        </w:rPr>
        <w:t xml:space="preserve">, 2014 WL 729893, at *8 ¶ 29 (App. 2014) (Mem. Dec.) (citing </w:t>
      </w:r>
      <w:r w:rsidR="003A33D0">
        <w:rPr>
          <w:rFonts w:ascii="Times New Roman" w:hAnsi="Times New Roman"/>
          <w:i/>
          <w:iCs/>
          <w:sz w:val="28"/>
          <w:szCs w:val="28"/>
        </w:rPr>
        <w:t>Pipher v. Loo</w:t>
      </w:r>
      <w:r w:rsidR="003A33D0">
        <w:rPr>
          <w:rFonts w:ascii="Times New Roman" w:hAnsi="Times New Roman"/>
          <w:sz w:val="28"/>
          <w:szCs w:val="28"/>
        </w:rPr>
        <w:t>, 221 Ariz. 399, 404 ¶ 17 (App. 2009));</w:t>
      </w:r>
      <w:r w:rsidR="003A33D0">
        <w:rPr>
          <w:rFonts w:ascii="Times New Roman" w:hAnsi="Times New Roman"/>
          <w:i/>
          <w:iCs/>
          <w:sz w:val="28"/>
          <w:szCs w:val="28"/>
        </w:rPr>
        <w:t xml:space="preserve"> </w:t>
      </w:r>
      <w:hyperlink r:id="rId20" w:history="1">
        <w:r w:rsidR="003A33D0" w:rsidRPr="00E4447E">
          <w:rPr>
            <w:rStyle w:val="Hyperlink"/>
            <w:rFonts w:ascii="Times New Roman" w:hAnsi="Times New Roman"/>
            <w:i/>
            <w:iCs/>
            <w:sz w:val="28"/>
            <w:szCs w:val="28"/>
          </w:rPr>
          <w:t>State v. Leary</w:t>
        </w:r>
      </w:hyperlink>
      <w:r w:rsidR="003A33D0">
        <w:rPr>
          <w:rFonts w:ascii="Times New Roman" w:hAnsi="Times New Roman"/>
          <w:sz w:val="28"/>
          <w:szCs w:val="28"/>
        </w:rPr>
        <w:t xml:space="preserve">, 2016 WL 3021945, at *5 ¶ 23 (App. 2016) (Mem. Dec.) (citing </w:t>
      </w:r>
      <w:r w:rsidR="003A33D0">
        <w:rPr>
          <w:rFonts w:ascii="Times New Roman" w:hAnsi="Times New Roman"/>
          <w:i/>
          <w:iCs/>
          <w:sz w:val="28"/>
          <w:szCs w:val="28"/>
        </w:rPr>
        <w:t>Pipher</w:t>
      </w:r>
      <w:r w:rsidR="003A33D0">
        <w:rPr>
          <w:rFonts w:ascii="Times New Roman" w:hAnsi="Times New Roman"/>
          <w:sz w:val="28"/>
          <w:szCs w:val="28"/>
        </w:rPr>
        <w:t>, 221 Ariz. at 404 ¶ 17)</w:t>
      </w:r>
      <w:r w:rsidR="00107645">
        <w:rPr>
          <w:rFonts w:ascii="Times New Roman" w:hAnsi="Times New Roman"/>
          <w:sz w:val="28"/>
          <w:szCs w:val="28"/>
        </w:rPr>
        <w:t>. In other cases, the court of appeals has failed to acknowledge or has minimized clear legal errors by the trial court.</w:t>
      </w:r>
      <w:r w:rsidR="00723A5C">
        <w:rPr>
          <w:rFonts w:ascii="Times New Roman" w:hAnsi="Times New Roman"/>
          <w:sz w:val="28"/>
          <w:szCs w:val="28"/>
        </w:rPr>
        <w:t xml:space="preserve"> </w:t>
      </w:r>
      <w:r w:rsidR="00107645">
        <w:rPr>
          <w:rFonts w:ascii="Times New Roman" w:hAnsi="Times New Roman"/>
          <w:i/>
          <w:iCs/>
          <w:sz w:val="28"/>
          <w:szCs w:val="28"/>
        </w:rPr>
        <w:t>S</w:t>
      </w:r>
      <w:r w:rsidR="00723A5C" w:rsidRPr="00723A5C">
        <w:rPr>
          <w:rFonts w:ascii="Times New Roman" w:hAnsi="Times New Roman"/>
          <w:i/>
          <w:iCs/>
          <w:sz w:val="28"/>
          <w:szCs w:val="28"/>
        </w:rPr>
        <w:t xml:space="preserve">ee </w:t>
      </w:r>
      <w:hyperlink r:id="rId21" w:history="1">
        <w:r w:rsidR="00723A5C" w:rsidRPr="00E4447E">
          <w:rPr>
            <w:rStyle w:val="Hyperlink"/>
            <w:rFonts w:ascii="Times New Roman" w:hAnsi="Times New Roman"/>
            <w:i/>
            <w:iCs/>
            <w:sz w:val="28"/>
            <w:szCs w:val="28"/>
          </w:rPr>
          <w:t>State v. Brown</w:t>
        </w:r>
      </w:hyperlink>
      <w:r w:rsidR="00723A5C">
        <w:rPr>
          <w:rFonts w:ascii="Times New Roman" w:hAnsi="Times New Roman"/>
          <w:sz w:val="28"/>
          <w:szCs w:val="28"/>
        </w:rPr>
        <w:t>, 2016 WL</w:t>
      </w:r>
      <w:r w:rsidR="00723A5C" w:rsidRPr="00723A5C">
        <w:t xml:space="preserve"> </w:t>
      </w:r>
      <w:r w:rsidR="00723A5C" w:rsidRPr="00723A5C">
        <w:rPr>
          <w:rFonts w:ascii="Times New Roman" w:hAnsi="Times New Roman"/>
          <w:sz w:val="28"/>
          <w:szCs w:val="28"/>
        </w:rPr>
        <w:t>4256875</w:t>
      </w:r>
      <w:r w:rsidR="00723A5C">
        <w:rPr>
          <w:rFonts w:ascii="Times New Roman" w:hAnsi="Times New Roman"/>
          <w:sz w:val="28"/>
          <w:szCs w:val="28"/>
        </w:rPr>
        <w:t xml:space="preserve">, at *4 ¶¶ 15-16, *5 ¶ 19 </w:t>
      </w:r>
      <w:r w:rsidR="00E4447E">
        <w:rPr>
          <w:rFonts w:ascii="Times New Roman" w:hAnsi="Times New Roman"/>
          <w:sz w:val="28"/>
          <w:szCs w:val="28"/>
        </w:rPr>
        <w:t xml:space="preserve">(App. 2016) (Mem. Dec.) </w:t>
      </w:r>
      <w:r w:rsidR="00723A5C">
        <w:rPr>
          <w:rFonts w:ascii="Times New Roman" w:hAnsi="Times New Roman"/>
          <w:sz w:val="28"/>
          <w:szCs w:val="28"/>
        </w:rPr>
        <w:t>(trial court misappli</w:t>
      </w:r>
      <w:r w:rsidR="00107645">
        <w:rPr>
          <w:rFonts w:ascii="Times New Roman" w:hAnsi="Times New Roman"/>
          <w:sz w:val="28"/>
          <w:szCs w:val="28"/>
        </w:rPr>
        <w:t>ed</w:t>
      </w:r>
      <w:r w:rsidR="00723A5C">
        <w:rPr>
          <w:rFonts w:ascii="Times New Roman" w:hAnsi="Times New Roman"/>
          <w:sz w:val="28"/>
          <w:szCs w:val="28"/>
        </w:rPr>
        <w:t xml:space="preserve"> Rule 702(c)</w:t>
      </w:r>
      <w:r w:rsidR="00107645">
        <w:rPr>
          <w:rFonts w:ascii="Times New Roman" w:hAnsi="Times New Roman"/>
          <w:sz w:val="28"/>
          <w:szCs w:val="28"/>
        </w:rPr>
        <w:t xml:space="preserve"> when it stated that medical doctor’s testimony is “experience-based” and not governed by guidelines for scientific testimony; court of appeals refers to analysis as “not entirely accurate”</w:t>
      </w:r>
      <w:r w:rsidR="00723A5C">
        <w:rPr>
          <w:rFonts w:ascii="Times New Roman" w:hAnsi="Times New Roman"/>
          <w:sz w:val="28"/>
          <w:szCs w:val="28"/>
        </w:rPr>
        <w:t>)</w:t>
      </w:r>
      <w:r w:rsidR="00107645">
        <w:rPr>
          <w:rFonts w:ascii="Times New Roman" w:hAnsi="Times New Roman"/>
          <w:sz w:val="28"/>
          <w:szCs w:val="28"/>
        </w:rPr>
        <w:t xml:space="preserve">; </w:t>
      </w:r>
      <w:hyperlink r:id="rId22" w:history="1">
        <w:r w:rsidR="00107645" w:rsidRPr="009003C8">
          <w:rPr>
            <w:rStyle w:val="Hyperlink"/>
            <w:rFonts w:ascii="Times New Roman" w:hAnsi="Times New Roman"/>
            <w:i/>
            <w:iCs/>
            <w:sz w:val="28"/>
            <w:szCs w:val="28"/>
          </w:rPr>
          <w:t>State v. Hunter</w:t>
        </w:r>
      </w:hyperlink>
      <w:r w:rsidR="00107645">
        <w:rPr>
          <w:rFonts w:ascii="Times New Roman" w:hAnsi="Times New Roman"/>
          <w:sz w:val="28"/>
          <w:szCs w:val="28"/>
        </w:rPr>
        <w:t>, 2017 WL 4173605, at *8 ¶ 40, *9 ¶ 44</w:t>
      </w:r>
      <w:r w:rsidR="00E4447E">
        <w:rPr>
          <w:rFonts w:ascii="Times New Roman" w:hAnsi="Times New Roman"/>
          <w:sz w:val="28"/>
          <w:szCs w:val="28"/>
        </w:rPr>
        <w:t xml:space="preserve"> (App. 2017) (Mem. Dec.)</w:t>
      </w:r>
      <w:r w:rsidR="00107645">
        <w:rPr>
          <w:rFonts w:ascii="Times New Roman" w:hAnsi="Times New Roman"/>
          <w:sz w:val="28"/>
          <w:szCs w:val="28"/>
        </w:rPr>
        <w:t xml:space="preserve"> (despite </w:t>
      </w:r>
      <w:r w:rsidR="006C1A76">
        <w:rPr>
          <w:rFonts w:ascii="Times New Roman" w:hAnsi="Times New Roman"/>
          <w:sz w:val="28"/>
          <w:szCs w:val="28"/>
        </w:rPr>
        <w:t>trial court’s unequivocal lan</w:t>
      </w:r>
      <w:r w:rsidR="00107645">
        <w:rPr>
          <w:rFonts w:ascii="Times New Roman" w:hAnsi="Times New Roman"/>
          <w:sz w:val="28"/>
          <w:szCs w:val="28"/>
        </w:rPr>
        <w:t xml:space="preserve">guage that Rule 702 does not apply to cadaver dog-sniff evidence, </w:t>
      </w:r>
      <w:r w:rsidR="00107645">
        <w:rPr>
          <w:rFonts w:ascii="Times New Roman" w:hAnsi="Times New Roman"/>
          <w:sz w:val="28"/>
          <w:szCs w:val="28"/>
        </w:rPr>
        <w:lastRenderedPageBreak/>
        <w:t>court of appeals asserted, “</w:t>
      </w:r>
      <w:r w:rsidR="00107645" w:rsidRPr="00107645">
        <w:rPr>
          <w:rFonts w:ascii="Times New Roman" w:hAnsi="Times New Roman"/>
          <w:sz w:val="28"/>
          <w:szCs w:val="28"/>
        </w:rPr>
        <w:t>Nonetheless, the court analyzed the canine handlers proffered testimony “within the framework of Evidence Rule 702</w:t>
      </w:r>
      <w:r w:rsidR="00107645">
        <w:rPr>
          <w:rFonts w:ascii="Times New Roman" w:hAnsi="Times New Roman"/>
          <w:sz w:val="28"/>
          <w:szCs w:val="28"/>
        </w:rPr>
        <w:t>…</w:t>
      </w:r>
      <w:r w:rsidR="00107645" w:rsidRPr="00107645">
        <w:rPr>
          <w:rFonts w:ascii="Times New Roman" w:hAnsi="Times New Roman"/>
          <w:sz w:val="28"/>
          <w:szCs w:val="28"/>
        </w:rPr>
        <w:t>”</w:t>
      </w:r>
      <w:r w:rsidR="00107645">
        <w:rPr>
          <w:rFonts w:ascii="Times New Roman" w:hAnsi="Times New Roman"/>
          <w:sz w:val="28"/>
          <w:szCs w:val="28"/>
        </w:rPr>
        <w:t>)</w:t>
      </w:r>
      <w:r w:rsidR="003A33D0">
        <w:rPr>
          <w:rFonts w:ascii="Times New Roman" w:hAnsi="Times New Roman"/>
          <w:sz w:val="28"/>
          <w:szCs w:val="28"/>
        </w:rPr>
        <w:t>.</w:t>
      </w:r>
      <w:r w:rsidR="00614C50">
        <w:rPr>
          <w:rFonts w:ascii="Times New Roman" w:hAnsi="Times New Roman"/>
          <w:i/>
          <w:iCs/>
          <w:sz w:val="28"/>
          <w:szCs w:val="28"/>
        </w:rPr>
        <w:t xml:space="preserve"> </w:t>
      </w:r>
    </w:p>
    <w:p w14:paraId="10DC4951" w14:textId="398C7FB2" w:rsidR="004440E1" w:rsidRPr="00C23FEA" w:rsidRDefault="00C23FEA" w:rsidP="00C84F85">
      <w:pPr>
        <w:spacing w:line="480" w:lineRule="auto"/>
        <w:ind w:firstLine="720"/>
        <w:jc w:val="both"/>
        <w:rPr>
          <w:rFonts w:ascii="Times New Roman" w:hAnsi="Times New Roman"/>
          <w:sz w:val="28"/>
          <w:szCs w:val="28"/>
        </w:rPr>
      </w:pPr>
      <w:r>
        <w:rPr>
          <w:rFonts w:ascii="Times New Roman" w:hAnsi="Times New Roman"/>
          <w:sz w:val="28"/>
          <w:szCs w:val="28"/>
        </w:rPr>
        <w:t xml:space="preserve">Furthermore, lower courts in Arizona often rely on the </w:t>
      </w:r>
      <w:r w:rsidR="0054754A">
        <w:rPr>
          <w:rFonts w:ascii="Times New Roman" w:hAnsi="Times New Roman"/>
          <w:sz w:val="28"/>
          <w:szCs w:val="28"/>
        </w:rPr>
        <w:t xml:space="preserve">purported </w:t>
      </w:r>
      <w:r>
        <w:rPr>
          <w:rFonts w:ascii="Times New Roman" w:hAnsi="Times New Roman"/>
          <w:sz w:val="28"/>
          <w:szCs w:val="28"/>
        </w:rPr>
        <w:t xml:space="preserve">presumptive admissibility of expert testimony, </w:t>
      </w:r>
      <w:r w:rsidR="0054754A">
        <w:rPr>
          <w:rFonts w:ascii="Times New Roman" w:hAnsi="Times New Roman"/>
          <w:sz w:val="28"/>
          <w:szCs w:val="28"/>
        </w:rPr>
        <w:t xml:space="preserve">and thus fail to rigorously enforce </w:t>
      </w:r>
      <w:r>
        <w:rPr>
          <w:rFonts w:ascii="Times New Roman" w:hAnsi="Times New Roman"/>
          <w:sz w:val="28"/>
          <w:szCs w:val="28"/>
        </w:rPr>
        <w:t xml:space="preserve">the requirements of Rule 702, particularly subsections (b) and (d). Instead, courts frequently revert to the </w:t>
      </w:r>
      <w:r>
        <w:rPr>
          <w:rFonts w:ascii="Times New Roman" w:hAnsi="Times New Roman"/>
          <w:i/>
          <w:iCs/>
          <w:sz w:val="28"/>
          <w:szCs w:val="28"/>
        </w:rPr>
        <w:t xml:space="preserve">Frye </w:t>
      </w:r>
      <w:r>
        <w:rPr>
          <w:rFonts w:ascii="Times New Roman" w:hAnsi="Times New Roman"/>
          <w:sz w:val="28"/>
          <w:szCs w:val="28"/>
        </w:rPr>
        <w:t xml:space="preserve">test, finding </w:t>
      </w:r>
      <w:r w:rsidR="00217EA9">
        <w:rPr>
          <w:rFonts w:ascii="Times New Roman" w:hAnsi="Times New Roman"/>
          <w:sz w:val="28"/>
          <w:szCs w:val="28"/>
        </w:rPr>
        <w:t xml:space="preserve">evidence reliable and admissible </w:t>
      </w:r>
      <w:r>
        <w:rPr>
          <w:rFonts w:ascii="Times New Roman" w:hAnsi="Times New Roman"/>
          <w:sz w:val="28"/>
          <w:szCs w:val="28"/>
        </w:rPr>
        <w:t>if the subject of the testimony is generally accepted in the relevant community.</w:t>
      </w:r>
      <w:r w:rsidR="00EB304B">
        <w:rPr>
          <w:rFonts w:ascii="Times New Roman" w:hAnsi="Times New Roman"/>
          <w:sz w:val="28"/>
          <w:szCs w:val="28"/>
        </w:rPr>
        <w:t xml:space="preserve"> Moreover, trial judges tend to rely on their own experience and that of their colleagues</w:t>
      </w:r>
      <w:r w:rsidR="006C1A76">
        <w:rPr>
          <w:rFonts w:ascii="Times New Roman" w:hAnsi="Times New Roman"/>
          <w:sz w:val="28"/>
          <w:szCs w:val="28"/>
        </w:rPr>
        <w:t xml:space="preserve">, and without a clear message from the court of appeals that the trial judge’s analysis was flawed, trial judges will </w:t>
      </w:r>
      <w:r w:rsidR="0011342D">
        <w:rPr>
          <w:rFonts w:ascii="Times New Roman" w:hAnsi="Times New Roman"/>
          <w:sz w:val="28"/>
          <w:szCs w:val="28"/>
        </w:rPr>
        <w:t xml:space="preserve">likely </w:t>
      </w:r>
      <w:r w:rsidR="006C1A76">
        <w:rPr>
          <w:rFonts w:ascii="Times New Roman" w:hAnsi="Times New Roman"/>
          <w:sz w:val="28"/>
          <w:szCs w:val="28"/>
        </w:rPr>
        <w:t>repeat those errors</w:t>
      </w:r>
      <w:r w:rsidR="00EB304B">
        <w:rPr>
          <w:rFonts w:ascii="Times New Roman" w:hAnsi="Times New Roman"/>
          <w:sz w:val="28"/>
          <w:szCs w:val="28"/>
        </w:rPr>
        <w:t>.</w:t>
      </w:r>
      <w:r>
        <w:rPr>
          <w:rFonts w:ascii="Times New Roman" w:hAnsi="Times New Roman"/>
          <w:sz w:val="28"/>
          <w:szCs w:val="28"/>
        </w:rPr>
        <w:t xml:space="preserve"> </w:t>
      </w:r>
      <w:r w:rsidR="00F6651F">
        <w:rPr>
          <w:rFonts w:ascii="Times New Roman" w:hAnsi="Times New Roman"/>
          <w:sz w:val="28"/>
          <w:szCs w:val="28"/>
        </w:rPr>
        <w:t>T</w:t>
      </w:r>
      <w:r w:rsidR="00035D8C">
        <w:rPr>
          <w:rFonts w:ascii="Times New Roman" w:hAnsi="Times New Roman"/>
          <w:sz w:val="28"/>
          <w:szCs w:val="28"/>
        </w:rPr>
        <w:t>he proposed amendment would</w:t>
      </w:r>
      <w:r w:rsidR="0054754A">
        <w:rPr>
          <w:rFonts w:ascii="Times New Roman" w:hAnsi="Times New Roman"/>
          <w:sz w:val="28"/>
          <w:szCs w:val="28"/>
        </w:rPr>
        <w:t>, as the federal advisory committee concluded,</w:t>
      </w:r>
      <w:r w:rsidR="00035D8C">
        <w:rPr>
          <w:rFonts w:ascii="Times New Roman" w:hAnsi="Times New Roman"/>
          <w:sz w:val="28"/>
          <w:szCs w:val="28"/>
        </w:rPr>
        <w:t xml:space="preserve"> resolve many of these issues and provide the lower courts with proper guidance on how the rule should be applied. </w:t>
      </w:r>
    </w:p>
    <w:p w14:paraId="2F6B8118" w14:textId="0D5D9004" w:rsidR="004440E1" w:rsidRDefault="004440E1" w:rsidP="00C23FEA">
      <w:pPr>
        <w:pStyle w:val="ListParagraph"/>
        <w:numPr>
          <w:ilvl w:val="0"/>
          <w:numId w:val="9"/>
        </w:numPr>
        <w:spacing w:line="240" w:lineRule="auto"/>
        <w:ind w:right="720"/>
        <w:jc w:val="both"/>
        <w:rPr>
          <w:rFonts w:ascii="Times New Roman" w:hAnsi="Times New Roman"/>
          <w:b/>
          <w:bCs/>
          <w:sz w:val="28"/>
          <w:szCs w:val="28"/>
          <w:u w:val="single"/>
        </w:rPr>
      </w:pPr>
      <w:r>
        <w:rPr>
          <w:rFonts w:ascii="Times New Roman" w:hAnsi="Times New Roman"/>
          <w:b/>
          <w:bCs/>
          <w:sz w:val="28"/>
          <w:szCs w:val="28"/>
          <w:u w:val="single"/>
        </w:rPr>
        <w:t>Amending the rule simplifies its application by incorporating interpretive case law into the rule itself.</w:t>
      </w:r>
    </w:p>
    <w:p w14:paraId="6AD8CC7B" w14:textId="77777777" w:rsidR="00670250" w:rsidRDefault="00670250" w:rsidP="00764094">
      <w:pPr>
        <w:spacing w:line="240" w:lineRule="auto"/>
        <w:jc w:val="both"/>
        <w:rPr>
          <w:rFonts w:ascii="Times New Roman" w:hAnsi="Times New Roman"/>
          <w:sz w:val="28"/>
          <w:szCs w:val="28"/>
        </w:rPr>
      </w:pPr>
    </w:p>
    <w:p w14:paraId="64A49D06" w14:textId="1BA6C975" w:rsidR="003A33D0" w:rsidRPr="003A33D0" w:rsidRDefault="00F6651F" w:rsidP="00764094">
      <w:pPr>
        <w:spacing w:line="480" w:lineRule="auto"/>
        <w:ind w:firstLine="720"/>
        <w:jc w:val="both"/>
        <w:rPr>
          <w:rFonts w:ascii="Times New Roman" w:hAnsi="Times New Roman"/>
          <w:sz w:val="28"/>
          <w:szCs w:val="28"/>
        </w:rPr>
      </w:pPr>
      <w:r>
        <w:rPr>
          <w:rFonts w:ascii="Times New Roman" w:hAnsi="Times New Roman"/>
          <w:sz w:val="28"/>
          <w:szCs w:val="28"/>
        </w:rPr>
        <w:t xml:space="preserve">The federal rules require </w:t>
      </w:r>
      <w:r w:rsidR="00670250">
        <w:rPr>
          <w:rFonts w:ascii="Times New Roman" w:hAnsi="Times New Roman"/>
          <w:sz w:val="28"/>
          <w:szCs w:val="28"/>
        </w:rPr>
        <w:t>FRE 702</w:t>
      </w:r>
      <w:r>
        <w:rPr>
          <w:rFonts w:ascii="Times New Roman" w:hAnsi="Times New Roman"/>
          <w:sz w:val="28"/>
          <w:szCs w:val="28"/>
        </w:rPr>
        <w:t xml:space="preserve"> determinations</w:t>
      </w:r>
      <w:r w:rsidR="00670250">
        <w:rPr>
          <w:rFonts w:ascii="Times New Roman" w:hAnsi="Times New Roman"/>
          <w:sz w:val="28"/>
          <w:szCs w:val="28"/>
        </w:rPr>
        <w:t xml:space="preserve"> </w:t>
      </w:r>
      <w:r>
        <w:rPr>
          <w:rFonts w:ascii="Times New Roman" w:hAnsi="Times New Roman"/>
          <w:sz w:val="28"/>
          <w:szCs w:val="28"/>
        </w:rPr>
        <w:t>to be made using a preponderance of the evidence standard, as dictated by</w:t>
      </w:r>
      <w:r w:rsidR="003A33D0">
        <w:rPr>
          <w:rFonts w:ascii="Times New Roman" w:hAnsi="Times New Roman"/>
          <w:sz w:val="28"/>
          <w:szCs w:val="28"/>
        </w:rPr>
        <w:t xml:space="preserve"> </w:t>
      </w:r>
      <w:r w:rsidR="00670250">
        <w:rPr>
          <w:rFonts w:ascii="Times New Roman" w:hAnsi="Times New Roman"/>
          <w:sz w:val="28"/>
          <w:szCs w:val="28"/>
        </w:rPr>
        <w:t xml:space="preserve">FRE </w:t>
      </w:r>
      <w:r w:rsidR="003A33D0">
        <w:rPr>
          <w:rFonts w:ascii="Times New Roman" w:hAnsi="Times New Roman"/>
          <w:sz w:val="28"/>
          <w:szCs w:val="28"/>
        </w:rPr>
        <w:t xml:space="preserve">Rule 104, </w:t>
      </w:r>
      <w:r w:rsidR="00670250">
        <w:rPr>
          <w:rFonts w:ascii="Times New Roman" w:hAnsi="Times New Roman"/>
          <w:sz w:val="28"/>
          <w:szCs w:val="28"/>
        </w:rPr>
        <w:t xml:space="preserve">which provides that preliminary questions concerning the qualifications of a person to be a witness must be established by a preponderance of proof. </w:t>
      </w:r>
      <w:r w:rsidR="00670250">
        <w:rPr>
          <w:rFonts w:ascii="Times New Roman" w:hAnsi="Times New Roman"/>
          <w:i/>
          <w:iCs/>
          <w:sz w:val="28"/>
          <w:szCs w:val="28"/>
        </w:rPr>
        <w:t>Daubert</w:t>
      </w:r>
      <w:r w:rsidR="00670250">
        <w:rPr>
          <w:rFonts w:ascii="Times New Roman" w:hAnsi="Times New Roman"/>
          <w:sz w:val="28"/>
          <w:szCs w:val="28"/>
        </w:rPr>
        <w:t xml:space="preserve">, 509 U.S. at 592-93. Arizona </w:t>
      </w:r>
      <w:r w:rsidR="00DA241E">
        <w:rPr>
          <w:rFonts w:ascii="Times New Roman" w:hAnsi="Times New Roman"/>
          <w:sz w:val="28"/>
          <w:szCs w:val="28"/>
        </w:rPr>
        <w:t xml:space="preserve">caselaw </w:t>
      </w:r>
      <w:r w:rsidR="00670250">
        <w:rPr>
          <w:rFonts w:ascii="Times New Roman" w:hAnsi="Times New Roman"/>
          <w:sz w:val="28"/>
          <w:szCs w:val="28"/>
        </w:rPr>
        <w:t xml:space="preserve">likewise </w:t>
      </w:r>
      <w:r>
        <w:rPr>
          <w:rFonts w:ascii="Times New Roman" w:hAnsi="Times New Roman"/>
          <w:sz w:val="28"/>
          <w:szCs w:val="28"/>
        </w:rPr>
        <w:t>require</w:t>
      </w:r>
      <w:r w:rsidR="00DA241E">
        <w:rPr>
          <w:rFonts w:ascii="Times New Roman" w:hAnsi="Times New Roman"/>
          <w:sz w:val="28"/>
          <w:szCs w:val="28"/>
        </w:rPr>
        <w:t>s</w:t>
      </w:r>
      <w:r>
        <w:rPr>
          <w:rFonts w:ascii="Times New Roman" w:hAnsi="Times New Roman"/>
          <w:i/>
          <w:iCs/>
          <w:sz w:val="28"/>
          <w:szCs w:val="28"/>
        </w:rPr>
        <w:t xml:space="preserve"> </w:t>
      </w:r>
      <w:r w:rsidR="00670250">
        <w:rPr>
          <w:rFonts w:ascii="Times New Roman" w:hAnsi="Times New Roman"/>
          <w:sz w:val="28"/>
          <w:szCs w:val="28"/>
        </w:rPr>
        <w:t>(but</w:t>
      </w:r>
      <w:r w:rsidR="00DA241E">
        <w:rPr>
          <w:rFonts w:ascii="Times New Roman" w:hAnsi="Times New Roman"/>
          <w:sz w:val="28"/>
          <w:szCs w:val="28"/>
        </w:rPr>
        <w:t xml:space="preserve"> courts</w:t>
      </w:r>
      <w:r w:rsidR="00670250">
        <w:rPr>
          <w:rFonts w:ascii="Times New Roman" w:hAnsi="Times New Roman"/>
          <w:sz w:val="28"/>
          <w:szCs w:val="28"/>
        </w:rPr>
        <w:t xml:space="preserve"> do not always properly apply, as noted </w:t>
      </w:r>
      <w:r w:rsidR="00670250">
        <w:rPr>
          <w:rFonts w:ascii="Times New Roman" w:hAnsi="Times New Roman"/>
          <w:i/>
          <w:iCs/>
          <w:sz w:val="28"/>
          <w:szCs w:val="28"/>
        </w:rPr>
        <w:t>supra</w:t>
      </w:r>
      <w:r w:rsidR="00670250">
        <w:rPr>
          <w:rFonts w:ascii="Times New Roman" w:hAnsi="Times New Roman"/>
          <w:sz w:val="28"/>
          <w:szCs w:val="28"/>
        </w:rPr>
        <w:t>) the preponderance of the evidence standard</w:t>
      </w:r>
      <w:r>
        <w:rPr>
          <w:rFonts w:ascii="Times New Roman" w:hAnsi="Times New Roman"/>
          <w:sz w:val="28"/>
          <w:szCs w:val="28"/>
        </w:rPr>
        <w:t xml:space="preserve"> for these determinations</w:t>
      </w:r>
      <w:r w:rsidR="00670250">
        <w:rPr>
          <w:rFonts w:ascii="Times New Roman" w:hAnsi="Times New Roman"/>
          <w:sz w:val="28"/>
          <w:szCs w:val="28"/>
        </w:rPr>
        <w:t xml:space="preserve">. </w:t>
      </w:r>
      <w:r w:rsidR="00670250">
        <w:rPr>
          <w:rFonts w:ascii="Times New Roman" w:hAnsi="Times New Roman"/>
          <w:i/>
          <w:iCs/>
          <w:sz w:val="28"/>
          <w:szCs w:val="28"/>
        </w:rPr>
        <w:t>See State v. Bernstein</w:t>
      </w:r>
      <w:r w:rsidR="00670250">
        <w:rPr>
          <w:rFonts w:ascii="Times New Roman" w:hAnsi="Times New Roman"/>
          <w:sz w:val="28"/>
          <w:szCs w:val="28"/>
        </w:rPr>
        <w:t xml:space="preserve">, 237 Ariz. 226, 228 ¶ 9 (2015) (citing </w:t>
      </w:r>
      <w:r w:rsidR="00670250">
        <w:rPr>
          <w:rFonts w:ascii="Times New Roman" w:hAnsi="Times New Roman"/>
          <w:i/>
          <w:iCs/>
          <w:sz w:val="28"/>
          <w:szCs w:val="28"/>
        </w:rPr>
        <w:t>Salazar-Mercado</w:t>
      </w:r>
      <w:r w:rsidR="00670250">
        <w:rPr>
          <w:rFonts w:ascii="Times New Roman" w:hAnsi="Times New Roman"/>
          <w:sz w:val="28"/>
          <w:szCs w:val="28"/>
        </w:rPr>
        <w:t xml:space="preserve">, 234 </w:t>
      </w:r>
      <w:r w:rsidR="00670250">
        <w:rPr>
          <w:rFonts w:ascii="Times New Roman" w:hAnsi="Times New Roman"/>
          <w:sz w:val="28"/>
          <w:szCs w:val="28"/>
        </w:rPr>
        <w:lastRenderedPageBreak/>
        <w:t>Ariz. at 593-94 ¶ 13</w:t>
      </w:r>
      <w:r w:rsidR="006B3FFF">
        <w:rPr>
          <w:rFonts w:ascii="Times New Roman" w:hAnsi="Times New Roman"/>
          <w:sz w:val="28"/>
          <w:szCs w:val="28"/>
        </w:rPr>
        <w:t xml:space="preserve">, </w:t>
      </w:r>
      <w:r w:rsidR="006B3FFF">
        <w:rPr>
          <w:rFonts w:ascii="Times New Roman" w:hAnsi="Times New Roman"/>
          <w:i/>
          <w:iCs/>
          <w:sz w:val="28"/>
          <w:szCs w:val="28"/>
        </w:rPr>
        <w:t xml:space="preserve">citing in turn </w:t>
      </w:r>
      <w:r w:rsidR="00035D8C">
        <w:rPr>
          <w:rFonts w:ascii="Times New Roman" w:hAnsi="Times New Roman"/>
          <w:i/>
          <w:iCs/>
          <w:sz w:val="28"/>
          <w:szCs w:val="28"/>
        </w:rPr>
        <w:t>State ex rel. Collins v. Seidel</w:t>
      </w:r>
      <w:r w:rsidR="00035D8C">
        <w:rPr>
          <w:rFonts w:ascii="Times New Roman" w:hAnsi="Times New Roman"/>
          <w:sz w:val="28"/>
          <w:szCs w:val="28"/>
        </w:rPr>
        <w:t xml:space="preserve">, 142 Ariz. 587, 590 (1984) &amp; Fed. R. Evid. 702, Advisory Committed Notes, 200 amend.). </w:t>
      </w:r>
      <w:r w:rsidR="00DA241E">
        <w:rPr>
          <w:rFonts w:ascii="Times New Roman" w:hAnsi="Times New Roman"/>
          <w:sz w:val="28"/>
          <w:szCs w:val="28"/>
        </w:rPr>
        <w:t>Thus, to perform the correct analysis</w:t>
      </w:r>
      <w:r w:rsidR="00E36A4D">
        <w:rPr>
          <w:rFonts w:ascii="Times New Roman" w:hAnsi="Times New Roman"/>
          <w:sz w:val="28"/>
          <w:szCs w:val="28"/>
        </w:rPr>
        <w:t xml:space="preserve"> of the admissibility of proffered expert testimony</w:t>
      </w:r>
      <w:r w:rsidR="00DA241E">
        <w:rPr>
          <w:rFonts w:ascii="Times New Roman" w:hAnsi="Times New Roman"/>
          <w:sz w:val="28"/>
          <w:szCs w:val="28"/>
        </w:rPr>
        <w:t xml:space="preserve">, courts must refer to and cite not only the rule itself, but also the interpreting caselaw, and that second step is frequently lost. </w:t>
      </w:r>
      <w:r w:rsidR="00035D8C">
        <w:rPr>
          <w:rFonts w:ascii="Times New Roman" w:hAnsi="Times New Roman"/>
          <w:sz w:val="28"/>
          <w:szCs w:val="28"/>
        </w:rPr>
        <w:t>Amending the Rule as requested by the Petition would simplify its application by removing the need to cite additional authority, but instead, allow practitioners and the courts to simply cite the Rule</w:t>
      </w:r>
      <w:r w:rsidR="006070B2">
        <w:rPr>
          <w:rFonts w:ascii="Times New Roman" w:hAnsi="Times New Roman"/>
          <w:sz w:val="28"/>
          <w:szCs w:val="28"/>
        </w:rPr>
        <w:t>, producing more consistent and accurate results</w:t>
      </w:r>
      <w:r w:rsidR="00035D8C">
        <w:rPr>
          <w:rFonts w:ascii="Times New Roman" w:hAnsi="Times New Roman"/>
          <w:sz w:val="28"/>
          <w:szCs w:val="28"/>
        </w:rPr>
        <w:t xml:space="preserve">. </w:t>
      </w:r>
    </w:p>
    <w:p w14:paraId="6F78F8D8" w14:textId="157A422C" w:rsidR="00BC2358" w:rsidRPr="00BC2358" w:rsidRDefault="00BC2358" w:rsidP="00BC2358">
      <w:pPr>
        <w:spacing w:line="480" w:lineRule="auto"/>
        <w:jc w:val="both"/>
        <w:rPr>
          <w:rFonts w:ascii="Times New Roman" w:hAnsi="Times New Roman"/>
          <w:b/>
          <w:sz w:val="28"/>
          <w:szCs w:val="28"/>
          <w:u w:val="single"/>
        </w:rPr>
      </w:pPr>
      <w:r w:rsidRPr="00BC2358">
        <w:rPr>
          <w:rFonts w:ascii="Times New Roman" w:hAnsi="Times New Roman"/>
          <w:b/>
          <w:sz w:val="28"/>
          <w:szCs w:val="28"/>
          <w:u w:val="single"/>
        </w:rPr>
        <w:t>Conclusion</w:t>
      </w:r>
    </w:p>
    <w:p w14:paraId="1A9BA697" w14:textId="119C91A8" w:rsidR="002C660A" w:rsidRPr="0014499B" w:rsidRDefault="001B408E" w:rsidP="001D0E6C">
      <w:pPr>
        <w:spacing w:line="480" w:lineRule="auto"/>
        <w:ind w:firstLine="720"/>
        <w:jc w:val="both"/>
        <w:rPr>
          <w:rFonts w:ascii="Times New Roman" w:hAnsi="Times New Roman"/>
          <w:sz w:val="28"/>
          <w:szCs w:val="28"/>
        </w:rPr>
      </w:pPr>
      <w:r>
        <w:rPr>
          <w:rFonts w:ascii="Times New Roman" w:hAnsi="Times New Roman"/>
          <w:sz w:val="28"/>
          <w:szCs w:val="28"/>
        </w:rPr>
        <w:t>For these reasons, AACJ requests this Court grant</w:t>
      </w:r>
      <w:r w:rsidR="00D774DA">
        <w:rPr>
          <w:rFonts w:ascii="Times New Roman" w:hAnsi="Times New Roman"/>
          <w:sz w:val="28"/>
          <w:szCs w:val="28"/>
        </w:rPr>
        <w:t xml:space="preserve"> </w:t>
      </w:r>
      <w:r>
        <w:rPr>
          <w:rFonts w:ascii="Times New Roman" w:hAnsi="Times New Roman"/>
          <w:sz w:val="28"/>
          <w:szCs w:val="28"/>
        </w:rPr>
        <w:t xml:space="preserve">the petition </w:t>
      </w:r>
      <w:r w:rsidR="00B515D5">
        <w:rPr>
          <w:rFonts w:ascii="Times New Roman" w:hAnsi="Times New Roman"/>
          <w:sz w:val="28"/>
          <w:szCs w:val="28"/>
        </w:rPr>
        <w:t xml:space="preserve">to </w:t>
      </w:r>
      <w:r w:rsidR="00035D8C">
        <w:rPr>
          <w:rFonts w:ascii="Times New Roman" w:hAnsi="Times New Roman"/>
          <w:sz w:val="28"/>
          <w:szCs w:val="28"/>
        </w:rPr>
        <w:t>amend Rule 702.</w:t>
      </w:r>
    </w:p>
    <w:p w14:paraId="268AB80E" w14:textId="2B884A43"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035D8C">
        <w:rPr>
          <w:rFonts w:ascii="Times New Roman" w:hAnsi="Times New Roman"/>
          <w:sz w:val="28"/>
          <w:szCs w:val="28"/>
        </w:rPr>
        <w:t>May 1, 2023</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5113BA3F" w14:textId="77777777" w:rsidR="006C1A76" w:rsidRDefault="006C1A76" w:rsidP="006C1A76">
      <w:pPr>
        <w:spacing w:line="240" w:lineRule="auto"/>
        <w:ind w:firstLine="720"/>
        <w:rPr>
          <w:rFonts w:ascii="Times New Roman" w:hAnsi="Times New Roman"/>
          <w:sz w:val="28"/>
          <w:szCs w:val="28"/>
        </w:rPr>
      </w:pPr>
      <w:r>
        <w:rPr>
          <w:rFonts w:ascii="Times New Roman" w:hAnsi="Times New Roman"/>
          <w:sz w:val="28"/>
          <w:szCs w:val="28"/>
        </w:rPr>
        <w:t>Erin K. Sutherland</w:t>
      </w:r>
    </w:p>
    <w:p w14:paraId="268AB813" w14:textId="56D890C4"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D3680F3" w14:textId="208E214A" w:rsidR="006C1A76" w:rsidRDefault="006C1A76" w:rsidP="006235B5">
      <w:pPr>
        <w:spacing w:line="240" w:lineRule="auto"/>
        <w:ind w:firstLine="720"/>
        <w:rPr>
          <w:rFonts w:ascii="Times New Roman" w:hAnsi="Times New Roman"/>
          <w:sz w:val="28"/>
          <w:szCs w:val="28"/>
        </w:rPr>
      </w:pPr>
      <w:r>
        <w:rPr>
          <w:rFonts w:ascii="Times New Roman" w:hAnsi="Times New Roman"/>
          <w:sz w:val="28"/>
          <w:szCs w:val="28"/>
        </w:rPr>
        <w:t>Amy P. Knight</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384F62F6" w14:textId="77777777" w:rsidR="0011342D" w:rsidRDefault="0011342D" w:rsidP="0011342D">
      <w:pPr>
        <w:spacing w:line="240" w:lineRule="auto"/>
        <w:rPr>
          <w:rFonts w:ascii="Times New Roman" w:hAnsi="Times New Roman"/>
          <w:sz w:val="28"/>
          <w:szCs w:val="28"/>
        </w:rPr>
      </w:pPr>
      <w:r>
        <w:rPr>
          <w:rFonts w:ascii="Times New Roman" w:hAnsi="Times New Roman"/>
          <w:sz w:val="28"/>
          <w:szCs w:val="28"/>
        </w:rPr>
        <w:t>Hons. Sara Agne &amp; Maria Elena Cruz</w:t>
      </w:r>
    </w:p>
    <w:p w14:paraId="589439D4" w14:textId="77777777" w:rsidR="0011342D" w:rsidRDefault="0011342D" w:rsidP="0011342D">
      <w:pPr>
        <w:spacing w:line="240" w:lineRule="auto"/>
        <w:rPr>
          <w:rFonts w:ascii="Times New Roman" w:hAnsi="Times New Roman"/>
          <w:sz w:val="28"/>
          <w:szCs w:val="28"/>
        </w:rPr>
      </w:pPr>
      <w:r>
        <w:rPr>
          <w:rFonts w:ascii="Times New Roman" w:hAnsi="Times New Roman"/>
          <w:sz w:val="28"/>
          <w:szCs w:val="28"/>
        </w:rPr>
        <w:t>Advisory Committee on Rules of Evidence</w:t>
      </w:r>
    </w:p>
    <w:p w14:paraId="4E4E8AFF" w14:textId="77777777" w:rsidR="002D17D1" w:rsidRDefault="002D17D1" w:rsidP="0011342D">
      <w:pPr>
        <w:spacing w:line="240" w:lineRule="auto"/>
        <w:rPr>
          <w:rFonts w:ascii="Times New Roman" w:hAnsi="Times New Roman"/>
          <w:sz w:val="28"/>
          <w:szCs w:val="28"/>
        </w:rPr>
      </w:pPr>
    </w:p>
    <w:sectPr w:rsidR="002D17D1" w:rsidSect="00F54AAE">
      <w:footerReference w:type="even"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A295" w14:textId="77777777" w:rsidR="00275A35" w:rsidRDefault="00275A35">
      <w:r>
        <w:separator/>
      </w:r>
    </w:p>
  </w:endnote>
  <w:endnote w:type="continuationSeparator" w:id="0">
    <w:p w14:paraId="3893A8DE" w14:textId="77777777" w:rsidR="00275A35" w:rsidRDefault="002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1EE3" w14:textId="77777777" w:rsidR="00275A35" w:rsidRDefault="00275A35">
      <w:r>
        <w:separator/>
      </w:r>
    </w:p>
  </w:footnote>
  <w:footnote w:type="continuationSeparator" w:id="0">
    <w:p w14:paraId="6D416225" w14:textId="77777777" w:rsidR="00275A35" w:rsidRDefault="00275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E72CDD"/>
    <w:multiLevelType w:val="hybridMultilevel"/>
    <w:tmpl w:val="FA1216FE"/>
    <w:lvl w:ilvl="0" w:tplc="7DC2E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2628735">
    <w:abstractNumId w:val="1"/>
  </w:num>
  <w:num w:numId="2" w16cid:durableId="1728338567">
    <w:abstractNumId w:val="0"/>
  </w:num>
  <w:num w:numId="3" w16cid:durableId="998188429">
    <w:abstractNumId w:val="3"/>
  </w:num>
  <w:num w:numId="4" w16cid:durableId="1986545978">
    <w:abstractNumId w:val="2"/>
  </w:num>
  <w:num w:numId="5" w16cid:durableId="95830994">
    <w:abstractNumId w:val="7"/>
  </w:num>
  <w:num w:numId="6" w16cid:durableId="1874610680">
    <w:abstractNumId w:val="8"/>
  </w:num>
  <w:num w:numId="7" w16cid:durableId="495726587">
    <w:abstractNumId w:val="4"/>
  </w:num>
  <w:num w:numId="8" w16cid:durableId="1621909646">
    <w:abstractNumId w:val="5"/>
  </w:num>
  <w:num w:numId="9" w16cid:durableId="1447970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5D8C"/>
    <w:rsid w:val="00036CF2"/>
    <w:rsid w:val="000506CE"/>
    <w:rsid w:val="00050775"/>
    <w:rsid w:val="000539C9"/>
    <w:rsid w:val="00054624"/>
    <w:rsid w:val="00056C1B"/>
    <w:rsid w:val="000574A7"/>
    <w:rsid w:val="00057960"/>
    <w:rsid w:val="0007448C"/>
    <w:rsid w:val="000759BB"/>
    <w:rsid w:val="000763D7"/>
    <w:rsid w:val="00076CBE"/>
    <w:rsid w:val="0009256E"/>
    <w:rsid w:val="00092D1D"/>
    <w:rsid w:val="00094BC9"/>
    <w:rsid w:val="00095786"/>
    <w:rsid w:val="000B1D0D"/>
    <w:rsid w:val="000B2E15"/>
    <w:rsid w:val="000B3D5C"/>
    <w:rsid w:val="000B58EF"/>
    <w:rsid w:val="000D50D4"/>
    <w:rsid w:val="000E2821"/>
    <w:rsid w:val="000E4A16"/>
    <w:rsid w:val="000E55B4"/>
    <w:rsid w:val="000E6C47"/>
    <w:rsid w:val="000E7FAC"/>
    <w:rsid w:val="00107645"/>
    <w:rsid w:val="00111A1A"/>
    <w:rsid w:val="0011342D"/>
    <w:rsid w:val="00117CB3"/>
    <w:rsid w:val="0012054D"/>
    <w:rsid w:val="00125A1E"/>
    <w:rsid w:val="001269D9"/>
    <w:rsid w:val="001279AC"/>
    <w:rsid w:val="00141C61"/>
    <w:rsid w:val="00147D21"/>
    <w:rsid w:val="00147D30"/>
    <w:rsid w:val="001516C5"/>
    <w:rsid w:val="0016125C"/>
    <w:rsid w:val="00175B0A"/>
    <w:rsid w:val="00176A8B"/>
    <w:rsid w:val="00186903"/>
    <w:rsid w:val="001B24C6"/>
    <w:rsid w:val="001B408E"/>
    <w:rsid w:val="001C015F"/>
    <w:rsid w:val="001C02C6"/>
    <w:rsid w:val="001C2BDE"/>
    <w:rsid w:val="001C30CE"/>
    <w:rsid w:val="001C60A4"/>
    <w:rsid w:val="001D0E6C"/>
    <w:rsid w:val="001E5535"/>
    <w:rsid w:val="001F23C2"/>
    <w:rsid w:val="001F6288"/>
    <w:rsid w:val="00205E43"/>
    <w:rsid w:val="002076F9"/>
    <w:rsid w:val="00210258"/>
    <w:rsid w:val="00217EA9"/>
    <w:rsid w:val="00221A90"/>
    <w:rsid w:val="00221BCC"/>
    <w:rsid w:val="00230545"/>
    <w:rsid w:val="00235C89"/>
    <w:rsid w:val="0023620C"/>
    <w:rsid w:val="00255E07"/>
    <w:rsid w:val="0027258D"/>
    <w:rsid w:val="002728E3"/>
    <w:rsid w:val="00275A35"/>
    <w:rsid w:val="002763F8"/>
    <w:rsid w:val="00284E5B"/>
    <w:rsid w:val="00285283"/>
    <w:rsid w:val="00293672"/>
    <w:rsid w:val="002A24BA"/>
    <w:rsid w:val="002A3420"/>
    <w:rsid w:val="002B5B1B"/>
    <w:rsid w:val="002C0EDD"/>
    <w:rsid w:val="002C2E43"/>
    <w:rsid w:val="002C54D2"/>
    <w:rsid w:val="002C660A"/>
    <w:rsid w:val="002D17D1"/>
    <w:rsid w:val="002E545E"/>
    <w:rsid w:val="002E64B7"/>
    <w:rsid w:val="002F1FBD"/>
    <w:rsid w:val="002F33EF"/>
    <w:rsid w:val="00304745"/>
    <w:rsid w:val="00304EAE"/>
    <w:rsid w:val="003055A7"/>
    <w:rsid w:val="00305778"/>
    <w:rsid w:val="00305CB1"/>
    <w:rsid w:val="00305D9D"/>
    <w:rsid w:val="00311552"/>
    <w:rsid w:val="0031349A"/>
    <w:rsid w:val="00313AAF"/>
    <w:rsid w:val="00325AFE"/>
    <w:rsid w:val="00351280"/>
    <w:rsid w:val="003559C8"/>
    <w:rsid w:val="00357C78"/>
    <w:rsid w:val="003732CB"/>
    <w:rsid w:val="00380B0B"/>
    <w:rsid w:val="003A2343"/>
    <w:rsid w:val="003A33D0"/>
    <w:rsid w:val="003A346F"/>
    <w:rsid w:val="003A63AE"/>
    <w:rsid w:val="003C15EA"/>
    <w:rsid w:val="003C164D"/>
    <w:rsid w:val="003C4E9C"/>
    <w:rsid w:val="003C6246"/>
    <w:rsid w:val="003E5927"/>
    <w:rsid w:val="004123FF"/>
    <w:rsid w:val="0041282A"/>
    <w:rsid w:val="0041704C"/>
    <w:rsid w:val="00420CBC"/>
    <w:rsid w:val="00421E9E"/>
    <w:rsid w:val="004434F1"/>
    <w:rsid w:val="004440E1"/>
    <w:rsid w:val="00444BE7"/>
    <w:rsid w:val="00451F00"/>
    <w:rsid w:val="00454AE0"/>
    <w:rsid w:val="00457D8F"/>
    <w:rsid w:val="0047497F"/>
    <w:rsid w:val="00485FAA"/>
    <w:rsid w:val="00493A61"/>
    <w:rsid w:val="004963BA"/>
    <w:rsid w:val="004A0ABA"/>
    <w:rsid w:val="004A2829"/>
    <w:rsid w:val="004B3410"/>
    <w:rsid w:val="004B6D4E"/>
    <w:rsid w:val="004B74D0"/>
    <w:rsid w:val="004B7790"/>
    <w:rsid w:val="004C4921"/>
    <w:rsid w:val="004C7133"/>
    <w:rsid w:val="004D72A3"/>
    <w:rsid w:val="004E66AE"/>
    <w:rsid w:val="004E6839"/>
    <w:rsid w:val="004E6E74"/>
    <w:rsid w:val="004F3B51"/>
    <w:rsid w:val="004F5419"/>
    <w:rsid w:val="004F5F6E"/>
    <w:rsid w:val="00502211"/>
    <w:rsid w:val="005033AB"/>
    <w:rsid w:val="00512EB9"/>
    <w:rsid w:val="00515CB2"/>
    <w:rsid w:val="005252FB"/>
    <w:rsid w:val="0054468B"/>
    <w:rsid w:val="005453BE"/>
    <w:rsid w:val="0054754A"/>
    <w:rsid w:val="005502A7"/>
    <w:rsid w:val="00553515"/>
    <w:rsid w:val="005552C9"/>
    <w:rsid w:val="00556A2D"/>
    <w:rsid w:val="00565858"/>
    <w:rsid w:val="00580C77"/>
    <w:rsid w:val="005924A7"/>
    <w:rsid w:val="005A14EE"/>
    <w:rsid w:val="005B0C4F"/>
    <w:rsid w:val="005B2350"/>
    <w:rsid w:val="005B53BE"/>
    <w:rsid w:val="005B7899"/>
    <w:rsid w:val="005C109B"/>
    <w:rsid w:val="005C6E61"/>
    <w:rsid w:val="005D06D5"/>
    <w:rsid w:val="005D21EF"/>
    <w:rsid w:val="005D441D"/>
    <w:rsid w:val="005D7DCC"/>
    <w:rsid w:val="005E11F3"/>
    <w:rsid w:val="005E60EB"/>
    <w:rsid w:val="005F0195"/>
    <w:rsid w:val="005F145E"/>
    <w:rsid w:val="005F4669"/>
    <w:rsid w:val="0060208D"/>
    <w:rsid w:val="0060458C"/>
    <w:rsid w:val="006068F4"/>
    <w:rsid w:val="006070B2"/>
    <w:rsid w:val="0061055B"/>
    <w:rsid w:val="006114B6"/>
    <w:rsid w:val="00614C50"/>
    <w:rsid w:val="006235B5"/>
    <w:rsid w:val="0062703F"/>
    <w:rsid w:val="00627605"/>
    <w:rsid w:val="00627DBE"/>
    <w:rsid w:val="00635786"/>
    <w:rsid w:val="006378F2"/>
    <w:rsid w:val="006463AE"/>
    <w:rsid w:val="00646589"/>
    <w:rsid w:val="00656061"/>
    <w:rsid w:val="00666490"/>
    <w:rsid w:val="00670250"/>
    <w:rsid w:val="00671A36"/>
    <w:rsid w:val="00674178"/>
    <w:rsid w:val="00677B21"/>
    <w:rsid w:val="00685714"/>
    <w:rsid w:val="00692962"/>
    <w:rsid w:val="00692DEA"/>
    <w:rsid w:val="006B3FFF"/>
    <w:rsid w:val="006C0F08"/>
    <w:rsid w:val="006C1A76"/>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2226F"/>
    <w:rsid w:val="00723A5C"/>
    <w:rsid w:val="00734F6C"/>
    <w:rsid w:val="00744748"/>
    <w:rsid w:val="00757D2B"/>
    <w:rsid w:val="00760549"/>
    <w:rsid w:val="007626EF"/>
    <w:rsid w:val="00764094"/>
    <w:rsid w:val="00764591"/>
    <w:rsid w:val="00765DAF"/>
    <w:rsid w:val="007669E7"/>
    <w:rsid w:val="00781317"/>
    <w:rsid w:val="00783BC1"/>
    <w:rsid w:val="00785725"/>
    <w:rsid w:val="007862DA"/>
    <w:rsid w:val="00787905"/>
    <w:rsid w:val="00793D50"/>
    <w:rsid w:val="00794743"/>
    <w:rsid w:val="007973A8"/>
    <w:rsid w:val="007A3B11"/>
    <w:rsid w:val="007A5AD8"/>
    <w:rsid w:val="007B4B94"/>
    <w:rsid w:val="007C17AC"/>
    <w:rsid w:val="007D2D04"/>
    <w:rsid w:val="007E229C"/>
    <w:rsid w:val="007E7C73"/>
    <w:rsid w:val="007F091F"/>
    <w:rsid w:val="007F35A8"/>
    <w:rsid w:val="007F69F9"/>
    <w:rsid w:val="00802B79"/>
    <w:rsid w:val="00806D9C"/>
    <w:rsid w:val="00814F81"/>
    <w:rsid w:val="0081534B"/>
    <w:rsid w:val="008272AA"/>
    <w:rsid w:val="0083056F"/>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A571A"/>
    <w:rsid w:val="008B54C8"/>
    <w:rsid w:val="008B7D55"/>
    <w:rsid w:val="008C4DDB"/>
    <w:rsid w:val="008C682F"/>
    <w:rsid w:val="008D1F4D"/>
    <w:rsid w:val="008D575C"/>
    <w:rsid w:val="008D6170"/>
    <w:rsid w:val="008E04BA"/>
    <w:rsid w:val="008E0C4A"/>
    <w:rsid w:val="009003C8"/>
    <w:rsid w:val="009007A6"/>
    <w:rsid w:val="009049C6"/>
    <w:rsid w:val="00923420"/>
    <w:rsid w:val="00936450"/>
    <w:rsid w:val="00943146"/>
    <w:rsid w:val="00956F98"/>
    <w:rsid w:val="00963B50"/>
    <w:rsid w:val="00973C53"/>
    <w:rsid w:val="00975B5C"/>
    <w:rsid w:val="009815B4"/>
    <w:rsid w:val="009823DE"/>
    <w:rsid w:val="00984639"/>
    <w:rsid w:val="00984935"/>
    <w:rsid w:val="009923CC"/>
    <w:rsid w:val="009B5BAF"/>
    <w:rsid w:val="009C525E"/>
    <w:rsid w:val="009C79C4"/>
    <w:rsid w:val="009D6065"/>
    <w:rsid w:val="009F0CE6"/>
    <w:rsid w:val="009F697C"/>
    <w:rsid w:val="00A00B20"/>
    <w:rsid w:val="00A03454"/>
    <w:rsid w:val="00A0443C"/>
    <w:rsid w:val="00A073FE"/>
    <w:rsid w:val="00A14AF0"/>
    <w:rsid w:val="00A335AB"/>
    <w:rsid w:val="00A41AA3"/>
    <w:rsid w:val="00A42EAA"/>
    <w:rsid w:val="00A51530"/>
    <w:rsid w:val="00A629F8"/>
    <w:rsid w:val="00A729B8"/>
    <w:rsid w:val="00A74317"/>
    <w:rsid w:val="00A86C90"/>
    <w:rsid w:val="00A97ACE"/>
    <w:rsid w:val="00AB1A5A"/>
    <w:rsid w:val="00AB2212"/>
    <w:rsid w:val="00AB4F91"/>
    <w:rsid w:val="00AB5BD4"/>
    <w:rsid w:val="00AC1F4E"/>
    <w:rsid w:val="00AC3538"/>
    <w:rsid w:val="00AD6744"/>
    <w:rsid w:val="00AF6D8A"/>
    <w:rsid w:val="00B0085F"/>
    <w:rsid w:val="00B16F3E"/>
    <w:rsid w:val="00B40EF1"/>
    <w:rsid w:val="00B43E0F"/>
    <w:rsid w:val="00B515D5"/>
    <w:rsid w:val="00B521D5"/>
    <w:rsid w:val="00B67D5C"/>
    <w:rsid w:val="00B81136"/>
    <w:rsid w:val="00B86E8D"/>
    <w:rsid w:val="00B8700C"/>
    <w:rsid w:val="00B90C53"/>
    <w:rsid w:val="00BA144C"/>
    <w:rsid w:val="00BA4B2B"/>
    <w:rsid w:val="00BA7D16"/>
    <w:rsid w:val="00BB1D01"/>
    <w:rsid w:val="00BB2A3A"/>
    <w:rsid w:val="00BB39E6"/>
    <w:rsid w:val="00BB652F"/>
    <w:rsid w:val="00BC2358"/>
    <w:rsid w:val="00BC64C3"/>
    <w:rsid w:val="00BE11AA"/>
    <w:rsid w:val="00BE5835"/>
    <w:rsid w:val="00BE622B"/>
    <w:rsid w:val="00BF346E"/>
    <w:rsid w:val="00BF6973"/>
    <w:rsid w:val="00C10845"/>
    <w:rsid w:val="00C12F09"/>
    <w:rsid w:val="00C205F1"/>
    <w:rsid w:val="00C23FEA"/>
    <w:rsid w:val="00C30A6D"/>
    <w:rsid w:val="00C3108B"/>
    <w:rsid w:val="00C347AE"/>
    <w:rsid w:val="00C37271"/>
    <w:rsid w:val="00C40941"/>
    <w:rsid w:val="00C44CA0"/>
    <w:rsid w:val="00C516BC"/>
    <w:rsid w:val="00C55A45"/>
    <w:rsid w:val="00C61585"/>
    <w:rsid w:val="00C63C83"/>
    <w:rsid w:val="00C71726"/>
    <w:rsid w:val="00C76BAA"/>
    <w:rsid w:val="00C838EB"/>
    <w:rsid w:val="00C84F85"/>
    <w:rsid w:val="00C8556E"/>
    <w:rsid w:val="00C859FD"/>
    <w:rsid w:val="00C919C7"/>
    <w:rsid w:val="00C940C1"/>
    <w:rsid w:val="00C97315"/>
    <w:rsid w:val="00C9771B"/>
    <w:rsid w:val="00CA18B8"/>
    <w:rsid w:val="00CA5449"/>
    <w:rsid w:val="00CA5689"/>
    <w:rsid w:val="00CC27E8"/>
    <w:rsid w:val="00CC3610"/>
    <w:rsid w:val="00CD45E7"/>
    <w:rsid w:val="00CE08E0"/>
    <w:rsid w:val="00D0294B"/>
    <w:rsid w:val="00D145C4"/>
    <w:rsid w:val="00D26ED2"/>
    <w:rsid w:val="00D37836"/>
    <w:rsid w:val="00D407F7"/>
    <w:rsid w:val="00D43EF2"/>
    <w:rsid w:val="00D53865"/>
    <w:rsid w:val="00D60861"/>
    <w:rsid w:val="00D629C5"/>
    <w:rsid w:val="00D774DA"/>
    <w:rsid w:val="00D77E36"/>
    <w:rsid w:val="00D821A6"/>
    <w:rsid w:val="00D83F58"/>
    <w:rsid w:val="00D877B2"/>
    <w:rsid w:val="00D94D24"/>
    <w:rsid w:val="00DA0D25"/>
    <w:rsid w:val="00DA241E"/>
    <w:rsid w:val="00DA2BE7"/>
    <w:rsid w:val="00DB048B"/>
    <w:rsid w:val="00DB2614"/>
    <w:rsid w:val="00DB3C6C"/>
    <w:rsid w:val="00DB4EDE"/>
    <w:rsid w:val="00DB6F2B"/>
    <w:rsid w:val="00DC38DE"/>
    <w:rsid w:val="00DC6C0A"/>
    <w:rsid w:val="00DD121E"/>
    <w:rsid w:val="00DD519E"/>
    <w:rsid w:val="00DE0873"/>
    <w:rsid w:val="00E126BB"/>
    <w:rsid w:val="00E16B5B"/>
    <w:rsid w:val="00E2055B"/>
    <w:rsid w:val="00E23568"/>
    <w:rsid w:val="00E33388"/>
    <w:rsid w:val="00E34337"/>
    <w:rsid w:val="00E36A4D"/>
    <w:rsid w:val="00E379BB"/>
    <w:rsid w:val="00E4447E"/>
    <w:rsid w:val="00E45F50"/>
    <w:rsid w:val="00E52938"/>
    <w:rsid w:val="00E6211C"/>
    <w:rsid w:val="00E6637E"/>
    <w:rsid w:val="00E72B8D"/>
    <w:rsid w:val="00E7666E"/>
    <w:rsid w:val="00E7769C"/>
    <w:rsid w:val="00E82BBA"/>
    <w:rsid w:val="00E833FA"/>
    <w:rsid w:val="00E84532"/>
    <w:rsid w:val="00E92880"/>
    <w:rsid w:val="00E9409C"/>
    <w:rsid w:val="00EB304B"/>
    <w:rsid w:val="00EF5061"/>
    <w:rsid w:val="00F01BD2"/>
    <w:rsid w:val="00F03F5F"/>
    <w:rsid w:val="00F05072"/>
    <w:rsid w:val="00F12038"/>
    <w:rsid w:val="00F16ADA"/>
    <w:rsid w:val="00F26F8E"/>
    <w:rsid w:val="00F306C9"/>
    <w:rsid w:val="00F33A8F"/>
    <w:rsid w:val="00F356AD"/>
    <w:rsid w:val="00F4743E"/>
    <w:rsid w:val="00F50B0F"/>
    <w:rsid w:val="00F54AAE"/>
    <w:rsid w:val="00F648B7"/>
    <w:rsid w:val="00F6651F"/>
    <w:rsid w:val="00F72E82"/>
    <w:rsid w:val="00F7423B"/>
    <w:rsid w:val="00F770BC"/>
    <w:rsid w:val="00F81718"/>
    <w:rsid w:val="00F82A1D"/>
    <w:rsid w:val="00F83BF1"/>
    <w:rsid w:val="00F83D96"/>
    <w:rsid w:val="00FA1691"/>
    <w:rsid w:val="00FA3DAA"/>
    <w:rsid w:val="00FA7136"/>
    <w:rsid w:val="00FB756E"/>
    <w:rsid w:val="00FD1382"/>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677B21"/>
    <w:rPr>
      <w:color w:val="605E5C"/>
      <w:shd w:val="clear" w:color="auto" w:fill="E1DFDD"/>
    </w:rPr>
  </w:style>
  <w:style w:type="paragraph" w:styleId="Revision">
    <w:name w:val="Revision"/>
    <w:hidden/>
    <w:uiPriority w:val="99"/>
    <w:semiHidden/>
    <w:rsid w:val="008A571A"/>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0794">
      <w:bodyDiv w:val="1"/>
      <w:marLeft w:val="0"/>
      <w:marRight w:val="0"/>
      <w:marTop w:val="0"/>
      <w:marBottom w:val="0"/>
      <w:divBdr>
        <w:top w:val="none" w:sz="0" w:space="0" w:color="auto"/>
        <w:left w:val="none" w:sz="0" w:space="0" w:color="auto"/>
        <w:bottom w:val="none" w:sz="0" w:space="0" w:color="auto"/>
        <w:right w:val="none" w:sz="0" w:space="0" w:color="auto"/>
      </w:divBdr>
      <w:divsChild>
        <w:div w:id="1783643050">
          <w:marLeft w:val="0"/>
          <w:marRight w:val="0"/>
          <w:marTop w:val="0"/>
          <w:marBottom w:val="0"/>
          <w:divBdr>
            <w:top w:val="none" w:sz="0" w:space="0" w:color="3D3D3D"/>
            <w:left w:val="none" w:sz="0" w:space="0" w:color="3D3D3D"/>
            <w:bottom w:val="none" w:sz="0" w:space="0" w:color="3D3D3D"/>
            <w:right w:val="none" w:sz="0" w:space="0" w:color="3D3D3D"/>
          </w:divBdr>
          <w:divsChild>
            <w:div w:id="16370283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night@phillipsblack.org" TargetMode="External"/><Relationship Id="rId18" Type="http://schemas.openxmlformats.org/officeDocument/2006/relationships/hyperlink" Target="https://www.azcourts.gov/Portals/0/OpinionFiles/Div1/2014/1%20CA-CR%2012-0249-17573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ppeals2.az.gov/APL2NewDocs1/COA/663/3156461.pdf" TargetMode="External"/><Relationship Id="rId7" Type="http://schemas.openxmlformats.org/officeDocument/2006/relationships/settings" Target="settings.xml"/><Relationship Id="rId12" Type="http://schemas.openxmlformats.org/officeDocument/2006/relationships/hyperlink" Target="mailto:david.euchner@pima.gov" TargetMode="External"/><Relationship Id="rId17" Type="http://schemas.openxmlformats.org/officeDocument/2006/relationships/hyperlink" Target="https://fedsoc.org/commentary/fedsoc-blog/federal-judiciary-s-standing-committee-approves-changes-to-federal-rules-of-evidence-including-rule-702-governing-expert-testimon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scourts.gov/sites/default/files/sept_2022_jcus_rules_report_final_for_website.pdf" TargetMode="External"/><Relationship Id="rId20" Type="http://schemas.openxmlformats.org/officeDocument/2006/relationships/hyperlink" Target="https://www.azcourts.gov/Portals/0/OpinionFiles/Div1/2016/1CACR140488_MemorandumDecis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n.sutherland@pima.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zcourts.gov/Portals/20/Ad%20Hoc%20Evidence%20Committee/Petition.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zcourts.gov/Portals/0/OpinionFiles/Div1/2014/1%20CA-CR%2012-0789-1766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courts.gov/Portals/22/admorder/Orders10/2010-42.pdf?ver=pmemnSdT2F0knEXogOgeKw%3d%3d" TargetMode="External"/><Relationship Id="rId22" Type="http://schemas.openxmlformats.org/officeDocument/2006/relationships/hyperlink" Target="https://www.azcourts.gov/Portals/0/OpinionFiles/Div1/2017/1%20CA-CR%2015-04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4413EAA7-D7F2-4FB9-89F1-061183019290}">
  <ds:schemaRefs>
    <ds:schemaRef ds:uri="http://purl.org/dc/dcmitype/"/>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2352</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15630</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3</cp:revision>
  <cp:lastPrinted>2023-05-01T16:15:00Z</cp:lastPrinted>
  <dcterms:created xsi:type="dcterms:W3CDTF">2023-05-01T16:15:00Z</dcterms:created>
  <dcterms:modified xsi:type="dcterms:W3CDTF">2023-05-01T16:15:00Z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