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9F02" w14:textId="64656E74" w:rsidR="00A74317" w:rsidRPr="00DA0D25"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027CD7E4"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42606A80" w:rsidR="00A74317" w:rsidRDefault="00A74317" w:rsidP="00A74317">
      <w:pPr>
        <w:pStyle w:val="AttorneyName"/>
        <w:spacing w:line="240" w:lineRule="auto"/>
        <w:rPr>
          <w:rFonts w:ascii="Times New Roman" w:hAnsi="Times New Roman"/>
          <w:b/>
          <w:sz w:val="24"/>
          <w:szCs w:val="24"/>
        </w:rPr>
      </w:pPr>
      <w:r>
        <w:rPr>
          <w:rFonts w:ascii="Times New Roman" w:hAnsi="Times New Roman"/>
          <w:b/>
          <w:sz w:val="24"/>
          <w:szCs w:val="24"/>
        </w:rPr>
        <w:t>TEL:</w:t>
      </w:r>
      <w:r w:rsidR="009B5BAF">
        <w:rPr>
          <w:rFonts w:ascii="Times New Roman" w:hAnsi="Times New Roman"/>
          <w:b/>
          <w:sz w:val="24"/>
          <w:szCs w:val="24"/>
        </w:rPr>
        <w:t xml:space="preserve"> </w:t>
      </w: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04F6CA8C" w:rsidR="00A74317" w:rsidRDefault="00A74317" w:rsidP="00A74317">
      <w:pPr>
        <w:pStyle w:val="AttorneyName"/>
        <w:spacing w:line="240" w:lineRule="auto"/>
        <w:rPr>
          <w:rStyle w:val="Hyperlink"/>
          <w:rFonts w:ascii="Times New Roman" w:hAnsi="Times New Roman"/>
          <w:b/>
          <w:sz w:val="24"/>
          <w:szCs w:val="24"/>
        </w:rPr>
      </w:pPr>
      <w:r>
        <w:rPr>
          <w:rFonts w:ascii="Times New Roman" w:hAnsi="Times New Roman"/>
          <w:b/>
          <w:sz w:val="24"/>
          <w:szCs w:val="24"/>
        </w:rPr>
        <w:t xml:space="preserve">E-Mail: </w:t>
      </w:r>
      <w:hyperlink r:id="rId11" w:history="1">
        <w:r w:rsidR="00AC3538" w:rsidRPr="00B370A5">
          <w:rPr>
            <w:rStyle w:val="Hyperlink"/>
            <w:rFonts w:ascii="Times New Roman" w:hAnsi="Times New Roman"/>
            <w:b/>
            <w:sz w:val="24"/>
            <w:szCs w:val="24"/>
          </w:rPr>
          <w:t>david.euchner@pima.gov</w:t>
        </w:r>
      </w:hyperlink>
      <w:r w:rsidR="00AC3538">
        <w:rPr>
          <w:rFonts w:ascii="Times New Roman" w:hAnsi="Times New Roman"/>
          <w:b/>
          <w:sz w:val="24"/>
          <w:szCs w:val="24"/>
        </w:rPr>
        <w:t xml:space="preserve"> </w:t>
      </w:r>
      <w:r w:rsidR="009B5BAF">
        <w:rPr>
          <w:rFonts w:ascii="Times New Roman" w:hAnsi="Times New Roman"/>
          <w:b/>
          <w:sz w:val="24"/>
          <w:szCs w:val="24"/>
        </w:rPr>
        <w:t xml:space="preserve"> </w:t>
      </w: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place">
        <w:smartTag w:uri="urn:schemas-microsoft-com:office:smarttags" w:element="Stat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3B4735E6"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w:t>
            </w:r>
            <w:r w:rsidR="00C60CF3">
              <w:rPr>
                <w:rFonts w:ascii="Times New Roman" w:hAnsi="Times New Roman"/>
                <w:sz w:val="28"/>
                <w:szCs w:val="28"/>
              </w:rPr>
              <w:t>mend</w:t>
            </w:r>
            <w:r w:rsidRPr="0014499B">
              <w:rPr>
                <w:rFonts w:ascii="Times New Roman" w:hAnsi="Times New Roman"/>
                <w:sz w:val="28"/>
                <w:szCs w:val="28"/>
              </w:rPr>
              <w:t xml:space="preserve"> </w:t>
            </w:r>
            <w:bookmarkEnd w:id="1"/>
            <w:r w:rsidR="003E5547">
              <w:rPr>
                <w:rFonts w:ascii="Times New Roman" w:hAnsi="Times New Roman"/>
                <w:sz w:val="28"/>
                <w:szCs w:val="28"/>
              </w:rPr>
              <w:t>ARCAP</w:t>
            </w:r>
            <w:r w:rsidR="003E5547" w:rsidRPr="003E5547">
              <w:rPr>
                <w:rFonts w:ascii="Times New Roman" w:hAnsi="Times New Roman"/>
                <w:sz w:val="28"/>
                <w:szCs w:val="28"/>
              </w:rPr>
              <w:t xml:space="preserve"> </w:t>
            </w:r>
            <w:r w:rsidR="00BF265F">
              <w:rPr>
                <w:rFonts w:ascii="Times New Roman" w:hAnsi="Times New Roman"/>
                <w:sz w:val="28"/>
                <w:szCs w:val="28"/>
              </w:rPr>
              <w:t>15 &amp; 21</w:t>
            </w:r>
            <w:r w:rsidR="003E5547" w:rsidRPr="003E5547">
              <w:rPr>
                <w:rFonts w:ascii="Times New Roman" w:hAnsi="Times New Roman"/>
                <w:sz w:val="28"/>
                <w:szCs w:val="28"/>
              </w:rPr>
              <w:t>, Ariz</w:t>
            </w:r>
            <w:r w:rsidR="003E5547">
              <w:rPr>
                <w:rFonts w:ascii="Times New Roman" w:hAnsi="Times New Roman"/>
                <w:sz w:val="28"/>
                <w:szCs w:val="28"/>
              </w:rPr>
              <w:t>.</w:t>
            </w:r>
            <w:r w:rsidR="003E5547" w:rsidRPr="003E5547">
              <w:rPr>
                <w:rFonts w:ascii="Times New Roman" w:hAnsi="Times New Roman"/>
                <w:sz w:val="28"/>
                <w:szCs w:val="28"/>
              </w:rPr>
              <w:t xml:space="preserve"> R</w:t>
            </w:r>
            <w:r w:rsidR="003E5547">
              <w:rPr>
                <w:rFonts w:ascii="Times New Roman" w:hAnsi="Times New Roman"/>
                <w:sz w:val="28"/>
                <w:szCs w:val="28"/>
              </w:rPr>
              <w:t>.</w:t>
            </w:r>
            <w:r w:rsidR="003E5547" w:rsidRPr="003E5547">
              <w:rPr>
                <w:rFonts w:ascii="Times New Roman" w:hAnsi="Times New Roman"/>
                <w:sz w:val="28"/>
                <w:szCs w:val="28"/>
              </w:rPr>
              <w:t xml:space="preserve"> Crim</w:t>
            </w:r>
            <w:r w:rsidR="003E5547">
              <w:rPr>
                <w:rFonts w:ascii="Times New Roman" w:hAnsi="Times New Roman"/>
                <w:sz w:val="28"/>
                <w:szCs w:val="28"/>
              </w:rPr>
              <w:t>.</w:t>
            </w:r>
            <w:r w:rsidR="003E5547" w:rsidRPr="003E5547">
              <w:rPr>
                <w:rFonts w:ascii="Times New Roman" w:hAnsi="Times New Roman"/>
                <w:sz w:val="28"/>
                <w:szCs w:val="28"/>
              </w:rPr>
              <w:t xml:space="preserve"> P</w:t>
            </w:r>
            <w:r w:rsidR="003E5547">
              <w:rPr>
                <w:rFonts w:ascii="Times New Roman" w:hAnsi="Times New Roman"/>
                <w:sz w:val="28"/>
                <w:szCs w:val="28"/>
              </w:rPr>
              <w:t>.</w:t>
            </w:r>
            <w:r w:rsidR="003E5547" w:rsidRPr="003E5547">
              <w:rPr>
                <w:rFonts w:ascii="Times New Roman" w:hAnsi="Times New Roman"/>
                <w:sz w:val="28"/>
                <w:szCs w:val="28"/>
              </w:rPr>
              <w:t xml:space="preserve"> 31, </w:t>
            </w:r>
            <w:r w:rsidR="00BF265F">
              <w:rPr>
                <w:rFonts w:ascii="Times New Roman" w:hAnsi="Times New Roman"/>
                <w:sz w:val="28"/>
                <w:szCs w:val="28"/>
              </w:rPr>
              <w:t>and the Rules of the Supreme Court</w:t>
            </w:r>
            <w:r w:rsidR="003E5547" w:rsidRPr="003E5547">
              <w:rPr>
                <w:rFonts w:ascii="Times New Roman" w:hAnsi="Times New Roman"/>
                <w:sz w:val="28"/>
                <w:szCs w:val="28"/>
              </w:rPr>
              <w:t>.</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12DCB3CA"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2C54D2">
              <w:rPr>
                <w:rFonts w:ascii="Times New Roman" w:hAnsi="Times New Roman"/>
                <w:sz w:val="28"/>
                <w:szCs w:val="28"/>
              </w:rPr>
              <w:t>2</w:t>
            </w:r>
            <w:r w:rsidR="00C667CE">
              <w:rPr>
                <w:rFonts w:ascii="Times New Roman" w:hAnsi="Times New Roman"/>
                <w:sz w:val="28"/>
                <w:szCs w:val="28"/>
              </w:rPr>
              <w:t>2</w:t>
            </w:r>
            <w:r w:rsidR="002C54D2">
              <w:rPr>
                <w:rFonts w:ascii="Times New Roman" w:hAnsi="Times New Roman"/>
                <w:sz w:val="28"/>
                <w:szCs w:val="28"/>
              </w:rPr>
              <w:t>-00</w:t>
            </w:r>
            <w:r w:rsidR="00C667CE">
              <w:rPr>
                <w:rFonts w:ascii="Times New Roman" w:hAnsi="Times New Roman"/>
                <w:sz w:val="28"/>
                <w:szCs w:val="28"/>
              </w:rPr>
              <w:t>41</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2DE11395" w:rsidR="00DC38DE" w:rsidRPr="00F84E06" w:rsidRDefault="002C54D2" w:rsidP="00C76BAA">
            <w:pPr>
              <w:pStyle w:val="SingleSpacing"/>
              <w:spacing w:line="240" w:lineRule="auto"/>
              <w:rPr>
                <w:rFonts w:ascii="Times New Roman" w:hAnsi="Times New Roman"/>
                <w:b/>
                <w:i/>
                <w:sz w:val="28"/>
                <w:szCs w:val="28"/>
              </w:rPr>
            </w:pPr>
            <w:r>
              <w:rPr>
                <w:rFonts w:ascii="Times New Roman" w:hAnsi="Times New Roman"/>
                <w:b/>
                <w:sz w:val="28"/>
                <w:szCs w:val="28"/>
              </w:rPr>
              <w:t xml:space="preserve">COMMENT OF </w:t>
            </w:r>
            <w:r w:rsidR="000B6489">
              <w:rPr>
                <w:rFonts w:ascii="Times New Roman" w:hAnsi="Times New Roman"/>
                <w:b/>
                <w:sz w:val="28"/>
                <w:szCs w:val="28"/>
              </w:rPr>
              <w:t xml:space="preserve">DAVID EUCHNER IN </w:t>
            </w:r>
            <w:r w:rsidR="00BF265F">
              <w:rPr>
                <w:rFonts w:ascii="Times New Roman" w:hAnsi="Times New Roman"/>
                <w:b/>
                <w:sz w:val="28"/>
                <w:szCs w:val="28"/>
              </w:rPr>
              <w:t>SUPPORT</w:t>
            </w:r>
            <w:r w:rsidR="000B6489">
              <w:rPr>
                <w:rFonts w:ascii="Times New Roman" w:hAnsi="Times New Roman"/>
                <w:b/>
                <w:sz w:val="28"/>
                <w:szCs w:val="28"/>
              </w:rPr>
              <w:t xml:space="preserve"> </w:t>
            </w:r>
            <w:r w:rsidR="00BF265F">
              <w:rPr>
                <w:rFonts w:ascii="Times New Roman" w:hAnsi="Times New Roman"/>
                <w:b/>
                <w:sz w:val="28"/>
                <w:szCs w:val="28"/>
              </w:rPr>
              <w:t>OF</w:t>
            </w:r>
            <w:r w:rsidR="000B6489">
              <w:rPr>
                <w:rFonts w:ascii="Times New Roman" w:hAnsi="Times New Roman"/>
                <w:b/>
                <w:sz w:val="28"/>
                <w:szCs w:val="28"/>
              </w:rPr>
              <w:t xml:space="preserve"> PETITION TO AMEND VARIOUS RULES </w:t>
            </w:r>
            <w:r w:rsidR="00BF265F">
              <w:rPr>
                <w:rFonts w:ascii="Times New Roman" w:hAnsi="Times New Roman"/>
                <w:b/>
                <w:sz w:val="28"/>
                <w:szCs w:val="28"/>
              </w:rPr>
              <w:t>OF APPELLATE PROCEDURE</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0E7C027F" w:rsidR="001D0E6C" w:rsidRDefault="00DC38DE" w:rsidP="000B6489">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Supreme Court</w:t>
      </w:r>
      <w:r w:rsidR="000B6489">
        <w:rPr>
          <w:rFonts w:ascii="Times New Roman" w:hAnsi="Times New Roman"/>
          <w:sz w:val="28"/>
          <w:szCs w:val="28"/>
        </w:rPr>
        <w:t>, David J. Euchner</w:t>
      </w:r>
      <w:r w:rsidRPr="0014499B">
        <w:rPr>
          <w:rFonts w:ascii="Times New Roman" w:hAnsi="Times New Roman"/>
          <w:sz w:val="28"/>
          <w:szCs w:val="28"/>
        </w:rPr>
        <w:t xml:space="preserve"> hereby submits the following </w:t>
      </w:r>
      <w:r w:rsidR="002C54D2">
        <w:rPr>
          <w:rFonts w:ascii="Times New Roman" w:hAnsi="Times New Roman"/>
          <w:sz w:val="28"/>
          <w:szCs w:val="28"/>
        </w:rPr>
        <w:t xml:space="preserve">comment on the </w:t>
      </w:r>
      <w:r w:rsidRPr="0014499B">
        <w:rPr>
          <w:rFonts w:ascii="Times New Roman" w:hAnsi="Times New Roman"/>
          <w:sz w:val="28"/>
          <w:szCs w:val="28"/>
        </w:rPr>
        <w:t>petition</w:t>
      </w:r>
      <w:r w:rsidR="00A74317">
        <w:rPr>
          <w:rFonts w:ascii="Times New Roman" w:hAnsi="Times New Roman"/>
          <w:sz w:val="28"/>
          <w:szCs w:val="28"/>
        </w:rPr>
        <w:t xml:space="preserve"> to </w:t>
      </w:r>
      <w:r w:rsidR="009F0094">
        <w:rPr>
          <w:rFonts w:ascii="Times New Roman" w:hAnsi="Times New Roman"/>
          <w:sz w:val="28"/>
          <w:szCs w:val="28"/>
        </w:rPr>
        <w:t>amend</w:t>
      </w:r>
      <w:r w:rsidR="000B6489">
        <w:rPr>
          <w:rFonts w:ascii="Times New Roman" w:hAnsi="Times New Roman"/>
          <w:sz w:val="28"/>
          <w:szCs w:val="28"/>
        </w:rPr>
        <w:t xml:space="preserve"> various rules of </w:t>
      </w:r>
      <w:r w:rsidR="00BF265F">
        <w:rPr>
          <w:rFonts w:ascii="Times New Roman" w:hAnsi="Times New Roman"/>
          <w:sz w:val="28"/>
          <w:szCs w:val="28"/>
        </w:rPr>
        <w:t xml:space="preserve">appellate </w:t>
      </w:r>
      <w:r w:rsidR="000B6489">
        <w:rPr>
          <w:rFonts w:ascii="Times New Roman" w:hAnsi="Times New Roman"/>
          <w:sz w:val="28"/>
          <w:szCs w:val="28"/>
        </w:rPr>
        <w:t>procedure</w:t>
      </w:r>
      <w:r w:rsidR="00A74317">
        <w:rPr>
          <w:rFonts w:ascii="Times New Roman" w:hAnsi="Times New Roman"/>
          <w:sz w:val="28"/>
          <w:szCs w:val="28"/>
        </w:rPr>
        <w:t>.</w:t>
      </w:r>
    </w:p>
    <w:p w14:paraId="5F7BB62C" w14:textId="33EEDEEC" w:rsidR="001B3667" w:rsidRPr="001B3667" w:rsidRDefault="001B3667" w:rsidP="001B3667">
      <w:pPr>
        <w:spacing w:line="480" w:lineRule="auto"/>
        <w:jc w:val="both"/>
        <w:rPr>
          <w:rFonts w:ascii="Times New Roman" w:hAnsi="Times New Roman"/>
          <w:b/>
          <w:bCs/>
          <w:sz w:val="28"/>
          <w:szCs w:val="28"/>
          <w:u w:val="single"/>
        </w:rPr>
      </w:pPr>
      <w:r w:rsidRPr="001B3667">
        <w:rPr>
          <w:rFonts w:ascii="Times New Roman" w:hAnsi="Times New Roman"/>
          <w:b/>
          <w:bCs/>
          <w:sz w:val="28"/>
          <w:szCs w:val="28"/>
          <w:u w:val="single"/>
        </w:rPr>
        <w:t>Introduction</w:t>
      </w:r>
    </w:p>
    <w:p w14:paraId="5E683EBB" w14:textId="5366D8FB" w:rsidR="006650FE" w:rsidRDefault="003E5547" w:rsidP="001D0E6C">
      <w:pPr>
        <w:spacing w:line="480" w:lineRule="auto"/>
        <w:ind w:firstLine="720"/>
        <w:jc w:val="both"/>
        <w:rPr>
          <w:rFonts w:ascii="Times New Roman" w:hAnsi="Times New Roman"/>
          <w:sz w:val="28"/>
          <w:szCs w:val="28"/>
        </w:rPr>
      </w:pPr>
      <w:r>
        <w:rPr>
          <w:rFonts w:ascii="Times New Roman" w:hAnsi="Times New Roman"/>
          <w:sz w:val="28"/>
          <w:szCs w:val="28"/>
        </w:rPr>
        <w:t>I have</w:t>
      </w:r>
      <w:r w:rsidR="000B6489">
        <w:rPr>
          <w:rFonts w:ascii="Times New Roman" w:hAnsi="Times New Roman"/>
          <w:sz w:val="28"/>
          <w:szCs w:val="28"/>
        </w:rPr>
        <w:t xml:space="preserve"> been a full-time appellate practitioner for over 15 years. For more than 10 years, </w:t>
      </w:r>
      <w:r>
        <w:rPr>
          <w:rFonts w:ascii="Times New Roman" w:hAnsi="Times New Roman"/>
          <w:sz w:val="28"/>
          <w:szCs w:val="28"/>
        </w:rPr>
        <w:t>I have</w:t>
      </w:r>
      <w:r w:rsidR="000B6489">
        <w:rPr>
          <w:rFonts w:ascii="Times New Roman" w:hAnsi="Times New Roman"/>
          <w:sz w:val="28"/>
          <w:szCs w:val="28"/>
        </w:rPr>
        <w:t xml:space="preserve"> supervised the appellate unit of the Pima County Public Defender’s Office. For the last 12 years, </w:t>
      </w:r>
      <w:r>
        <w:rPr>
          <w:rFonts w:ascii="Times New Roman" w:hAnsi="Times New Roman"/>
          <w:sz w:val="28"/>
          <w:szCs w:val="28"/>
        </w:rPr>
        <w:t>I have</w:t>
      </w:r>
      <w:r w:rsidR="000B6489">
        <w:rPr>
          <w:rFonts w:ascii="Times New Roman" w:hAnsi="Times New Roman"/>
          <w:sz w:val="28"/>
          <w:szCs w:val="28"/>
        </w:rPr>
        <w:t xml:space="preserve"> served as a chair or co-chair of the amicus and rules committee of Arizona Attorneys for Criminal Justice, and in that capacity </w:t>
      </w:r>
      <w:r>
        <w:rPr>
          <w:rFonts w:ascii="Times New Roman" w:hAnsi="Times New Roman"/>
          <w:sz w:val="28"/>
          <w:szCs w:val="28"/>
        </w:rPr>
        <w:t xml:space="preserve">I </w:t>
      </w:r>
      <w:r w:rsidR="00BF265F">
        <w:rPr>
          <w:rFonts w:ascii="Times New Roman" w:hAnsi="Times New Roman"/>
          <w:sz w:val="28"/>
          <w:szCs w:val="28"/>
        </w:rPr>
        <w:t>file</w:t>
      </w:r>
      <w:r w:rsidR="000B6489">
        <w:rPr>
          <w:rFonts w:ascii="Times New Roman" w:hAnsi="Times New Roman"/>
          <w:sz w:val="28"/>
          <w:szCs w:val="28"/>
        </w:rPr>
        <w:t xml:space="preserve"> </w:t>
      </w:r>
      <w:r w:rsidR="00BF265F">
        <w:rPr>
          <w:rFonts w:ascii="Times New Roman" w:hAnsi="Times New Roman"/>
          <w:sz w:val="28"/>
          <w:szCs w:val="28"/>
        </w:rPr>
        <w:t>several</w:t>
      </w:r>
      <w:r w:rsidR="000B6489">
        <w:rPr>
          <w:rFonts w:ascii="Times New Roman" w:hAnsi="Times New Roman"/>
          <w:sz w:val="28"/>
          <w:szCs w:val="28"/>
        </w:rPr>
        <w:t xml:space="preserve"> </w:t>
      </w:r>
      <w:r w:rsidR="000B6489" w:rsidRPr="00ED2D12">
        <w:rPr>
          <w:rFonts w:ascii="Times New Roman" w:hAnsi="Times New Roman"/>
          <w:i/>
          <w:iCs/>
          <w:sz w:val="28"/>
          <w:szCs w:val="28"/>
        </w:rPr>
        <w:t>amicus curiae</w:t>
      </w:r>
      <w:r w:rsidR="000B6489">
        <w:rPr>
          <w:rFonts w:ascii="Times New Roman" w:hAnsi="Times New Roman"/>
          <w:sz w:val="28"/>
          <w:szCs w:val="28"/>
        </w:rPr>
        <w:t xml:space="preserve"> briefs in state and federal appellate courts</w:t>
      </w:r>
      <w:r w:rsidR="00BF265F">
        <w:rPr>
          <w:rFonts w:ascii="Times New Roman" w:hAnsi="Times New Roman"/>
          <w:sz w:val="28"/>
          <w:szCs w:val="28"/>
        </w:rPr>
        <w:t xml:space="preserve"> every year</w:t>
      </w:r>
      <w:r w:rsidR="000B6489">
        <w:rPr>
          <w:rFonts w:ascii="Times New Roman" w:hAnsi="Times New Roman"/>
          <w:sz w:val="28"/>
          <w:szCs w:val="28"/>
        </w:rPr>
        <w:t>.</w:t>
      </w:r>
      <w:r w:rsidR="00BF265F">
        <w:rPr>
          <w:rFonts w:ascii="Times New Roman" w:hAnsi="Times New Roman"/>
          <w:sz w:val="28"/>
          <w:szCs w:val="28"/>
        </w:rPr>
        <w:t xml:space="preserve"> I do not keep count of how many</w:t>
      </w:r>
      <w:r w:rsidR="002A4DD3">
        <w:rPr>
          <w:rFonts w:ascii="Times New Roman" w:hAnsi="Times New Roman"/>
          <w:sz w:val="28"/>
          <w:szCs w:val="28"/>
        </w:rPr>
        <w:t xml:space="preserve"> </w:t>
      </w:r>
      <w:r w:rsidR="002A4DD3" w:rsidRPr="002A4DD3">
        <w:rPr>
          <w:rFonts w:ascii="Times New Roman" w:hAnsi="Times New Roman"/>
          <w:i/>
          <w:iCs/>
          <w:sz w:val="28"/>
          <w:szCs w:val="28"/>
        </w:rPr>
        <w:t>amicus</w:t>
      </w:r>
      <w:r w:rsidR="00BF265F">
        <w:rPr>
          <w:rFonts w:ascii="Times New Roman" w:hAnsi="Times New Roman"/>
          <w:sz w:val="28"/>
          <w:szCs w:val="28"/>
        </w:rPr>
        <w:t xml:space="preserve"> briefs I have filed, but I am listed as counsel</w:t>
      </w:r>
      <w:r w:rsidR="002B62C2">
        <w:rPr>
          <w:rFonts w:ascii="Times New Roman" w:hAnsi="Times New Roman"/>
          <w:sz w:val="28"/>
          <w:szCs w:val="28"/>
        </w:rPr>
        <w:t xml:space="preserve"> or co-counsel</w:t>
      </w:r>
      <w:r w:rsidR="00BF265F">
        <w:rPr>
          <w:rFonts w:ascii="Times New Roman" w:hAnsi="Times New Roman"/>
          <w:sz w:val="28"/>
          <w:szCs w:val="28"/>
        </w:rPr>
        <w:t xml:space="preserve"> for </w:t>
      </w:r>
      <w:r w:rsidR="00BF265F" w:rsidRPr="00BF265F">
        <w:rPr>
          <w:rFonts w:ascii="Times New Roman" w:hAnsi="Times New Roman"/>
          <w:i/>
          <w:iCs/>
          <w:sz w:val="28"/>
          <w:szCs w:val="28"/>
        </w:rPr>
        <w:t>amicus curiae</w:t>
      </w:r>
      <w:r w:rsidR="00BF265F">
        <w:rPr>
          <w:rFonts w:ascii="Times New Roman" w:hAnsi="Times New Roman"/>
          <w:sz w:val="28"/>
          <w:szCs w:val="28"/>
        </w:rPr>
        <w:t xml:space="preserve"> in </w:t>
      </w:r>
      <w:r w:rsidR="002A4DD3">
        <w:rPr>
          <w:rFonts w:ascii="Times New Roman" w:hAnsi="Times New Roman"/>
          <w:sz w:val="28"/>
          <w:szCs w:val="28"/>
        </w:rPr>
        <w:t xml:space="preserve">42 published opinions in Arizona state courts. In at least </w:t>
      </w:r>
      <w:r w:rsidR="002A4DD3">
        <w:rPr>
          <w:rFonts w:ascii="Times New Roman" w:hAnsi="Times New Roman"/>
          <w:sz w:val="28"/>
          <w:szCs w:val="28"/>
        </w:rPr>
        <w:lastRenderedPageBreak/>
        <w:t xml:space="preserve">9 cases that I argued at the Arizona Supreme Court on behalf of a client of the Public Defender’s Office, I was supported by at least one </w:t>
      </w:r>
      <w:r w:rsidR="002A4DD3" w:rsidRPr="002A4DD3">
        <w:rPr>
          <w:rFonts w:ascii="Times New Roman" w:hAnsi="Times New Roman"/>
          <w:i/>
          <w:iCs/>
          <w:sz w:val="28"/>
          <w:szCs w:val="28"/>
        </w:rPr>
        <w:t>amicus</w:t>
      </w:r>
      <w:r w:rsidR="002A4DD3">
        <w:rPr>
          <w:rFonts w:ascii="Times New Roman" w:hAnsi="Times New Roman"/>
          <w:sz w:val="28"/>
          <w:szCs w:val="28"/>
        </w:rPr>
        <w:t xml:space="preserve"> brief.</w:t>
      </w:r>
      <w:r w:rsidR="006A3EB6">
        <w:rPr>
          <w:rFonts w:ascii="Times New Roman" w:hAnsi="Times New Roman"/>
          <w:sz w:val="28"/>
          <w:szCs w:val="28"/>
        </w:rPr>
        <w:t xml:space="preserve"> </w:t>
      </w:r>
    </w:p>
    <w:p w14:paraId="55D9DFFA" w14:textId="2ADA4B99" w:rsidR="002A4DD3" w:rsidRDefault="006A3EB6"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My experience gives me perspective as to the first two </w:t>
      </w:r>
      <w:r w:rsidR="006650FE">
        <w:rPr>
          <w:rFonts w:ascii="Times New Roman" w:hAnsi="Times New Roman"/>
          <w:sz w:val="28"/>
          <w:szCs w:val="28"/>
        </w:rPr>
        <w:t>areas of concern</w:t>
      </w:r>
      <w:r>
        <w:rPr>
          <w:rFonts w:ascii="Times New Roman" w:hAnsi="Times New Roman"/>
          <w:sz w:val="28"/>
          <w:szCs w:val="28"/>
        </w:rPr>
        <w:t xml:space="preserve"> contained in this Petition, and I </w:t>
      </w:r>
      <w:r w:rsidR="002B62C2">
        <w:rPr>
          <w:rFonts w:ascii="Times New Roman" w:hAnsi="Times New Roman"/>
          <w:sz w:val="28"/>
          <w:szCs w:val="28"/>
        </w:rPr>
        <w:t>agree with most of</w:t>
      </w:r>
      <w:r w:rsidR="001F54B7">
        <w:rPr>
          <w:rFonts w:ascii="Times New Roman" w:hAnsi="Times New Roman"/>
          <w:sz w:val="28"/>
          <w:szCs w:val="28"/>
        </w:rPr>
        <w:t xml:space="preserve"> the arguments made by Petitioners in favor of </w:t>
      </w:r>
      <w:r w:rsidR="002B62C2">
        <w:rPr>
          <w:rFonts w:ascii="Times New Roman" w:hAnsi="Times New Roman"/>
          <w:sz w:val="28"/>
          <w:szCs w:val="28"/>
        </w:rPr>
        <w:t>their proposals</w:t>
      </w:r>
      <w:r w:rsidR="001F54B7">
        <w:rPr>
          <w:rFonts w:ascii="Times New Roman" w:hAnsi="Times New Roman"/>
          <w:sz w:val="28"/>
          <w:szCs w:val="28"/>
        </w:rPr>
        <w:t xml:space="preserve">. On the first issue related to placing limitations on responses to amicus briefs, I </w:t>
      </w:r>
      <w:r w:rsidR="002B62C2">
        <w:rPr>
          <w:rFonts w:ascii="Times New Roman" w:hAnsi="Times New Roman"/>
          <w:sz w:val="28"/>
          <w:szCs w:val="28"/>
        </w:rPr>
        <w:t xml:space="preserve">also </w:t>
      </w:r>
      <w:r w:rsidR="001F54B7">
        <w:rPr>
          <w:rFonts w:ascii="Times New Roman" w:hAnsi="Times New Roman"/>
          <w:sz w:val="28"/>
          <w:szCs w:val="28"/>
        </w:rPr>
        <w:t>agree with the specific proposal. On the second issue related to appellate courts deciding cases on unbriefed issues,</w:t>
      </w:r>
      <w:r>
        <w:rPr>
          <w:rFonts w:ascii="Times New Roman" w:hAnsi="Times New Roman"/>
          <w:sz w:val="28"/>
          <w:szCs w:val="28"/>
        </w:rPr>
        <w:t xml:space="preserve"> </w:t>
      </w:r>
      <w:r w:rsidR="006650FE">
        <w:rPr>
          <w:rFonts w:ascii="Times New Roman" w:hAnsi="Times New Roman"/>
          <w:sz w:val="28"/>
          <w:szCs w:val="28"/>
        </w:rPr>
        <w:t xml:space="preserve">I </w:t>
      </w:r>
      <w:r w:rsidR="001F54B7">
        <w:rPr>
          <w:rFonts w:ascii="Times New Roman" w:hAnsi="Times New Roman"/>
          <w:sz w:val="28"/>
          <w:szCs w:val="28"/>
        </w:rPr>
        <w:t>have an alternative proposal and specify a location where the language should be added</w:t>
      </w:r>
      <w:r w:rsidR="006650FE">
        <w:rPr>
          <w:rFonts w:ascii="Times New Roman" w:hAnsi="Times New Roman"/>
          <w:sz w:val="28"/>
          <w:szCs w:val="28"/>
        </w:rPr>
        <w:t>.</w:t>
      </w:r>
    </w:p>
    <w:p w14:paraId="79F0DF83" w14:textId="77777777" w:rsidR="006A3EB6" w:rsidRDefault="006A3EB6" w:rsidP="001D0E6C">
      <w:pPr>
        <w:spacing w:line="480" w:lineRule="auto"/>
        <w:ind w:firstLine="720"/>
        <w:jc w:val="both"/>
        <w:rPr>
          <w:rFonts w:ascii="Times New Roman" w:hAnsi="Times New Roman"/>
          <w:sz w:val="28"/>
          <w:szCs w:val="28"/>
        </w:rPr>
      </w:pPr>
    </w:p>
    <w:p w14:paraId="6773D45D" w14:textId="40FB9730" w:rsidR="001B3667" w:rsidRPr="001B3667" w:rsidRDefault="006A3EB6" w:rsidP="001B3667">
      <w:pPr>
        <w:spacing w:line="480" w:lineRule="auto"/>
        <w:jc w:val="both"/>
        <w:rPr>
          <w:rFonts w:ascii="Times New Roman" w:hAnsi="Times New Roman"/>
          <w:b/>
          <w:bCs/>
          <w:sz w:val="28"/>
          <w:szCs w:val="28"/>
          <w:u w:val="single"/>
        </w:rPr>
      </w:pPr>
      <w:r>
        <w:rPr>
          <w:rFonts w:ascii="Times New Roman" w:hAnsi="Times New Roman"/>
          <w:b/>
          <w:bCs/>
          <w:sz w:val="28"/>
          <w:szCs w:val="28"/>
          <w:u w:val="single"/>
        </w:rPr>
        <w:t xml:space="preserve">Limitations on Responses to </w:t>
      </w:r>
      <w:r w:rsidRPr="006A3EB6">
        <w:rPr>
          <w:rFonts w:ascii="Times New Roman" w:hAnsi="Times New Roman"/>
          <w:b/>
          <w:bCs/>
          <w:i/>
          <w:iCs/>
          <w:sz w:val="28"/>
          <w:szCs w:val="28"/>
          <w:u w:val="single"/>
        </w:rPr>
        <w:t>Amicus</w:t>
      </w:r>
      <w:r>
        <w:rPr>
          <w:rFonts w:ascii="Times New Roman" w:hAnsi="Times New Roman"/>
          <w:b/>
          <w:bCs/>
          <w:sz w:val="28"/>
          <w:szCs w:val="28"/>
          <w:u w:val="single"/>
        </w:rPr>
        <w:t xml:space="preserve"> Briefs </w:t>
      </w:r>
    </w:p>
    <w:p w14:paraId="36CEEB8A" w14:textId="76D313DC" w:rsidR="000A3743" w:rsidRDefault="006A3EB6"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My experience with </w:t>
      </w:r>
      <w:r w:rsidRPr="001942E5">
        <w:rPr>
          <w:rFonts w:ascii="Times New Roman" w:hAnsi="Times New Roman"/>
          <w:i/>
          <w:iCs/>
          <w:sz w:val="28"/>
          <w:szCs w:val="28"/>
        </w:rPr>
        <w:t>amicus</w:t>
      </w:r>
      <w:r>
        <w:rPr>
          <w:rFonts w:ascii="Times New Roman" w:hAnsi="Times New Roman"/>
          <w:sz w:val="28"/>
          <w:szCs w:val="28"/>
        </w:rPr>
        <w:t xml:space="preserve"> briefs </w:t>
      </w:r>
      <w:r w:rsidR="001942E5">
        <w:rPr>
          <w:rFonts w:ascii="Times New Roman" w:hAnsi="Times New Roman"/>
          <w:sz w:val="28"/>
          <w:szCs w:val="28"/>
        </w:rPr>
        <w:t>was</w:t>
      </w:r>
      <w:r>
        <w:rPr>
          <w:rFonts w:ascii="Times New Roman" w:hAnsi="Times New Roman"/>
          <w:sz w:val="28"/>
          <w:szCs w:val="28"/>
        </w:rPr>
        <w:t xml:space="preserve"> exclusively in criminal case</w:t>
      </w:r>
      <w:r w:rsidR="001942E5">
        <w:rPr>
          <w:rFonts w:ascii="Times New Roman" w:hAnsi="Times New Roman"/>
          <w:sz w:val="28"/>
          <w:szCs w:val="28"/>
        </w:rPr>
        <w:t xml:space="preserve">s until last year when I began authoring </w:t>
      </w:r>
      <w:r w:rsidR="001942E5" w:rsidRPr="001942E5">
        <w:rPr>
          <w:rFonts w:ascii="Times New Roman" w:hAnsi="Times New Roman"/>
          <w:i/>
          <w:iCs/>
          <w:sz w:val="28"/>
          <w:szCs w:val="28"/>
        </w:rPr>
        <w:t>amicus</w:t>
      </w:r>
      <w:r w:rsidR="001942E5">
        <w:rPr>
          <w:rFonts w:ascii="Times New Roman" w:hAnsi="Times New Roman"/>
          <w:sz w:val="28"/>
          <w:szCs w:val="28"/>
        </w:rPr>
        <w:t xml:space="preserve"> briefs in cases involving termination of parental rights.</w:t>
      </w:r>
      <w:r w:rsidR="00542196">
        <w:rPr>
          <w:rFonts w:ascii="Times New Roman" w:hAnsi="Times New Roman"/>
          <w:sz w:val="28"/>
          <w:szCs w:val="28"/>
        </w:rPr>
        <w:t xml:space="preserve"> Until recently,</w:t>
      </w:r>
      <w:r w:rsidR="001942E5">
        <w:rPr>
          <w:rFonts w:ascii="Times New Roman" w:hAnsi="Times New Roman"/>
          <w:sz w:val="28"/>
          <w:szCs w:val="28"/>
        </w:rPr>
        <w:t xml:space="preserve"> Ariz. R. Crim. P. 31 and 32 contained limited provisions for </w:t>
      </w:r>
      <w:r w:rsidR="001942E5" w:rsidRPr="004503FC">
        <w:rPr>
          <w:rFonts w:ascii="Times New Roman" w:hAnsi="Times New Roman"/>
          <w:i/>
          <w:iCs/>
          <w:sz w:val="28"/>
          <w:szCs w:val="28"/>
        </w:rPr>
        <w:t>amicus</w:t>
      </w:r>
      <w:r w:rsidR="001942E5">
        <w:rPr>
          <w:rFonts w:ascii="Times New Roman" w:hAnsi="Times New Roman"/>
          <w:sz w:val="28"/>
          <w:szCs w:val="28"/>
        </w:rPr>
        <w:t xml:space="preserve"> briefs, </w:t>
      </w:r>
      <w:r w:rsidR="00542196">
        <w:rPr>
          <w:rFonts w:ascii="Times New Roman" w:hAnsi="Times New Roman"/>
          <w:sz w:val="28"/>
          <w:szCs w:val="28"/>
        </w:rPr>
        <w:t xml:space="preserve">so </w:t>
      </w:r>
      <w:r w:rsidR="001942E5">
        <w:rPr>
          <w:rFonts w:ascii="Times New Roman" w:hAnsi="Times New Roman"/>
          <w:sz w:val="28"/>
          <w:szCs w:val="28"/>
        </w:rPr>
        <w:t>I cobbled together a sense of what the rules should be by extrapolating from ARCAP and</w:t>
      </w:r>
      <w:r w:rsidR="00542196">
        <w:rPr>
          <w:rFonts w:ascii="Times New Roman" w:hAnsi="Times New Roman"/>
          <w:sz w:val="28"/>
          <w:szCs w:val="28"/>
        </w:rPr>
        <w:t xml:space="preserve"> through</w:t>
      </w:r>
      <w:r w:rsidR="001942E5">
        <w:rPr>
          <w:rFonts w:ascii="Times New Roman" w:hAnsi="Times New Roman"/>
          <w:sz w:val="28"/>
          <w:szCs w:val="28"/>
        </w:rPr>
        <w:t xml:space="preserve"> trial and error. In 2016-17, the Criminal Rules Task Force added a rule specifically for </w:t>
      </w:r>
      <w:r w:rsidR="001942E5" w:rsidRPr="004503FC">
        <w:rPr>
          <w:rFonts w:ascii="Times New Roman" w:hAnsi="Times New Roman"/>
          <w:i/>
          <w:iCs/>
          <w:sz w:val="28"/>
          <w:szCs w:val="28"/>
        </w:rPr>
        <w:t>amicus</w:t>
      </w:r>
      <w:r w:rsidR="001942E5">
        <w:rPr>
          <w:rFonts w:ascii="Times New Roman" w:hAnsi="Times New Roman"/>
          <w:sz w:val="28"/>
          <w:szCs w:val="28"/>
        </w:rPr>
        <w:t xml:space="preserve"> briefs, current Rule 31.15, and it took the language directly from ARCAP 16</w:t>
      </w:r>
      <w:r w:rsidR="00542196">
        <w:rPr>
          <w:rFonts w:ascii="Times New Roman" w:hAnsi="Times New Roman"/>
          <w:sz w:val="28"/>
          <w:szCs w:val="28"/>
        </w:rPr>
        <w:t>. T</w:t>
      </w:r>
      <w:r w:rsidR="001942E5">
        <w:rPr>
          <w:rFonts w:ascii="Times New Roman" w:hAnsi="Times New Roman"/>
          <w:sz w:val="28"/>
          <w:szCs w:val="28"/>
        </w:rPr>
        <w:t>he new Arizona Rules of Criminal Procedure went into effect on January 1, 2018.</w:t>
      </w:r>
    </w:p>
    <w:p w14:paraId="63A05003" w14:textId="2959DACA" w:rsidR="001F54B7" w:rsidRDefault="006650FE"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As Petitioners point out, there is no rule that </w:t>
      </w:r>
      <w:r w:rsidR="002B62C2">
        <w:rPr>
          <w:rFonts w:ascii="Times New Roman" w:hAnsi="Times New Roman"/>
          <w:sz w:val="28"/>
          <w:szCs w:val="28"/>
        </w:rPr>
        <w:t>prohibits</w:t>
      </w:r>
      <w:r>
        <w:rPr>
          <w:rFonts w:ascii="Times New Roman" w:hAnsi="Times New Roman"/>
          <w:sz w:val="28"/>
          <w:szCs w:val="28"/>
        </w:rPr>
        <w:t xml:space="preserve"> a party from filing a response to a supporting brief. Even without </w:t>
      </w:r>
      <w:r w:rsidR="002B62C2">
        <w:rPr>
          <w:rFonts w:ascii="Times New Roman" w:hAnsi="Times New Roman"/>
          <w:sz w:val="28"/>
          <w:szCs w:val="28"/>
        </w:rPr>
        <w:t>explicit</w:t>
      </w:r>
      <w:r>
        <w:rPr>
          <w:rFonts w:ascii="Times New Roman" w:hAnsi="Times New Roman"/>
          <w:sz w:val="28"/>
          <w:szCs w:val="28"/>
        </w:rPr>
        <w:t xml:space="preserve"> prohibiti</w:t>
      </w:r>
      <w:r w:rsidR="002B62C2">
        <w:rPr>
          <w:rFonts w:ascii="Times New Roman" w:hAnsi="Times New Roman"/>
          <w:sz w:val="28"/>
          <w:szCs w:val="28"/>
        </w:rPr>
        <w:t>o</w:t>
      </w:r>
      <w:r>
        <w:rPr>
          <w:rFonts w:ascii="Times New Roman" w:hAnsi="Times New Roman"/>
          <w:sz w:val="28"/>
          <w:szCs w:val="28"/>
        </w:rPr>
        <w:t xml:space="preserve">n, I have avoided this </w:t>
      </w:r>
      <w:r>
        <w:rPr>
          <w:rFonts w:ascii="Times New Roman" w:hAnsi="Times New Roman"/>
          <w:sz w:val="28"/>
          <w:szCs w:val="28"/>
        </w:rPr>
        <w:lastRenderedPageBreak/>
        <w:t>(and I instruct others not to do this when people ask if it is permitted) because it is obviously bad form.</w:t>
      </w:r>
      <w:r w:rsidR="00C0694F">
        <w:rPr>
          <w:rFonts w:ascii="Times New Roman" w:hAnsi="Times New Roman"/>
          <w:sz w:val="28"/>
          <w:szCs w:val="28"/>
        </w:rPr>
        <w:t xml:space="preserve"> The State of Arizona (including its agency Department of Child Safety) being the adverse party in 100% of my cases, I have never seen </w:t>
      </w:r>
      <w:r w:rsidR="00542196">
        <w:rPr>
          <w:rFonts w:ascii="Times New Roman" w:hAnsi="Times New Roman"/>
          <w:sz w:val="28"/>
          <w:szCs w:val="28"/>
        </w:rPr>
        <w:t>my opposing counsel</w:t>
      </w:r>
      <w:r w:rsidR="00C0694F">
        <w:rPr>
          <w:rFonts w:ascii="Times New Roman" w:hAnsi="Times New Roman"/>
          <w:sz w:val="28"/>
          <w:szCs w:val="28"/>
        </w:rPr>
        <w:t xml:space="preserve"> engage in such bad form either. Given that many civil appeals are handled by trial lawyers with little appellate experience, however, I have no doubt that Petitioners</w:t>
      </w:r>
      <w:r w:rsidR="00A25E18">
        <w:rPr>
          <w:rFonts w:ascii="Times New Roman" w:hAnsi="Times New Roman"/>
          <w:sz w:val="28"/>
          <w:szCs w:val="28"/>
        </w:rPr>
        <w:t xml:space="preserve"> have seen some lawyers have filed responses </w:t>
      </w:r>
      <w:r w:rsidR="00A25E18" w:rsidRPr="00A25E18">
        <w:rPr>
          <w:rFonts w:ascii="Times New Roman" w:hAnsi="Times New Roman"/>
          <w:i/>
          <w:iCs/>
          <w:sz w:val="28"/>
          <w:szCs w:val="28"/>
        </w:rPr>
        <w:t>amicus</w:t>
      </w:r>
      <w:r w:rsidR="00A25E18">
        <w:rPr>
          <w:rFonts w:ascii="Times New Roman" w:hAnsi="Times New Roman"/>
          <w:sz w:val="28"/>
          <w:szCs w:val="28"/>
        </w:rPr>
        <w:t xml:space="preserve"> briefs supporting their position</w:t>
      </w:r>
      <w:r w:rsidR="00C0694F">
        <w:rPr>
          <w:rFonts w:ascii="Times New Roman" w:hAnsi="Times New Roman"/>
          <w:sz w:val="28"/>
          <w:szCs w:val="28"/>
        </w:rPr>
        <w:t>.</w:t>
      </w:r>
      <w:r>
        <w:rPr>
          <w:rFonts w:ascii="Times New Roman" w:hAnsi="Times New Roman"/>
          <w:sz w:val="28"/>
          <w:szCs w:val="28"/>
        </w:rPr>
        <w:t xml:space="preserve"> Having a rule in place would help practitioners navigate these procedures</w:t>
      </w:r>
      <w:r w:rsidR="005E40C0">
        <w:rPr>
          <w:rFonts w:ascii="Times New Roman" w:hAnsi="Times New Roman"/>
          <w:sz w:val="28"/>
          <w:szCs w:val="28"/>
        </w:rPr>
        <w:t xml:space="preserve"> for lawyers who are unaccustomed to working with an </w:t>
      </w:r>
      <w:r w:rsidR="005E40C0" w:rsidRPr="005E40C0">
        <w:rPr>
          <w:rFonts w:ascii="Times New Roman" w:hAnsi="Times New Roman"/>
          <w:i/>
          <w:iCs/>
          <w:sz w:val="28"/>
          <w:szCs w:val="28"/>
        </w:rPr>
        <w:t>amicus</w:t>
      </w:r>
      <w:r w:rsidR="005E40C0">
        <w:rPr>
          <w:rFonts w:ascii="Times New Roman" w:hAnsi="Times New Roman"/>
          <w:sz w:val="28"/>
          <w:szCs w:val="28"/>
        </w:rPr>
        <w:t xml:space="preserve">. </w:t>
      </w:r>
      <w:r w:rsidR="001F54B7">
        <w:rPr>
          <w:rFonts w:ascii="Times New Roman" w:hAnsi="Times New Roman"/>
          <w:sz w:val="28"/>
          <w:szCs w:val="28"/>
        </w:rPr>
        <w:t xml:space="preserve">I also agree with Petitioners’ point that even a friendly </w:t>
      </w:r>
      <w:r w:rsidR="001F54B7" w:rsidRPr="00753D22">
        <w:rPr>
          <w:rFonts w:ascii="Times New Roman" w:hAnsi="Times New Roman"/>
          <w:i/>
          <w:iCs/>
          <w:sz w:val="28"/>
          <w:szCs w:val="28"/>
        </w:rPr>
        <w:t>amicus</w:t>
      </w:r>
      <w:r w:rsidR="001F54B7">
        <w:rPr>
          <w:rFonts w:ascii="Times New Roman" w:hAnsi="Times New Roman"/>
          <w:sz w:val="28"/>
          <w:szCs w:val="28"/>
        </w:rPr>
        <w:t xml:space="preserve"> brief can disagree with the party it supports on some points, and in those circumstances the party should be able to contest the point or clarify the argument.</w:t>
      </w:r>
    </w:p>
    <w:p w14:paraId="11850EA3" w14:textId="38B851B4" w:rsidR="003E3701" w:rsidRDefault="00A25E18" w:rsidP="001F54B7">
      <w:pPr>
        <w:spacing w:line="480" w:lineRule="auto"/>
        <w:ind w:firstLine="720"/>
        <w:jc w:val="both"/>
        <w:rPr>
          <w:rFonts w:ascii="Times New Roman" w:hAnsi="Times New Roman"/>
          <w:sz w:val="28"/>
          <w:szCs w:val="28"/>
        </w:rPr>
      </w:pPr>
      <w:r>
        <w:rPr>
          <w:rFonts w:ascii="Times New Roman" w:hAnsi="Times New Roman"/>
          <w:sz w:val="28"/>
          <w:szCs w:val="28"/>
        </w:rPr>
        <w:t xml:space="preserve">Ultimately, whether there is a specific rule or not, some attorneys will bend or break the rule, and it is always up to opposing counsel to police such violations by bringing them to the attention of the court—just as they must bring to the court’s attention violations committed by </w:t>
      </w:r>
      <w:r w:rsidRPr="00A25E18">
        <w:rPr>
          <w:rFonts w:ascii="Times New Roman" w:hAnsi="Times New Roman"/>
          <w:i/>
          <w:iCs/>
          <w:sz w:val="28"/>
          <w:szCs w:val="28"/>
        </w:rPr>
        <w:t>amici</w:t>
      </w:r>
      <w:r>
        <w:rPr>
          <w:rFonts w:ascii="Times New Roman" w:hAnsi="Times New Roman"/>
          <w:sz w:val="28"/>
          <w:szCs w:val="28"/>
        </w:rPr>
        <w:t>.</w:t>
      </w:r>
    </w:p>
    <w:p w14:paraId="03F2BD64" w14:textId="1DEF6CF5" w:rsidR="001B3667" w:rsidRPr="001B3667" w:rsidRDefault="002F2876" w:rsidP="001B3667">
      <w:pPr>
        <w:spacing w:line="480" w:lineRule="auto"/>
        <w:jc w:val="both"/>
        <w:rPr>
          <w:rFonts w:ascii="Times New Roman" w:hAnsi="Times New Roman"/>
          <w:b/>
          <w:bCs/>
          <w:sz w:val="28"/>
          <w:szCs w:val="28"/>
          <w:u w:val="single"/>
        </w:rPr>
      </w:pPr>
      <w:r>
        <w:rPr>
          <w:rFonts w:ascii="Times New Roman" w:hAnsi="Times New Roman"/>
          <w:b/>
          <w:bCs/>
          <w:sz w:val="28"/>
          <w:szCs w:val="28"/>
          <w:u w:val="single"/>
        </w:rPr>
        <w:t>Appellate Decisions on an Unbriefed Basis</w:t>
      </w:r>
    </w:p>
    <w:p w14:paraId="548CE662" w14:textId="703FD914" w:rsidR="00D16827" w:rsidRPr="00D16827" w:rsidRDefault="00D16827" w:rsidP="00D16827">
      <w:pPr>
        <w:pStyle w:val="ListParagraph"/>
        <w:numPr>
          <w:ilvl w:val="0"/>
          <w:numId w:val="9"/>
        </w:numPr>
        <w:spacing w:line="480" w:lineRule="auto"/>
        <w:jc w:val="both"/>
        <w:rPr>
          <w:rFonts w:ascii="Times New Roman" w:hAnsi="Times New Roman"/>
          <w:i/>
          <w:iCs/>
          <w:sz w:val="28"/>
          <w:szCs w:val="28"/>
        </w:rPr>
      </w:pPr>
      <w:r w:rsidRPr="00D16827">
        <w:rPr>
          <w:rFonts w:ascii="Times New Roman" w:hAnsi="Times New Roman"/>
          <w:i/>
          <w:iCs/>
          <w:sz w:val="28"/>
          <w:szCs w:val="28"/>
        </w:rPr>
        <w:t>Violation of Due Process and of Judicial Norms</w:t>
      </w:r>
    </w:p>
    <w:p w14:paraId="189E8A3F" w14:textId="77777777" w:rsidR="001F54B7" w:rsidRDefault="00CB3D52" w:rsidP="001D0E6C">
      <w:pPr>
        <w:spacing w:line="480" w:lineRule="auto"/>
        <w:ind w:firstLine="720"/>
        <w:jc w:val="both"/>
        <w:rPr>
          <w:rFonts w:ascii="Times New Roman" w:hAnsi="Times New Roman"/>
          <w:sz w:val="28"/>
          <w:szCs w:val="28"/>
        </w:rPr>
      </w:pPr>
      <w:r>
        <w:rPr>
          <w:rFonts w:ascii="Times New Roman" w:hAnsi="Times New Roman"/>
          <w:sz w:val="28"/>
          <w:szCs w:val="28"/>
        </w:rPr>
        <w:t>There is never a reason for an appellate court to decide a case on an unbriefed issue</w:t>
      </w:r>
      <w:r w:rsidR="00356079">
        <w:rPr>
          <w:rFonts w:ascii="Times New Roman" w:hAnsi="Times New Roman"/>
          <w:sz w:val="28"/>
          <w:szCs w:val="28"/>
        </w:rPr>
        <w:t>.</w:t>
      </w:r>
      <w:r>
        <w:rPr>
          <w:rFonts w:ascii="Times New Roman" w:hAnsi="Times New Roman"/>
          <w:sz w:val="28"/>
          <w:szCs w:val="28"/>
        </w:rPr>
        <w:t xml:space="preserve"> Petitioners suggest an appellate court might properly dismiss an appeal based on a jurisdictional defect, Petition at 6 n.1, but this is no less improper.</w:t>
      </w:r>
      <w:r w:rsidR="00125CA9">
        <w:rPr>
          <w:rFonts w:ascii="Times New Roman" w:hAnsi="Times New Roman"/>
          <w:sz w:val="28"/>
          <w:szCs w:val="28"/>
        </w:rPr>
        <w:t xml:space="preserve"> </w:t>
      </w:r>
    </w:p>
    <w:p w14:paraId="3D12270C" w14:textId="5B2FE222" w:rsidR="00356079" w:rsidRDefault="00125CA9" w:rsidP="001D0E6C">
      <w:pPr>
        <w:spacing w:line="480" w:lineRule="auto"/>
        <w:ind w:firstLine="720"/>
        <w:jc w:val="both"/>
        <w:rPr>
          <w:rFonts w:ascii="Times New Roman" w:hAnsi="Times New Roman"/>
          <w:sz w:val="28"/>
          <w:szCs w:val="28"/>
        </w:rPr>
      </w:pPr>
      <w:r>
        <w:rPr>
          <w:rFonts w:ascii="Times New Roman" w:hAnsi="Times New Roman"/>
          <w:sz w:val="28"/>
          <w:szCs w:val="28"/>
        </w:rPr>
        <w:lastRenderedPageBreak/>
        <w:t>Once I was counsel for a mother in a private dependency proceeding</w:t>
      </w:r>
      <w:r w:rsidR="001F54B7">
        <w:rPr>
          <w:rFonts w:ascii="Times New Roman" w:hAnsi="Times New Roman"/>
          <w:sz w:val="28"/>
          <w:szCs w:val="28"/>
        </w:rPr>
        <w:t xml:space="preserve"> initiated by the maternal grandmother,</w:t>
      </w:r>
      <w:r>
        <w:rPr>
          <w:rFonts w:ascii="Times New Roman" w:hAnsi="Times New Roman"/>
          <w:sz w:val="28"/>
          <w:szCs w:val="28"/>
        </w:rPr>
        <w:t xml:space="preserve"> and the juvenile court dismissed the </w:t>
      </w:r>
      <w:r w:rsidR="001F54B7">
        <w:rPr>
          <w:rFonts w:ascii="Times New Roman" w:hAnsi="Times New Roman"/>
          <w:sz w:val="28"/>
          <w:szCs w:val="28"/>
        </w:rPr>
        <w:t>petition</w:t>
      </w:r>
      <w:r>
        <w:rPr>
          <w:rFonts w:ascii="Times New Roman" w:hAnsi="Times New Roman"/>
          <w:sz w:val="28"/>
          <w:szCs w:val="28"/>
        </w:rPr>
        <w:t xml:space="preserve"> </w:t>
      </w:r>
      <w:r w:rsidR="001F54B7">
        <w:rPr>
          <w:rFonts w:ascii="Times New Roman" w:hAnsi="Times New Roman"/>
          <w:sz w:val="28"/>
          <w:szCs w:val="28"/>
        </w:rPr>
        <w:t>under the UCCJEA</w:t>
      </w:r>
      <w:r>
        <w:rPr>
          <w:rFonts w:ascii="Times New Roman" w:hAnsi="Times New Roman"/>
          <w:sz w:val="28"/>
          <w:szCs w:val="28"/>
        </w:rPr>
        <w:t>. On appeal, I briefed an issue of first impression concerning the application of UCCJEA and ICWA, and I filed a request for oral argument. The court of appeals denied my request for oral argument and three days later published an opinion.</w:t>
      </w:r>
      <w:r w:rsidR="00CB3D52">
        <w:rPr>
          <w:rFonts w:ascii="Times New Roman" w:hAnsi="Times New Roman"/>
          <w:sz w:val="28"/>
          <w:szCs w:val="28"/>
        </w:rPr>
        <w:t xml:space="preserve"> In </w:t>
      </w:r>
      <w:r w:rsidR="00CB3D52" w:rsidRPr="00CB3D52">
        <w:rPr>
          <w:rFonts w:ascii="Times New Roman" w:hAnsi="Times New Roman"/>
          <w:i/>
          <w:iCs/>
          <w:sz w:val="28"/>
          <w:szCs w:val="28"/>
        </w:rPr>
        <w:t>Holly C. v. Tohono O’odham Nation</w:t>
      </w:r>
      <w:r w:rsidR="00CB3D52">
        <w:rPr>
          <w:rFonts w:ascii="Times New Roman" w:hAnsi="Times New Roman"/>
          <w:sz w:val="28"/>
          <w:szCs w:val="28"/>
        </w:rPr>
        <w:t xml:space="preserve">, 246 Ariz. </w:t>
      </w:r>
      <w:r>
        <w:rPr>
          <w:rFonts w:ascii="Times New Roman" w:hAnsi="Times New Roman"/>
          <w:sz w:val="28"/>
          <w:szCs w:val="28"/>
        </w:rPr>
        <w:t xml:space="preserve">85 (App. 2018), the court of appeals dismissed my appeal for lack of jurisdiction because my client, the mother of the child at issue, was not an “aggrieved party.” No party raised this issue, and for good reason: the court was terribly wrong. Inexplicably, the court denied my motion for reconsideration. When I filed a petition for review, this Court issued a one-page order stating that my client was an aggrieved party and ordering the court of appeals to hear the appeal. A different panel of the court of appeals then published a new opinion on the issue I raised. </w:t>
      </w:r>
      <w:r w:rsidRPr="00CB3D52">
        <w:rPr>
          <w:rFonts w:ascii="Times New Roman" w:hAnsi="Times New Roman"/>
          <w:i/>
          <w:iCs/>
          <w:sz w:val="28"/>
          <w:szCs w:val="28"/>
        </w:rPr>
        <w:t>Holly C. v. Tohono O’odham Nation</w:t>
      </w:r>
      <w:r>
        <w:rPr>
          <w:rFonts w:ascii="Times New Roman" w:hAnsi="Times New Roman"/>
          <w:sz w:val="28"/>
          <w:szCs w:val="28"/>
        </w:rPr>
        <w:t>, 247 Ariz. 495 (App. 2019).</w:t>
      </w:r>
    </w:p>
    <w:p w14:paraId="793E3152" w14:textId="211799CE" w:rsidR="006A78C5" w:rsidRDefault="006A78C5"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Unfortunately, </w:t>
      </w:r>
      <w:r w:rsidRPr="006A78C5">
        <w:rPr>
          <w:rFonts w:ascii="Times New Roman" w:hAnsi="Times New Roman"/>
          <w:i/>
          <w:iCs/>
          <w:sz w:val="28"/>
          <w:szCs w:val="28"/>
        </w:rPr>
        <w:t>Holly C</w:t>
      </w:r>
      <w:r>
        <w:rPr>
          <w:rFonts w:ascii="Times New Roman" w:hAnsi="Times New Roman"/>
          <w:sz w:val="28"/>
          <w:szCs w:val="28"/>
        </w:rPr>
        <w:t xml:space="preserve">. was not an anomaly. This has occurred in at least </w:t>
      </w:r>
      <w:r w:rsidR="00B4395E">
        <w:rPr>
          <w:rFonts w:ascii="Times New Roman" w:hAnsi="Times New Roman"/>
          <w:sz w:val="28"/>
          <w:szCs w:val="28"/>
        </w:rPr>
        <w:t>three</w:t>
      </w:r>
      <w:r>
        <w:rPr>
          <w:rFonts w:ascii="Times New Roman" w:hAnsi="Times New Roman"/>
          <w:sz w:val="28"/>
          <w:szCs w:val="28"/>
        </w:rPr>
        <w:t xml:space="preserve"> of my </w:t>
      </w:r>
      <w:r w:rsidR="00B4395E">
        <w:rPr>
          <w:rFonts w:ascii="Times New Roman" w:hAnsi="Times New Roman"/>
          <w:sz w:val="28"/>
          <w:szCs w:val="28"/>
        </w:rPr>
        <w:t>criminal</w:t>
      </w:r>
      <w:r>
        <w:rPr>
          <w:rFonts w:ascii="Times New Roman" w:hAnsi="Times New Roman"/>
          <w:sz w:val="28"/>
          <w:szCs w:val="28"/>
        </w:rPr>
        <w:t xml:space="preserve"> cases in recent years.</w:t>
      </w:r>
      <w:r w:rsidR="00B4395E">
        <w:rPr>
          <w:rFonts w:ascii="Times New Roman" w:hAnsi="Times New Roman"/>
          <w:sz w:val="28"/>
          <w:szCs w:val="28"/>
        </w:rPr>
        <w:t xml:space="preserve"> </w:t>
      </w:r>
      <w:r w:rsidR="00B4395E" w:rsidRPr="00B4395E">
        <w:rPr>
          <w:rFonts w:ascii="Times New Roman" w:hAnsi="Times New Roman"/>
          <w:i/>
          <w:sz w:val="28"/>
          <w:szCs w:val="28"/>
        </w:rPr>
        <w:t>State v. Lopez</w:t>
      </w:r>
      <w:r w:rsidR="00B4395E" w:rsidRPr="00B4395E">
        <w:rPr>
          <w:rFonts w:ascii="Times New Roman" w:hAnsi="Times New Roman"/>
          <w:sz w:val="28"/>
          <w:szCs w:val="28"/>
        </w:rPr>
        <w:t xml:space="preserve">, 2 CA-CR 2016-0042, 2017 WL 5594054 (mem., Nov. 21, 2017); </w:t>
      </w:r>
      <w:r w:rsidR="00B4395E" w:rsidRPr="00B4395E">
        <w:rPr>
          <w:rFonts w:ascii="Times New Roman" w:hAnsi="Times New Roman"/>
          <w:i/>
          <w:sz w:val="28"/>
          <w:szCs w:val="28"/>
        </w:rPr>
        <w:t>State v. Massey</w:t>
      </w:r>
      <w:r w:rsidR="00B4395E" w:rsidRPr="00B4395E">
        <w:rPr>
          <w:rFonts w:ascii="Times New Roman" w:hAnsi="Times New Roman"/>
          <w:sz w:val="28"/>
          <w:szCs w:val="28"/>
        </w:rPr>
        <w:t>, 2 CA-CR 2018-0030, 2018 WL 6735181 (mem., Dec. 24, 2018)</w:t>
      </w:r>
      <w:r w:rsidR="00B4395E">
        <w:rPr>
          <w:rFonts w:ascii="Times New Roman" w:hAnsi="Times New Roman"/>
          <w:sz w:val="28"/>
          <w:szCs w:val="28"/>
        </w:rPr>
        <w:t xml:space="preserve">; </w:t>
      </w:r>
      <w:r w:rsidR="00B4395E" w:rsidRPr="00B4395E">
        <w:rPr>
          <w:rFonts w:ascii="Times New Roman" w:hAnsi="Times New Roman"/>
          <w:i/>
          <w:iCs/>
          <w:sz w:val="28"/>
          <w:szCs w:val="28"/>
        </w:rPr>
        <w:t>State v. Leeman</w:t>
      </w:r>
      <w:r w:rsidR="00B4395E">
        <w:rPr>
          <w:rFonts w:ascii="Times New Roman" w:hAnsi="Times New Roman"/>
          <w:sz w:val="28"/>
          <w:szCs w:val="28"/>
        </w:rPr>
        <w:t>, 2 CA-CR 2021-0100-PR, 2022 WL 1043745 (mem., April 7, 2022)</w:t>
      </w:r>
      <w:r w:rsidR="00B4395E" w:rsidRPr="00B4395E">
        <w:rPr>
          <w:rFonts w:ascii="Times New Roman" w:hAnsi="Times New Roman"/>
          <w:sz w:val="28"/>
          <w:szCs w:val="28"/>
        </w:rPr>
        <w:t>.</w:t>
      </w:r>
      <w:r w:rsidR="00B4395E">
        <w:rPr>
          <w:rFonts w:ascii="Times New Roman" w:hAnsi="Times New Roman"/>
          <w:sz w:val="28"/>
          <w:szCs w:val="28"/>
        </w:rPr>
        <w:t xml:space="preserve"> What makes </w:t>
      </w:r>
      <w:r w:rsidR="00B4395E" w:rsidRPr="00B4395E">
        <w:rPr>
          <w:rFonts w:ascii="Times New Roman" w:hAnsi="Times New Roman"/>
          <w:i/>
          <w:iCs/>
          <w:sz w:val="28"/>
          <w:szCs w:val="28"/>
        </w:rPr>
        <w:t>Leeman</w:t>
      </w:r>
      <w:r w:rsidR="00B4395E">
        <w:rPr>
          <w:rFonts w:ascii="Times New Roman" w:hAnsi="Times New Roman"/>
          <w:sz w:val="28"/>
          <w:szCs w:val="28"/>
        </w:rPr>
        <w:t xml:space="preserve"> stand out even more is that the State confessed error in that case, yet the court of appeals reached for an </w:t>
      </w:r>
      <w:r w:rsidR="00B4395E">
        <w:rPr>
          <w:rFonts w:ascii="Times New Roman" w:hAnsi="Times New Roman"/>
          <w:sz w:val="28"/>
          <w:szCs w:val="28"/>
        </w:rPr>
        <w:lastRenderedPageBreak/>
        <w:t xml:space="preserve">issue in order to uphold a result that no party thought was </w:t>
      </w:r>
      <w:r w:rsidR="002B62C2">
        <w:rPr>
          <w:rFonts w:ascii="Times New Roman" w:hAnsi="Times New Roman"/>
          <w:sz w:val="28"/>
          <w:szCs w:val="28"/>
        </w:rPr>
        <w:t>correct</w:t>
      </w:r>
      <w:r w:rsidR="00B4395E">
        <w:rPr>
          <w:rFonts w:ascii="Times New Roman" w:hAnsi="Times New Roman"/>
          <w:sz w:val="28"/>
          <w:szCs w:val="28"/>
        </w:rPr>
        <w:t xml:space="preserve">. </w:t>
      </w:r>
      <w:r w:rsidR="002B62C2">
        <w:rPr>
          <w:rFonts w:ascii="Times New Roman" w:hAnsi="Times New Roman"/>
          <w:sz w:val="28"/>
          <w:szCs w:val="28"/>
        </w:rPr>
        <w:t>C</w:t>
      </w:r>
      <w:r w:rsidR="00B4395E">
        <w:rPr>
          <w:rFonts w:ascii="Times New Roman" w:hAnsi="Times New Roman"/>
          <w:sz w:val="28"/>
          <w:szCs w:val="28"/>
        </w:rPr>
        <w:t xml:space="preserve">olleagues who practice in Division One </w:t>
      </w:r>
      <w:r w:rsidR="006876D6">
        <w:rPr>
          <w:rFonts w:ascii="Times New Roman" w:hAnsi="Times New Roman"/>
          <w:sz w:val="28"/>
          <w:szCs w:val="28"/>
        </w:rPr>
        <w:t>occasionally</w:t>
      </w:r>
      <w:r w:rsidR="00B4395E">
        <w:rPr>
          <w:rFonts w:ascii="Times New Roman" w:hAnsi="Times New Roman"/>
          <w:sz w:val="28"/>
          <w:szCs w:val="28"/>
        </w:rPr>
        <w:t xml:space="preserve"> encounter this problem as well.</w:t>
      </w:r>
      <w:r w:rsidR="00D16827">
        <w:rPr>
          <w:rFonts w:ascii="Times New Roman" w:hAnsi="Times New Roman"/>
          <w:sz w:val="28"/>
          <w:szCs w:val="28"/>
        </w:rPr>
        <w:t xml:space="preserve"> </w:t>
      </w:r>
      <w:r w:rsidR="006876D6">
        <w:rPr>
          <w:rFonts w:ascii="Times New Roman" w:hAnsi="Times New Roman"/>
          <w:sz w:val="28"/>
          <w:szCs w:val="28"/>
        </w:rPr>
        <w:t xml:space="preserve">For example, </w:t>
      </w:r>
      <w:r w:rsidR="00D16827">
        <w:rPr>
          <w:rFonts w:ascii="Times New Roman" w:hAnsi="Times New Roman"/>
          <w:sz w:val="28"/>
          <w:szCs w:val="28"/>
        </w:rPr>
        <w:t xml:space="preserve">in a recent parental-termination case, </w:t>
      </w:r>
      <w:r w:rsidR="00D16827" w:rsidRPr="00D16827">
        <w:rPr>
          <w:rFonts w:ascii="Times New Roman" w:hAnsi="Times New Roman"/>
          <w:i/>
          <w:iCs/>
          <w:sz w:val="28"/>
          <w:szCs w:val="28"/>
        </w:rPr>
        <w:t>Sheena W. v. DCS</w:t>
      </w:r>
      <w:r w:rsidR="00D16827">
        <w:rPr>
          <w:rFonts w:ascii="Times New Roman" w:hAnsi="Times New Roman"/>
          <w:sz w:val="28"/>
          <w:szCs w:val="28"/>
        </w:rPr>
        <w:t xml:space="preserve">, 522 P.3d 686 (App. 2022), </w:t>
      </w:r>
      <w:r w:rsidR="00D16827" w:rsidRPr="00D16827">
        <w:rPr>
          <w:rFonts w:ascii="Times New Roman" w:hAnsi="Times New Roman"/>
          <w:i/>
          <w:iCs/>
          <w:sz w:val="28"/>
          <w:szCs w:val="28"/>
        </w:rPr>
        <w:t>vacated in part</w:t>
      </w:r>
      <w:r w:rsidR="00D16827">
        <w:rPr>
          <w:rFonts w:ascii="Times New Roman" w:hAnsi="Times New Roman"/>
          <w:sz w:val="28"/>
          <w:szCs w:val="28"/>
        </w:rPr>
        <w:t xml:space="preserve"> (Ariz., April 4, 2023), DCS candidly conceded that the court of appeals, in reaching a decision on an unbriefed issue, made a substantial error of fact and law that required vacating part of the opinion.</w:t>
      </w:r>
    </w:p>
    <w:p w14:paraId="4D27D7E8" w14:textId="5866428B" w:rsidR="00B4395E" w:rsidRDefault="00B4395E"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The practice of resolving appeals on unbriefed grounds is unwise because the court lacks the benefit of adversarial briefing, and it increases the likelihood of a terrible result, most notably in </w:t>
      </w:r>
      <w:r w:rsidRPr="00B4395E">
        <w:rPr>
          <w:rFonts w:ascii="Times New Roman" w:hAnsi="Times New Roman"/>
          <w:i/>
          <w:iCs/>
          <w:sz w:val="28"/>
          <w:szCs w:val="28"/>
        </w:rPr>
        <w:t>Holly C</w:t>
      </w:r>
      <w:r>
        <w:rPr>
          <w:rFonts w:ascii="Times New Roman" w:hAnsi="Times New Roman"/>
          <w:sz w:val="28"/>
          <w:szCs w:val="28"/>
        </w:rPr>
        <w:t>. But it is not only unwise; it also violates due process.</w:t>
      </w:r>
    </w:p>
    <w:p w14:paraId="39C0B426" w14:textId="7F6B7C15" w:rsidR="007A6AC6" w:rsidRPr="007A6AC6" w:rsidRDefault="007A6AC6" w:rsidP="007A6AC6">
      <w:pPr>
        <w:spacing w:line="480" w:lineRule="auto"/>
        <w:ind w:firstLine="720"/>
        <w:jc w:val="both"/>
        <w:rPr>
          <w:rFonts w:ascii="Times New Roman" w:hAnsi="Times New Roman"/>
          <w:sz w:val="28"/>
          <w:szCs w:val="28"/>
        </w:rPr>
      </w:pPr>
      <w:r w:rsidRPr="007A6AC6">
        <w:rPr>
          <w:rFonts w:ascii="Times New Roman" w:hAnsi="Times New Roman"/>
          <w:sz w:val="28"/>
          <w:szCs w:val="28"/>
        </w:rPr>
        <w:t xml:space="preserve">“A fundamental requirement of due process is the opportunity to be heard ‘at a meaningful time and in a meaningful manner.’” </w:t>
      </w:r>
      <w:r w:rsidRPr="007A6AC6">
        <w:rPr>
          <w:rFonts w:ascii="Times New Roman" w:hAnsi="Times New Roman"/>
          <w:i/>
          <w:sz w:val="28"/>
          <w:szCs w:val="28"/>
        </w:rPr>
        <w:t>Samiuddin v. Nothwehr</w:t>
      </w:r>
      <w:r w:rsidRPr="007A6AC6">
        <w:rPr>
          <w:rFonts w:ascii="Times New Roman" w:hAnsi="Times New Roman"/>
          <w:sz w:val="28"/>
          <w:szCs w:val="28"/>
        </w:rPr>
        <w:t>, 243 Ariz. 204, 211 ¶</w:t>
      </w:r>
      <w:r w:rsidR="006876D6">
        <w:rPr>
          <w:rFonts w:ascii="Times New Roman" w:hAnsi="Times New Roman"/>
          <w:sz w:val="28"/>
          <w:szCs w:val="28"/>
        </w:rPr>
        <w:t xml:space="preserve"> </w:t>
      </w:r>
      <w:r w:rsidRPr="007A6AC6">
        <w:rPr>
          <w:rFonts w:ascii="Times New Roman" w:hAnsi="Times New Roman"/>
          <w:sz w:val="28"/>
          <w:szCs w:val="28"/>
        </w:rPr>
        <w:t xml:space="preserve">20 (2017) (quoting </w:t>
      </w:r>
      <w:r w:rsidRPr="007A6AC6">
        <w:rPr>
          <w:rFonts w:ascii="Times New Roman" w:hAnsi="Times New Roman"/>
          <w:i/>
          <w:sz w:val="28"/>
          <w:szCs w:val="28"/>
        </w:rPr>
        <w:t>Mathews v. Eldridge</w:t>
      </w:r>
      <w:r w:rsidRPr="007A6AC6">
        <w:rPr>
          <w:rFonts w:ascii="Times New Roman" w:hAnsi="Times New Roman"/>
          <w:sz w:val="28"/>
          <w:szCs w:val="28"/>
        </w:rPr>
        <w:t xml:space="preserve">, 424 U.S. 319, 333 (1976), </w:t>
      </w:r>
      <w:r w:rsidRPr="007A6AC6">
        <w:rPr>
          <w:rFonts w:ascii="Times New Roman" w:hAnsi="Times New Roman"/>
          <w:i/>
          <w:sz w:val="28"/>
          <w:szCs w:val="28"/>
        </w:rPr>
        <w:t>quoting in turn</w:t>
      </w:r>
      <w:r w:rsidRPr="007A6AC6">
        <w:rPr>
          <w:rFonts w:ascii="Times New Roman" w:hAnsi="Times New Roman"/>
          <w:sz w:val="28"/>
          <w:szCs w:val="28"/>
        </w:rPr>
        <w:t xml:space="preserve"> </w:t>
      </w:r>
      <w:r w:rsidRPr="007A6AC6">
        <w:rPr>
          <w:rFonts w:ascii="Times New Roman" w:hAnsi="Times New Roman"/>
          <w:i/>
          <w:sz w:val="28"/>
          <w:szCs w:val="28"/>
        </w:rPr>
        <w:t>Armstrong v. Manzo</w:t>
      </w:r>
      <w:r w:rsidRPr="007A6AC6">
        <w:rPr>
          <w:rFonts w:ascii="Times New Roman" w:hAnsi="Times New Roman"/>
          <w:sz w:val="28"/>
          <w:szCs w:val="28"/>
        </w:rPr>
        <w:t>, 380 U.S. 545, 552 (1965)). The Supreme Court recently reminded lower courts of the importance of adhering to the “principle of party presentation” to determine what issues to decide:</w:t>
      </w:r>
    </w:p>
    <w:p w14:paraId="30CBE60E" w14:textId="77777777" w:rsidR="007A6AC6" w:rsidRPr="007A6AC6" w:rsidRDefault="007A6AC6" w:rsidP="007A6AC6">
      <w:pPr>
        <w:spacing w:line="240" w:lineRule="auto"/>
        <w:ind w:left="720" w:right="720"/>
        <w:jc w:val="both"/>
        <w:rPr>
          <w:rFonts w:ascii="Times New Roman" w:hAnsi="Times New Roman"/>
          <w:sz w:val="28"/>
          <w:szCs w:val="28"/>
        </w:rPr>
      </w:pPr>
      <w:r w:rsidRPr="007A6AC6">
        <w:rPr>
          <w:rFonts w:ascii="Times New Roman" w:hAnsi="Times New Roman"/>
          <w:sz w:val="28"/>
          <w:szCs w:val="28"/>
        </w:rPr>
        <w:t>in both civil and criminal cases, in the first instance and on appeal, we rely on the parties to frame the issues for decision and assign to courts the role of neutral arbiter of matters the parties present. In criminal cases, departures from the party presentation principle have usually occurred to protect a pro se litigant’s rights. But as a general rule, our system is designed around the premise that parties represented by competent counsel know what is best for them, and are responsible for advancing the facts and argument entitling them to relief.</w:t>
      </w:r>
    </w:p>
    <w:p w14:paraId="19456F2B" w14:textId="77777777" w:rsidR="007A6AC6" w:rsidRPr="007A6AC6" w:rsidRDefault="007A6AC6" w:rsidP="007A6AC6">
      <w:pPr>
        <w:spacing w:line="240" w:lineRule="auto"/>
        <w:ind w:left="720" w:right="720"/>
        <w:jc w:val="both"/>
        <w:rPr>
          <w:rFonts w:ascii="Times New Roman" w:hAnsi="Times New Roman"/>
          <w:sz w:val="28"/>
          <w:szCs w:val="28"/>
        </w:rPr>
      </w:pPr>
    </w:p>
    <w:p w14:paraId="17C6946C" w14:textId="77777777" w:rsidR="007A6AC6" w:rsidRPr="007A6AC6" w:rsidRDefault="007A6AC6" w:rsidP="007A6AC6">
      <w:pPr>
        <w:spacing w:line="240" w:lineRule="auto"/>
        <w:ind w:left="720" w:right="720"/>
        <w:jc w:val="both"/>
        <w:rPr>
          <w:rFonts w:ascii="Times New Roman" w:hAnsi="Times New Roman"/>
          <w:sz w:val="28"/>
          <w:szCs w:val="28"/>
        </w:rPr>
      </w:pPr>
      <w:r w:rsidRPr="007A6AC6">
        <w:rPr>
          <w:rFonts w:ascii="Times New Roman" w:hAnsi="Times New Roman"/>
          <w:sz w:val="28"/>
          <w:szCs w:val="28"/>
        </w:rPr>
        <w:t>In short: Courts are essentially passive instruments of government. They do not, or should not, sally forth each day looking for wrongs to right. They wait for cases to come to them, and when cases arise, courts normally decide only questions presented by the parties.</w:t>
      </w:r>
    </w:p>
    <w:p w14:paraId="3838B7DF" w14:textId="77777777" w:rsidR="007A6AC6" w:rsidRPr="007A6AC6" w:rsidRDefault="007A6AC6" w:rsidP="007A6AC6">
      <w:pPr>
        <w:spacing w:line="240" w:lineRule="auto"/>
        <w:ind w:left="720" w:right="720"/>
        <w:jc w:val="both"/>
        <w:rPr>
          <w:rFonts w:ascii="Times New Roman" w:hAnsi="Times New Roman"/>
          <w:sz w:val="28"/>
          <w:szCs w:val="28"/>
        </w:rPr>
      </w:pPr>
    </w:p>
    <w:p w14:paraId="72F2A82C" w14:textId="21742F1B" w:rsidR="007A6AC6" w:rsidRPr="007A6AC6" w:rsidRDefault="007A6AC6" w:rsidP="007A6AC6">
      <w:pPr>
        <w:spacing w:line="480" w:lineRule="auto"/>
        <w:jc w:val="both"/>
        <w:rPr>
          <w:rFonts w:ascii="Times New Roman" w:hAnsi="Times New Roman"/>
          <w:sz w:val="28"/>
          <w:szCs w:val="28"/>
        </w:rPr>
      </w:pPr>
      <w:r w:rsidRPr="007A6AC6">
        <w:rPr>
          <w:rFonts w:ascii="Times New Roman" w:hAnsi="Times New Roman"/>
          <w:i/>
          <w:sz w:val="28"/>
          <w:szCs w:val="28"/>
        </w:rPr>
        <w:t>United States v. Sineneng-Smith</w:t>
      </w:r>
      <w:r w:rsidRPr="007A6AC6">
        <w:rPr>
          <w:rFonts w:ascii="Times New Roman" w:hAnsi="Times New Roman"/>
          <w:sz w:val="28"/>
          <w:szCs w:val="28"/>
        </w:rPr>
        <w:t>, 140 S.</w:t>
      </w:r>
      <w:r w:rsidR="002B62C2">
        <w:rPr>
          <w:rFonts w:ascii="Times New Roman" w:hAnsi="Times New Roman"/>
          <w:sz w:val="28"/>
          <w:szCs w:val="28"/>
        </w:rPr>
        <w:t xml:space="preserve"> </w:t>
      </w:r>
      <w:r w:rsidRPr="007A6AC6">
        <w:rPr>
          <w:rFonts w:ascii="Times New Roman" w:hAnsi="Times New Roman"/>
          <w:sz w:val="28"/>
          <w:szCs w:val="28"/>
        </w:rPr>
        <w:t xml:space="preserve">Ct. 1575, 1579 (2020) (internal quotations omitted, cleaned up). The principle is “supple, not ironclad,” and circumstances exist where “a modest initiating role for a court is appropriate,” </w:t>
      </w:r>
      <w:r w:rsidRPr="007A6AC6">
        <w:rPr>
          <w:rFonts w:ascii="Times New Roman" w:hAnsi="Times New Roman"/>
          <w:i/>
          <w:sz w:val="28"/>
          <w:szCs w:val="28"/>
        </w:rPr>
        <w:t>id</w:t>
      </w:r>
      <w:r w:rsidRPr="007A6AC6">
        <w:rPr>
          <w:rFonts w:ascii="Times New Roman" w:hAnsi="Times New Roman"/>
          <w:sz w:val="28"/>
          <w:szCs w:val="28"/>
        </w:rPr>
        <w:t xml:space="preserve">., but </w:t>
      </w:r>
      <w:r>
        <w:rPr>
          <w:rFonts w:ascii="Times New Roman" w:hAnsi="Times New Roman"/>
          <w:sz w:val="28"/>
          <w:szCs w:val="28"/>
        </w:rPr>
        <w:t xml:space="preserve">deciding a case on an unbriefed issue is a </w:t>
      </w:r>
      <w:r w:rsidRPr="007A6AC6">
        <w:rPr>
          <w:rFonts w:ascii="Times New Roman" w:hAnsi="Times New Roman"/>
          <w:sz w:val="28"/>
          <w:szCs w:val="28"/>
        </w:rPr>
        <w:t>“radical trans</w:t>
      </w:r>
      <w:r>
        <w:rPr>
          <w:rFonts w:ascii="Times New Roman" w:hAnsi="Times New Roman"/>
          <w:sz w:val="28"/>
          <w:szCs w:val="28"/>
        </w:rPr>
        <w:t>f</w:t>
      </w:r>
      <w:r w:rsidRPr="007A6AC6">
        <w:rPr>
          <w:rFonts w:ascii="Times New Roman" w:hAnsi="Times New Roman"/>
          <w:sz w:val="28"/>
          <w:szCs w:val="28"/>
        </w:rPr>
        <w:t>or</w:t>
      </w:r>
      <w:r>
        <w:rPr>
          <w:rFonts w:ascii="Times New Roman" w:hAnsi="Times New Roman"/>
          <w:sz w:val="28"/>
          <w:szCs w:val="28"/>
        </w:rPr>
        <w:t>m</w:t>
      </w:r>
      <w:r w:rsidRPr="007A6AC6">
        <w:rPr>
          <w:rFonts w:ascii="Times New Roman" w:hAnsi="Times New Roman"/>
          <w:sz w:val="28"/>
          <w:szCs w:val="28"/>
        </w:rPr>
        <w:t xml:space="preserve">ation of </w:t>
      </w:r>
      <w:r>
        <w:rPr>
          <w:rFonts w:ascii="Times New Roman" w:hAnsi="Times New Roman"/>
          <w:sz w:val="28"/>
          <w:szCs w:val="28"/>
        </w:rPr>
        <w:t>[a]</w:t>
      </w:r>
      <w:r w:rsidRPr="007A6AC6">
        <w:rPr>
          <w:rFonts w:ascii="Times New Roman" w:hAnsi="Times New Roman"/>
          <w:sz w:val="28"/>
          <w:szCs w:val="28"/>
        </w:rPr>
        <w:t xml:space="preserve"> case</w:t>
      </w:r>
      <w:r>
        <w:rPr>
          <w:rFonts w:ascii="Times New Roman" w:hAnsi="Times New Roman"/>
          <w:sz w:val="28"/>
          <w:szCs w:val="28"/>
        </w:rPr>
        <w:t xml:space="preserve"> [that]</w:t>
      </w:r>
      <w:r w:rsidRPr="007A6AC6">
        <w:rPr>
          <w:rFonts w:ascii="Times New Roman" w:hAnsi="Times New Roman"/>
          <w:sz w:val="28"/>
          <w:szCs w:val="28"/>
        </w:rPr>
        <w:t xml:space="preserve"> goes well beyond the pale.” </w:t>
      </w:r>
      <w:r w:rsidRPr="007A6AC6">
        <w:rPr>
          <w:rFonts w:ascii="Times New Roman" w:hAnsi="Times New Roman"/>
          <w:i/>
          <w:sz w:val="28"/>
          <w:szCs w:val="28"/>
        </w:rPr>
        <w:t>Id</w:t>
      </w:r>
      <w:r w:rsidRPr="007A6AC6">
        <w:rPr>
          <w:rFonts w:ascii="Times New Roman" w:hAnsi="Times New Roman"/>
          <w:sz w:val="28"/>
          <w:szCs w:val="28"/>
        </w:rPr>
        <w:t>. at 1581-82.</w:t>
      </w:r>
    </w:p>
    <w:p w14:paraId="2B383EC9" w14:textId="40CC515E" w:rsidR="006A78C5" w:rsidRDefault="00B4395E"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Some judges have explained that there is a need to reach unbriefed issues as a product of the “affirm if correct for any reason” rule. </w:t>
      </w:r>
      <w:r w:rsidR="007A6AC6">
        <w:rPr>
          <w:rFonts w:ascii="Times New Roman" w:hAnsi="Times New Roman"/>
          <w:sz w:val="28"/>
          <w:szCs w:val="28"/>
        </w:rPr>
        <w:t>Like the waiver doctrine, however, this is a prudential doctrine that courts should exercise wisely, not an opportunity to shoot down appellants’ arguments for reasons that not even appellees thought were justified. When an appellate court bends over backward looking for ways to reach a particular result, it sheds its role as a neutral arbiter and dons the cloak of the advocate.</w:t>
      </w:r>
      <w:r w:rsidR="00083D10">
        <w:rPr>
          <w:rFonts w:ascii="Times New Roman" w:hAnsi="Times New Roman"/>
          <w:sz w:val="28"/>
          <w:szCs w:val="28"/>
        </w:rPr>
        <w:t xml:space="preserve"> The court of appeals correctly noted this in one recent case:</w:t>
      </w:r>
    </w:p>
    <w:p w14:paraId="4B0FD076" w14:textId="78EBF051" w:rsidR="003231B0" w:rsidRDefault="00083D10" w:rsidP="006A78C5">
      <w:pPr>
        <w:spacing w:after="100" w:afterAutospacing="1" w:line="240" w:lineRule="auto"/>
        <w:ind w:left="720" w:right="720"/>
        <w:jc w:val="both"/>
        <w:rPr>
          <w:rFonts w:ascii="Times New Roman" w:hAnsi="Times New Roman"/>
          <w:sz w:val="28"/>
          <w:szCs w:val="28"/>
        </w:rPr>
      </w:pPr>
      <w:r w:rsidRPr="00083D10">
        <w:rPr>
          <w:rFonts w:ascii="Times New Roman" w:hAnsi="Times New Roman"/>
          <w:sz w:val="28"/>
          <w:szCs w:val="28"/>
        </w:rPr>
        <w:t xml:space="preserve">As appellate judges, we have a duty to be fair and impartial in rendering our decisions. </w:t>
      </w:r>
      <w:r w:rsidRPr="00083D10">
        <w:rPr>
          <w:rFonts w:ascii="Times New Roman" w:hAnsi="Times New Roman"/>
          <w:i/>
          <w:iCs/>
          <w:sz w:val="28"/>
          <w:szCs w:val="28"/>
        </w:rPr>
        <w:t>See</w:t>
      </w:r>
      <w:r w:rsidRPr="00083D10">
        <w:rPr>
          <w:rFonts w:ascii="Times New Roman" w:hAnsi="Times New Roman"/>
          <w:sz w:val="28"/>
          <w:szCs w:val="28"/>
        </w:rPr>
        <w:t xml:space="preserve"> Rule 2.2, Ariz.</w:t>
      </w:r>
      <w:r>
        <w:rPr>
          <w:rFonts w:ascii="Times New Roman" w:hAnsi="Times New Roman"/>
          <w:sz w:val="28"/>
          <w:szCs w:val="28"/>
        </w:rPr>
        <w:t xml:space="preserve"> </w:t>
      </w:r>
      <w:r w:rsidRPr="00083D10">
        <w:rPr>
          <w:rFonts w:ascii="Times New Roman" w:hAnsi="Times New Roman"/>
          <w:sz w:val="28"/>
          <w:szCs w:val="28"/>
        </w:rPr>
        <w:t>Code of Jud. Conduct, Ariz. R. Sup. Ct. 81. If the state intended to argue for the good-faith exception on appeal, it was the state</w:t>
      </w:r>
      <w:r>
        <w:rPr>
          <w:rFonts w:ascii="Times New Roman" w:hAnsi="Times New Roman"/>
          <w:sz w:val="28"/>
          <w:szCs w:val="28"/>
        </w:rPr>
        <w:t>’</w:t>
      </w:r>
      <w:r w:rsidRPr="00083D10">
        <w:rPr>
          <w:rFonts w:ascii="Times New Roman" w:hAnsi="Times New Roman"/>
          <w:sz w:val="28"/>
          <w:szCs w:val="28"/>
        </w:rPr>
        <w:t>s duty to raise the issue in its answering brief and thereby provide Sisco the opportunity to respond in his reply brief through our normal appellate procedures. The state</w:t>
      </w:r>
      <w:r>
        <w:rPr>
          <w:rFonts w:ascii="Times New Roman" w:hAnsi="Times New Roman"/>
          <w:sz w:val="28"/>
          <w:szCs w:val="28"/>
        </w:rPr>
        <w:t>’</w:t>
      </w:r>
      <w:r w:rsidRPr="00083D10">
        <w:rPr>
          <w:rFonts w:ascii="Times New Roman" w:hAnsi="Times New Roman"/>
          <w:sz w:val="28"/>
          <w:szCs w:val="28"/>
        </w:rPr>
        <w:t>s abandonment of the issue may be fairly interpreted as a tactical decision aimed at generating a ruling on the state</w:t>
      </w:r>
      <w:r>
        <w:rPr>
          <w:rFonts w:ascii="Times New Roman" w:hAnsi="Times New Roman"/>
          <w:sz w:val="28"/>
          <w:szCs w:val="28"/>
        </w:rPr>
        <w:t>’</w:t>
      </w:r>
      <w:r w:rsidRPr="00083D10">
        <w:rPr>
          <w:rFonts w:ascii="Times New Roman" w:hAnsi="Times New Roman"/>
          <w:sz w:val="28"/>
          <w:szCs w:val="28"/>
        </w:rPr>
        <w:t xml:space="preserve">s argument that the plain-smell doctrine has not been affected by the AMMA. If our court were to now deviate from our normal appellate procedures and either give the state another </w:t>
      </w:r>
      <w:r w:rsidRPr="00083D10">
        <w:rPr>
          <w:rFonts w:ascii="Times New Roman" w:hAnsi="Times New Roman"/>
          <w:sz w:val="28"/>
          <w:szCs w:val="28"/>
        </w:rPr>
        <w:lastRenderedPageBreak/>
        <w:t xml:space="preserve">opportunity to discharge its burden or relieve the state of its burden entirely by deciding the issue of good faith sua sponte, we would risk appearing asymmetrical in our treatment of the parties. As illustrated by </w:t>
      </w:r>
      <w:r w:rsidRPr="00083D10">
        <w:rPr>
          <w:rFonts w:ascii="Times New Roman" w:hAnsi="Times New Roman"/>
          <w:i/>
          <w:iCs/>
          <w:sz w:val="28"/>
          <w:szCs w:val="28"/>
        </w:rPr>
        <w:t>State v. Moreno</w:t>
      </w:r>
      <w:r>
        <w:rPr>
          <w:rFonts w:ascii="Times New Roman" w:hAnsi="Times New Roman"/>
          <w:i/>
          <w:iCs/>
          <w:sz w:val="28"/>
          <w:szCs w:val="28"/>
        </w:rPr>
        <w:t>-</w:t>
      </w:r>
      <w:r w:rsidRPr="00083D10">
        <w:rPr>
          <w:rFonts w:ascii="Times New Roman" w:hAnsi="Times New Roman"/>
          <w:i/>
          <w:iCs/>
          <w:sz w:val="28"/>
          <w:szCs w:val="28"/>
        </w:rPr>
        <w:t>Medrano</w:t>
      </w:r>
      <w:r w:rsidRPr="00083D10">
        <w:rPr>
          <w:rFonts w:ascii="Times New Roman" w:hAnsi="Times New Roman"/>
          <w:sz w:val="28"/>
          <w:szCs w:val="28"/>
        </w:rPr>
        <w:t>, 218 Ariz. 349, ¶¶ 16</w:t>
      </w:r>
      <w:r>
        <w:rPr>
          <w:rFonts w:ascii="Times New Roman" w:hAnsi="Times New Roman"/>
          <w:sz w:val="28"/>
          <w:szCs w:val="28"/>
        </w:rPr>
        <w:t>-</w:t>
      </w:r>
      <w:r w:rsidRPr="00083D10">
        <w:rPr>
          <w:rFonts w:ascii="Times New Roman" w:hAnsi="Times New Roman"/>
          <w:sz w:val="28"/>
          <w:szCs w:val="28"/>
        </w:rPr>
        <w:t>17, 185 P.3d 135, 140 (App.</w:t>
      </w:r>
      <w:r>
        <w:rPr>
          <w:rFonts w:ascii="Times New Roman" w:hAnsi="Times New Roman"/>
          <w:sz w:val="28"/>
          <w:szCs w:val="28"/>
        </w:rPr>
        <w:t xml:space="preserve"> </w:t>
      </w:r>
      <w:r w:rsidRPr="00083D10">
        <w:rPr>
          <w:rFonts w:ascii="Times New Roman" w:hAnsi="Times New Roman"/>
          <w:sz w:val="28"/>
          <w:szCs w:val="28"/>
        </w:rPr>
        <w:t>2008), our court holds criminal defendants strictly responsible for discharging their appellate burdens, and it is only fitting that we hold the state to the same standard</w:t>
      </w:r>
      <w:r w:rsidR="003231B0">
        <w:rPr>
          <w:rFonts w:ascii="Times New Roman" w:hAnsi="Times New Roman"/>
          <w:sz w:val="28"/>
          <w:szCs w:val="28"/>
        </w:rPr>
        <w:t>.</w:t>
      </w:r>
    </w:p>
    <w:p w14:paraId="1A33B76C" w14:textId="0D8AED83" w:rsidR="003231B0" w:rsidRDefault="003231B0" w:rsidP="003231B0">
      <w:pPr>
        <w:spacing w:line="480" w:lineRule="auto"/>
        <w:jc w:val="both"/>
        <w:rPr>
          <w:rFonts w:ascii="Times New Roman" w:hAnsi="Times New Roman"/>
          <w:sz w:val="28"/>
          <w:szCs w:val="28"/>
        </w:rPr>
      </w:pPr>
      <w:r w:rsidRPr="003231B0">
        <w:rPr>
          <w:rFonts w:ascii="Times New Roman" w:hAnsi="Times New Roman"/>
          <w:i/>
          <w:iCs/>
          <w:sz w:val="28"/>
          <w:szCs w:val="28"/>
        </w:rPr>
        <w:t xml:space="preserve">State v. </w:t>
      </w:r>
      <w:r w:rsidR="00083D10">
        <w:rPr>
          <w:rFonts w:ascii="Times New Roman" w:hAnsi="Times New Roman"/>
          <w:i/>
          <w:iCs/>
          <w:sz w:val="28"/>
          <w:szCs w:val="28"/>
        </w:rPr>
        <w:t>Sisco</w:t>
      </w:r>
      <w:r w:rsidRPr="003231B0">
        <w:rPr>
          <w:rFonts w:ascii="Times New Roman" w:hAnsi="Times New Roman"/>
          <w:sz w:val="28"/>
          <w:szCs w:val="28"/>
        </w:rPr>
        <w:t>, 2</w:t>
      </w:r>
      <w:r w:rsidR="00083D10">
        <w:rPr>
          <w:rFonts w:ascii="Times New Roman" w:hAnsi="Times New Roman"/>
          <w:sz w:val="28"/>
          <w:szCs w:val="28"/>
        </w:rPr>
        <w:t xml:space="preserve">38 Ariz. 239, 245 ¶ 56 (App. 2015), </w:t>
      </w:r>
      <w:r w:rsidR="00083D10">
        <w:rPr>
          <w:rFonts w:ascii="Times New Roman" w:hAnsi="Times New Roman"/>
          <w:i/>
          <w:iCs/>
          <w:sz w:val="28"/>
          <w:szCs w:val="28"/>
        </w:rPr>
        <w:t>overruled</w:t>
      </w:r>
      <w:r w:rsidR="00083D10" w:rsidRPr="00083D10">
        <w:rPr>
          <w:rFonts w:ascii="Times New Roman" w:hAnsi="Times New Roman"/>
          <w:i/>
          <w:iCs/>
          <w:sz w:val="28"/>
          <w:szCs w:val="28"/>
        </w:rPr>
        <w:t xml:space="preserve"> on other grounds</w:t>
      </w:r>
      <w:r w:rsidR="00083D10">
        <w:rPr>
          <w:rFonts w:ascii="Times New Roman" w:hAnsi="Times New Roman"/>
          <w:sz w:val="28"/>
          <w:szCs w:val="28"/>
        </w:rPr>
        <w:t>,</w:t>
      </w:r>
      <w:r w:rsidRPr="003231B0">
        <w:rPr>
          <w:rFonts w:ascii="Times New Roman" w:hAnsi="Times New Roman"/>
          <w:sz w:val="28"/>
          <w:szCs w:val="28"/>
        </w:rPr>
        <w:t xml:space="preserve"> </w:t>
      </w:r>
      <w:r w:rsidR="00083D10">
        <w:rPr>
          <w:rFonts w:ascii="Times New Roman" w:hAnsi="Times New Roman"/>
          <w:sz w:val="28"/>
          <w:szCs w:val="28"/>
        </w:rPr>
        <w:t>239 Ariz. 532 (2016)</w:t>
      </w:r>
      <w:r w:rsidR="00E31A1A">
        <w:rPr>
          <w:rFonts w:ascii="Times New Roman" w:hAnsi="Times New Roman"/>
          <w:sz w:val="28"/>
          <w:szCs w:val="28"/>
        </w:rPr>
        <w:t>.</w:t>
      </w:r>
    </w:p>
    <w:p w14:paraId="286D4681" w14:textId="1357E285" w:rsidR="00D16827" w:rsidRPr="00D16827" w:rsidRDefault="006876D6" w:rsidP="00D16827">
      <w:pPr>
        <w:pStyle w:val="ListParagraph"/>
        <w:numPr>
          <w:ilvl w:val="0"/>
          <w:numId w:val="9"/>
        </w:numPr>
        <w:spacing w:line="480" w:lineRule="auto"/>
        <w:jc w:val="both"/>
        <w:rPr>
          <w:rFonts w:ascii="Times New Roman" w:hAnsi="Times New Roman"/>
          <w:i/>
          <w:iCs/>
          <w:sz w:val="28"/>
          <w:szCs w:val="28"/>
        </w:rPr>
      </w:pPr>
      <w:r>
        <w:rPr>
          <w:rFonts w:ascii="Times New Roman" w:hAnsi="Times New Roman"/>
          <w:i/>
          <w:iCs/>
          <w:sz w:val="28"/>
          <w:szCs w:val="28"/>
        </w:rPr>
        <w:t xml:space="preserve">Ordering </w:t>
      </w:r>
      <w:r w:rsidR="00D16827">
        <w:rPr>
          <w:rFonts w:ascii="Times New Roman" w:hAnsi="Times New Roman"/>
          <w:i/>
          <w:iCs/>
          <w:sz w:val="28"/>
          <w:szCs w:val="28"/>
        </w:rPr>
        <w:t>Supplemental Briefing is not a Panacea</w:t>
      </w:r>
    </w:p>
    <w:p w14:paraId="1BCABAC8" w14:textId="2E709B54" w:rsidR="00083D10" w:rsidRDefault="00083D10" w:rsidP="00083D10">
      <w:pPr>
        <w:spacing w:line="480" w:lineRule="auto"/>
        <w:ind w:firstLine="720"/>
        <w:jc w:val="both"/>
        <w:rPr>
          <w:rFonts w:ascii="Times New Roman" w:hAnsi="Times New Roman"/>
          <w:sz w:val="28"/>
          <w:szCs w:val="28"/>
        </w:rPr>
      </w:pPr>
      <w:r>
        <w:rPr>
          <w:rFonts w:ascii="Times New Roman" w:hAnsi="Times New Roman"/>
          <w:sz w:val="28"/>
          <w:szCs w:val="28"/>
        </w:rPr>
        <w:t xml:space="preserve">The typical practice is for an appellate court to order supplemental briefing on an issue newly identified—especially for jurisdiction. </w:t>
      </w:r>
      <w:r w:rsidR="002B62C2">
        <w:rPr>
          <w:rFonts w:ascii="Times New Roman" w:hAnsi="Times New Roman"/>
          <w:sz w:val="28"/>
          <w:szCs w:val="28"/>
        </w:rPr>
        <w:t>In Division Two,</w:t>
      </w:r>
      <w:r>
        <w:rPr>
          <w:rFonts w:ascii="Times New Roman" w:hAnsi="Times New Roman"/>
          <w:sz w:val="28"/>
          <w:szCs w:val="28"/>
        </w:rPr>
        <w:t xml:space="preserve"> whenever a </w:t>
      </w:r>
      <w:r w:rsidR="002549CE">
        <w:rPr>
          <w:rFonts w:ascii="Times New Roman" w:hAnsi="Times New Roman"/>
          <w:sz w:val="28"/>
          <w:szCs w:val="28"/>
        </w:rPr>
        <w:t>criminal defendant</w:t>
      </w:r>
      <w:r>
        <w:rPr>
          <w:rFonts w:ascii="Times New Roman" w:hAnsi="Times New Roman"/>
          <w:sz w:val="28"/>
          <w:szCs w:val="28"/>
        </w:rPr>
        <w:t xml:space="preserve"> files a notice of appeal </w:t>
      </w:r>
      <w:r w:rsidR="002B62C2">
        <w:rPr>
          <w:rFonts w:ascii="Times New Roman" w:hAnsi="Times New Roman"/>
          <w:sz w:val="28"/>
          <w:szCs w:val="28"/>
        </w:rPr>
        <w:t>from</w:t>
      </w:r>
      <w:r w:rsidR="002549CE">
        <w:rPr>
          <w:rFonts w:ascii="Times New Roman" w:hAnsi="Times New Roman"/>
          <w:sz w:val="28"/>
          <w:szCs w:val="28"/>
        </w:rPr>
        <w:t xml:space="preserve"> a guilty plea, the court issues an order to show cause why the court has jurisdiction or else the appeal will be dismissed. In other cases, the court identifies the legal issue that it wishes the parties to brief. This Court also engages in that practice.</w:t>
      </w:r>
    </w:p>
    <w:p w14:paraId="044D9485" w14:textId="1FE2253F" w:rsidR="002549CE" w:rsidRDefault="002549CE" w:rsidP="00083D10">
      <w:pPr>
        <w:spacing w:line="480" w:lineRule="auto"/>
        <w:ind w:firstLine="720"/>
        <w:jc w:val="both"/>
        <w:rPr>
          <w:rFonts w:ascii="Times New Roman" w:hAnsi="Times New Roman"/>
          <w:sz w:val="28"/>
          <w:szCs w:val="28"/>
        </w:rPr>
      </w:pPr>
      <w:r>
        <w:rPr>
          <w:rFonts w:ascii="Times New Roman" w:hAnsi="Times New Roman"/>
          <w:sz w:val="28"/>
          <w:szCs w:val="28"/>
        </w:rPr>
        <w:t xml:space="preserve">As the Supreme Court noted in </w:t>
      </w:r>
      <w:r w:rsidRPr="002549CE">
        <w:rPr>
          <w:rFonts w:ascii="Times New Roman" w:hAnsi="Times New Roman"/>
          <w:i/>
          <w:iCs/>
          <w:sz w:val="28"/>
          <w:szCs w:val="28"/>
        </w:rPr>
        <w:t>Sineneng-Smith</w:t>
      </w:r>
      <w:r>
        <w:rPr>
          <w:rFonts w:ascii="Times New Roman" w:hAnsi="Times New Roman"/>
          <w:sz w:val="28"/>
          <w:szCs w:val="28"/>
        </w:rPr>
        <w:t>, however, a court should tread carefully when identifying</w:t>
      </w:r>
      <w:r w:rsidR="00621C77">
        <w:rPr>
          <w:rFonts w:ascii="Times New Roman" w:hAnsi="Times New Roman"/>
          <w:sz w:val="28"/>
          <w:szCs w:val="28"/>
        </w:rPr>
        <w:t xml:space="preserve"> entirely</w:t>
      </w:r>
      <w:r>
        <w:rPr>
          <w:rFonts w:ascii="Times New Roman" w:hAnsi="Times New Roman"/>
          <w:sz w:val="28"/>
          <w:szCs w:val="28"/>
        </w:rPr>
        <w:t xml:space="preserve"> new issues. In </w:t>
      </w:r>
      <w:r w:rsidRPr="002549CE">
        <w:rPr>
          <w:rFonts w:ascii="Times New Roman" w:hAnsi="Times New Roman"/>
          <w:i/>
          <w:iCs/>
          <w:sz w:val="28"/>
          <w:szCs w:val="28"/>
        </w:rPr>
        <w:t>State v. Hernandez</w:t>
      </w:r>
      <w:r>
        <w:rPr>
          <w:rFonts w:ascii="Times New Roman" w:hAnsi="Times New Roman"/>
          <w:sz w:val="28"/>
          <w:szCs w:val="28"/>
        </w:rPr>
        <w:t xml:space="preserve">, 244 Ariz. 1 (2018), the issue presented was whether police could follow a driver to the end of the long driveway and encroach on the curtilage based on an insurance cancellation on the vehicle. </w:t>
      </w:r>
      <w:r w:rsidR="006876D6">
        <w:rPr>
          <w:rFonts w:ascii="Times New Roman" w:hAnsi="Times New Roman"/>
          <w:sz w:val="28"/>
          <w:szCs w:val="28"/>
        </w:rPr>
        <w:t>T</w:t>
      </w:r>
      <w:r w:rsidR="000F6163">
        <w:rPr>
          <w:rFonts w:ascii="Times New Roman" w:hAnsi="Times New Roman"/>
          <w:sz w:val="28"/>
          <w:szCs w:val="28"/>
        </w:rPr>
        <w:t>he parties extensively briefed the issue</w:t>
      </w:r>
      <w:r w:rsidR="006876D6">
        <w:rPr>
          <w:rFonts w:ascii="Times New Roman" w:hAnsi="Times New Roman"/>
          <w:sz w:val="28"/>
          <w:szCs w:val="28"/>
        </w:rPr>
        <w:t xml:space="preserve">, and </w:t>
      </w:r>
      <w:r w:rsidR="000F6163">
        <w:rPr>
          <w:rFonts w:ascii="Times New Roman" w:hAnsi="Times New Roman"/>
          <w:sz w:val="28"/>
          <w:szCs w:val="28"/>
        </w:rPr>
        <w:t>oral argument</w:t>
      </w:r>
      <w:r w:rsidR="006876D6">
        <w:rPr>
          <w:rFonts w:ascii="Times New Roman" w:hAnsi="Times New Roman"/>
          <w:sz w:val="28"/>
          <w:szCs w:val="28"/>
        </w:rPr>
        <w:t xml:space="preserve"> did not generate new issues</w:t>
      </w:r>
      <w:r w:rsidR="000F6163">
        <w:rPr>
          <w:rFonts w:ascii="Times New Roman" w:hAnsi="Times New Roman"/>
          <w:sz w:val="28"/>
          <w:szCs w:val="28"/>
        </w:rPr>
        <w:t xml:space="preserve"> beyond th</w:t>
      </w:r>
      <w:r w:rsidR="006876D6">
        <w:rPr>
          <w:rFonts w:ascii="Times New Roman" w:hAnsi="Times New Roman"/>
          <w:sz w:val="28"/>
          <w:szCs w:val="28"/>
        </w:rPr>
        <w:t>ose</w:t>
      </w:r>
      <w:r w:rsidR="000F6163">
        <w:rPr>
          <w:rFonts w:ascii="Times New Roman" w:hAnsi="Times New Roman"/>
          <w:sz w:val="28"/>
          <w:szCs w:val="28"/>
        </w:rPr>
        <w:t xml:space="preserve"> </w:t>
      </w:r>
      <w:r w:rsidR="006876D6">
        <w:rPr>
          <w:rFonts w:ascii="Times New Roman" w:hAnsi="Times New Roman"/>
          <w:sz w:val="28"/>
          <w:szCs w:val="28"/>
        </w:rPr>
        <w:t xml:space="preserve">already </w:t>
      </w:r>
      <w:r w:rsidR="000F6163">
        <w:rPr>
          <w:rFonts w:ascii="Times New Roman" w:hAnsi="Times New Roman"/>
          <w:sz w:val="28"/>
          <w:szCs w:val="28"/>
        </w:rPr>
        <w:t>brief</w:t>
      </w:r>
      <w:r w:rsidR="006876D6">
        <w:rPr>
          <w:rFonts w:ascii="Times New Roman" w:hAnsi="Times New Roman"/>
          <w:sz w:val="28"/>
          <w:szCs w:val="28"/>
        </w:rPr>
        <w:t>ed</w:t>
      </w:r>
      <w:r w:rsidR="000F6163">
        <w:rPr>
          <w:rFonts w:ascii="Times New Roman" w:hAnsi="Times New Roman"/>
          <w:sz w:val="28"/>
          <w:szCs w:val="28"/>
        </w:rPr>
        <w:t>. Four months after argument, this Court issued an order for supplemental briefing, identifying a</w:t>
      </w:r>
      <w:r w:rsidR="006876D6">
        <w:rPr>
          <w:rFonts w:ascii="Times New Roman" w:hAnsi="Times New Roman"/>
          <w:sz w:val="28"/>
          <w:szCs w:val="28"/>
        </w:rPr>
        <w:t xml:space="preserve"> brand</w:t>
      </w:r>
      <w:r w:rsidR="000F6163">
        <w:rPr>
          <w:rFonts w:ascii="Times New Roman" w:hAnsi="Times New Roman"/>
          <w:sz w:val="28"/>
          <w:szCs w:val="28"/>
        </w:rPr>
        <w:t xml:space="preserve"> new issue and </w:t>
      </w:r>
      <w:r w:rsidR="000F6163">
        <w:rPr>
          <w:rFonts w:ascii="Times New Roman" w:hAnsi="Times New Roman"/>
          <w:sz w:val="28"/>
          <w:szCs w:val="28"/>
        </w:rPr>
        <w:lastRenderedPageBreak/>
        <w:t>providing a tight briefing schedule and a limit of only 8 pages for the brief. This Court then decided the case based on its newly-identified issue, “implied consent</w:t>
      </w:r>
      <w:r w:rsidR="006876D6">
        <w:rPr>
          <w:rFonts w:ascii="Times New Roman" w:hAnsi="Times New Roman"/>
          <w:sz w:val="28"/>
          <w:szCs w:val="28"/>
        </w:rPr>
        <w:t>.</w:t>
      </w:r>
      <w:r w:rsidR="000F6163">
        <w:rPr>
          <w:rFonts w:ascii="Times New Roman" w:hAnsi="Times New Roman"/>
          <w:sz w:val="28"/>
          <w:szCs w:val="28"/>
        </w:rPr>
        <w:t xml:space="preserve">” </w:t>
      </w:r>
      <w:r w:rsidR="000F6163" w:rsidRPr="000F6163">
        <w:rPr>
          <w:rFonts w:ascii="Times New Roman" w:hAnsi="Times New Roman"/>
          <w:i/>
          <w:iCs/>
          <w:sz w:val="28"/>
          <w:szCs w:val="28"/>
        </w:rPr>
        <w:t>Id</w:t>
      </w:r>
      <w:r w:rsidR="000F6163">
        <w:rPr>
          <w:rFonts w:ascii="Times New Roman" w:hAnsi="Times New Roman"/>
          <w:sz w:val="28"/>
          <w:szCs w:val="28"/>
        </w:rPr>
        <w:t xml:space="preserve">. at 3-4 ¶ 10, 5 ¶¶ 17-19. </w:t>
      </w:r>
      <w:r w:rsidR="00142D09">
        <w:rPr>
          <w:rFonts w:ascii="Times New Roman" w:hAnsi="Times New Roman"/>
          <w:sz w:val="28"/>
          <w:szCs w:val="28"/>
        </w:rPr>
        <w:t>Two years ago t</w:t>
      </w:r>
      <w:r w:rsidR="000F6163">
        <w:rPr>
          <w:rFonts w:ascii="Times New Roman" w:hAnsi="Times New Roman"/>
          <w:sz w:val="28"/>
          <w:szCs w:val="28"/>
        </w:rPr>
        <w:t>he U.S. Supreme Court held that a person’s failure to stop for police for a misdemeanor</w:t>
      </w:r>
      <w:r w:rsidR="00142D09">
        <w:rPr>
          <w:rFonts w:ascii="Times New Roman" w:hAnsi="Times New Roman"/>
          <w:sz w:val="28"/>
          <w:szCs w:val="28"/>
        </w:rPr>
        <w:t xml:space="preserve"> offense</w:t>
      </w:r>
      <w:r w:rsidR="000F6163">
        <w:rPr>
          <w:rFonts w:ascii="Times New Roman" w:hAnsi="Times New Roman"/>
          <w:sz w:val="28"/>
          <w:szCs w:val="28"/>
        </w:rPr>
        <w:t xml:space="preserve"> does not alone justify an intrusion into the curtilage, </w:t>
      </w:r>
      <w:r w:rsidR="000F6163" w:rsidRPr="000F6163">
        <w:rPr>
          <w:rFonts w:ascii="Times New Roman" w:hAnsi="Times New Roman"/>
          <w:i/>
          <w:iCs/>
          <w:sz w:val="28"/>
          <w:szCs w:val="28"/>
        </w:rPr>
        <w:t>see Lange v. California</w:t>
      </w:r>
      <w:r w:rsidR="000F6163">
        <w:rPr>
          <w:rFonts w:ascii="Times New Roman" w:hAnsi="Times New Roman"/>
          <w:sz w:val="28"/>
          <w:szCs w:val="28"/>
        </w:rPr>
        <w:t xml:space="preserve">, 141 S. Ct. 2011 (2021), and thus </w:t>
      </w:r>
      <w:r w:rsidR="000F6163" w:rsidRPr="000F6163">
        <w:rPr>
          <w:rFonts w:ascii="Times New Roman" w:hAnsi="Times New Roman"/>
          <w:i/>
          <w:iCs/>
          <w:sz w:val="28"/>
          <w:szCs w:val="28"/>
        </w:rPr>
        <w:t>Hernandez</w:t>
      </w:r>
      <w:r w:rsidR="000F6163">
        <w:rPr>
          <w:rFonts w:ascii="Times New Roman" w:hAnsi="Times New Roman"/>
          <w:sz w:val="28"/>
          <w:szCs w:val="28"/>
        </w:rPr>
        <w:t xml:space="preserve"> is no longer good law.</w:t>
      </w:r>
      <w:r w:rsidR="00621C77">
        <w:rPr>
          <w:rFonts w:ascii="Times New Roman" w:hAnsi="Times New Roman"/>
          <w:sz w:val="28"/>
          <w:szCs w:val="28"/>
        </w:rPr>
        <w:t xml:space="preserve"> </w:t>
      </w:r>
      <w:r w:rsidR="00621C77" w:rsidRPr="00621C77">
        <w:rPr>
          <w:rFonts w:ascii="Times New Roman" w:hAnsi="Times New Roman"/>
          <w:i/>
          <w:iCs/>
          <w:sz w:val="28"/>
          <w:szCs w:val="28"/>
        </w:rPr>
        <w:t>See</w:t>
      </w:r>
      <w:r w:rsidR="00621C77">
        <w:rPr>
          <w:rFonts w:ascii="Times New Roman" w:hAnsi="Times New Roman"/>
          <w:sz w:val="28"/>
          <w:szCs w:val="28"/>
        </w:rPr>
        <w:t xml:space="preserve"> David J. Euchner &amp; Barbara E. Bergman, </w:t>
      </w:r>
      <w:r w:rsidR="00621C77" w:rsidRPr="00621C77">
        <w:rPr>
          <w:rFonts w:ascii="Times New Roman" w:hAnsi="Times New Roman"/>
          <w:smallCaps/>
          <w:sz w:val="28"/>
          <w:szCs w:val="28"/>
        </w:rPr>
        <w:t>Arizona Criminal Practice Manual</w:t>
      </w:r>
      <w:r w:rsidR="00621C77">
        <w:rPr>
          <w:rFonts w:ascii="Times New Roman" w:hAnsi="Times New Roman"/>
          <w:sz w:val="28"/>
          <w:szCs w:val="28"/>
        </w:rPr>
        <w:t xml:space="preserve"> § 12:26 (2022-23 ed.). </w:t>
      </w:r>
      <w:r w:rsidR="00621C77" w:rsidRPr="00796B36">
        <w:rPr>
          <w:rFonts w:ascii="Times New Roman" w:hAnsi="Times New Roman"/>
          <w:i/>
          <w:iCs/>
          <w:sz w:val="28"/>
          <w:szCs w:val="28"/>
        </w:rPr>
        <w:t>Hernandez</w:t>
      </w:r>
      <w:r w:rsidR="00621C77">
        <w:rPr>
          <w:rFonts w:ascii="Times New Roman" w:hAnsi="Times New Roman"/>
          <w:sz w:val="28"/>
          <w:szCs w:val="28"/>
        </w:rPr>
        <w:t xml:space="preserve"> likewise shows that it is better to let the parties develop their own arguments and for courts to reserve use of the power to reach additional issues in extraordinary situations (for example, jurisdiction).</w:t>
      </w:r>
    </w:p>
    <w:p w14:paraId="3799BB5A" w14:textId="502BC8B4" w:rsidR="00796B36" w:rsidRPr="00D16827" w:rsidRDefault="001F54B7" w:rsidP="00796B36">
      <w:pPr>
        <w:pStyle w:val="ListParagraph"/>
        <w:numPr>
          <w:ilvl w:val="0"/>
          <w:numId w:val="9"/>
        </w:numPr>
        <w:spacing w:line="480" w:lineRule="auto"/>
        <w:jc w:val="both"/>
        <w:rPr>
          <w:rFonts w:ascii="Times New Roman" w:hAnsi="Times New Roman"/>
          <w:i/>
          <w:iCs/>
          <w:sz w:val="28"/>
          <w:szCs w:val="28"/>
        </w:rPr>
      </w:pPr>
      <w:r>
        <w:rPr>
          <w:rFonts w:ascii="Times New Roman" w:hAnsi="Times New Roman"/>
          <w:i/>
          <w:iCs/>
          <w:sz w:val="28"/>
          <w:szCs w:val="28"/>
        </w:rPr>
        <w:t xml:space="preserve">My </w:t>
      </w:r>
      <w:r w:rsidR="00796B36">
        <w:rPr>
          <w:rFonts w:ascii="Times New Roman" w:hAnsi="Times New Roman"/>
          <w:i/>
          <w:iCs/>
          <w:sz w:val="28"/>
          <w:szCs w:val="28"/>
        </w:rPr>
        <w:t>Proposal</w:t>
      </w:r>
    </w:p>
    <w:p w14:paraId="0C558DC1" w14:textId="0384AABB" w:rsidR="00796B36" w:rsidRDefault="00796B36" w:rsidP="00083D10">
      <w:pPr>
        <w:spacing w:line="480" w:lineRule="auto"/>
        <w:ind w:firstLine="720"/>
        <w:jc w:val="both"/>
        <w:rPr>
          <w:rFonts w:ascii="Times New Roman" w:hAnsi="Times New Roman"/>
          <w:sz w:val="28"/>
          <w:szCs w:val="28"/>
        </w:rPr>
      </w:pPr>
      <w:r>
        <w:rPr>
          <w:rFonts w:ascii="Times New Roman" w:hAnsi="Times New Roman"/>
          <w:sz w:val="28"/>
          <w:szCs w:val="28"/>
        </w:rPr>
        <w:t xml:space="preserve">I agree with the Petitioners when they state that “motions for reconsideration are not an adequate solution” because of confirmation bias and other reasons. Petition at 6-7. In my four cases described above where the court of appeals </w:t>
      </w:r>
      <w:r w:rsidR="00BA59FD">
        <w:rPr>
          <w:rFonts w:ascii="Times New Roman" w:hAnsi="Times New Roman"/>
          <w:sz w:val="28"/>
          <w:szCs w:val="28"/>
        </w:rPr>
        <w:t>decided my case against my client on</w:t>
      </w:r>
      <w:r>
        <w:rPr>
          <w:rFonts w:ascii="Times New Roman" w:hAnsi="Times New Roman"/>
          <w:sz w:val="28"/>
          <w:szCs w:val="28"/>
        </w:rPr>
        <w:t xml:space="preserve"> an unbriefed issue, I filed motions for reconsideration in three</w:t>
      </w:r>
      <w:r w:rsidR="00BA59FD">
        <w:rPr>
          <w:rFonts w:ascii="Times New Roman" w:hAnsi="Times New Roman"/>
          <w:sz w:val="28"/>
          <w:szCs w:val="28"/>
        </w:rPr>
        <w:t xml:space="preserve"> of those</w:t>
      </w:r>
      <w:r>
        <w:rPr>
          <w:rFonts w:ascii="Times New Roman" w:hAnsi="Times New Roman"/>
          <w:sz w:val="28"/>
          <w:szCs w:val="28"/>
        </w:rPr>
        <w:t>, and the motions were denied immediately in all three.</w:t>
      </w:r>
    </w:p>
    <w:p w14:paraId="293F5E22" w14:textId="456DDB25" w:rsidR="00D16827" w:rsidRDefault="00BA59FD" w:rsidP="00BA59FD">
      <w:pPr>
        <w:tabs>
          <w:tab w:val="right" w:pos="9360"/>
        </w:tabs>
        <w:spacing w:line="480" w:lineRule="auto"/>
        <w:ind w:firstLine="720"/>
        <w:jc w:val="both"/>
        <w:rPr>
          <w:rFonts w:ascii="Times New Roman" w:hAnsi="Times New Roman"/>
          <w:sz w:val="28"/>
          <w:szCs w:val="28"/>
        </w:rPr>
      </w:pPr>
      <w:r>
        <w:rPr>
          <w:rFonts w:ascii="Times New Roman" w:hAnsi="Times New Roman"/>
          <w:sz w:val="28"/>
          <w:szCs w:val="28"/>
        </w:rPr>
        <w:t xml:space="preserve">As with Petitioners’ concern related to </w:t>
      </w:r>
      <w:r w:rsidRPr="004503FC">
        <w:rPr>
          <w:rFonts w:ascii="Times New Roman" w:hAnsi="Times New Roman"/>
          <w:i/>
          <w:iCs/>
          <w:sz w:val="28"/>
          <w:szCs w:val="28"/>
        </w:rPr>
        <w:t>amicus</w:t>
      </w:r>
      <w:r>
        <w:rPr>
          <w:rFonts w:ascii="Times New Roman" w:hAnsi="Times New Roman"/>
          <w:sz w:val="28"/>
          <w:szCs w:val="28"/>
        </w:rPr>
        <w:t xml:space="preserve"> briefs, perhaps the presence of an explicit rule of procedure will enable litigants to better enforce their rights. The Petition provide</w:t>
      </w:r>
      <w:r w:rsidR="001F54B7">
        <w:rPr>
          <w:rFonts w:ascii="Times New Roman" w:hAnsi="Times New Roman"/>
          <w:sz w:val="28"/>
          <w:szCs w:val="28"/>
        </w:rPr>
        <w:t>s suggested</w:t>
      </w:r>
      <w:r>
        <w:rPr>
          <w:rFonts w:ascii="Times New Roman" w:hAnsi="Times New Roman"/>
          <w:sz w:val="28"/>
          <w:szCs w:val="28"/>
        </w:rPr>
        <w:t xml:space="preserve"> language </w:t>
      </w:r>
      <w:r w:rsidR="001F54B7">
        <w:rPr>
          <w:rFonts w:ascii="Times New Roman" w:hAnsi="Times New Roman"/>
          <w:sz w:val="28"/>
          <w:szCs w:val="28"/>
        </w:rPr>
        <w:t>but no</w:t>
      </w:r>
      <w:r>
        <w:rPr>
          <w:rFonts w:ascii="Times New Roman" w:hAnsi="Times New Roman"/>
          <w:sz w:val="28"/>
          <w:szCs w:val="28"/>
        </w:rPr>
        <w:t xml:space="preserve"> location for the new language. </w:t>
      </w:r>
      <w:r w:rsidR="00D16827">
        <w:rPr>
          <w:rFonts w:ascii="Times New Roman" w:hAnsi="Times New Roman"/>
          <w:sz w:val="28"/>
          <w:szCs w:val="28"/>
        </w:rPr>
        <w:t>I propose the following language to be</w:t>
      </w:r>
      <w:r>
        <w:rPr>
          <w:rFonts w:ascii="Times New Roman" w:hAnsi="Times New Roman"/>
          <w:sz w:val="28"/>
          <w:szCs w:val="28"/>
        </w:rPr>
        <w:t xml:space="preserve"> added to </w:t>
      </w:r>
      <w:r w:rsidR="001F54B7">
        <w:rPr>
          <w:rFonts w:ascii="Times New Roman" w:hAnsi="Times New Roman"/>
          <w:sz w:val="28"/>
          <w:szCs w:val="28"/>
        </w:rPr>
        <w:t>Ariz. R. Crim. P. 31.19</w:t>
      </w:r>
      <w:r w:rsidR="00753D22">
        <w:rPr>
          <w:rFonts w:ascii="Times New Roman" w:hAnsi="Times New Roman"/>
          <w:sz w:val="28"/>
          <w:szCs w:val="28"/>
        </w:rPr>
        <w:t>:</w:t>
      </w:r>
    </w:p>
    <w:p w14:paraId="6EBFDE35" w14:textId="039429F9" w:rsidR="009F189B" w:rsidRDefault="009F189B" w:rsidP="009F189B">
      <w:pPr>
        <w:spacing w:line="240" w:lineRule="auto"/>
        <w:ind w:left="720" w:right="720"/>
        <w:jc w:val="both"/>
        <w:rPr>
          <w:rFonts w:ascii="Times New Roman" w:hAnsi="Times New Roman"/>
          <w:sz w:val="28"/>
          <w:szCs w:val="28"/>
        </w:rPr>
      </w:pPr>
      <w:r>
        <w:rPr>
          <w:rFonts w:ascii="Times New Roman" w:hAnsi="Times New Roman"/>
          <w:sz w:val="28"/>
          <w:szCs w:val="28"/>
        </w:rPr>
        <w:lastRenderedPageBreak/>
        <w:t>Ariz. R. Crim. P. 31.19. An appellate court’s orders and decisions.</w:t>
      </w:r>
    </w:p>
    <w:p w14:paraId="51BC8386" w14:textId="77777777" w:rsidR="009F189B" w:rsidRDefault="009F189B" w:rsidP="009F189B">
      <w:pPr>
        <w:spacing w:line="240" w:lineRule="auto"/>
        <w:ind w:left="720" w:right="720"/>
        <w:jc w:val="both"/>
        <w:rPr>
          <w:rFonts w:ascii="Times New Roman" w:hAnsi="Times New Roman"/>
          <w:sz w:val="28"/>
          <w:szCs w:val="28"/>
        </w:rPr>
      </w:pPr>
    </w:p>
    <w:p w14:paraId="480E97A7" w14:textId="31DB155C" w:rsidR="009F189B" w:rsidRPr="009F189B" w:rsidRDefault="009F189B" w:rsidP="009F189B">
      <w:pPr>
        <w:pStyle w:val="ListParagraph"/>
        <w:numPr>
          <w:ilvl w:val="0"/>
          <w:numId w:val="11"/>
        </w:numPr>
        <w:spacing w:line="240" w:lineRule="auto"/>
        <w:ind w:right="720"/>
        <w:jc w:val="both"/>
        <w:rPr>
          <w:rFonts w:ascii="Times New Roman" w:hAnsi="Times New Roman"/>
          <w:sz w:val="28"/>
          <w:szCs w:val="28"/>
        </w:rPr>
      </w:pPr>
      <w:r>
        <w:rPr>
          <w:rFonts w:ascii="Times New Roman" w:hAnsi="Times New Roman"/>
          <w:sz w:val="28"/>
          <w:szCs w:val="28"/>
        </w:rPr>
        <w:t>[No change]</w:t>
      </w:r>
    </w:p>
    <w:p w14:paraId="72DCB1B0" w14:textId="77777777" w:rsidR="009F189B" w:rsidRDefault="009F189B" w:rsidP="009F189B">
      <w:pPr>
        <w:spacing w:line="240" w:lineRule="auto"/>
        <w:ind w:left="720" w:right="720"/>
        <w:jc w:val="both"/>
        <w:rPr>
          <w:rFonts w:ascii="Times New Roman" w:hAnsi="Times New Roman"/>
          <w:sz w:val="28"/>
          <w:szCs w:val="28"/>
        </w:rPr>
      </w:pPr>
    </w:p>
    <w:p w14:paraId="1799ACD8" w14:textId="34B23767" w:rsidR="009F189B" w:rsidRDefault="009F189B" w:rsidP="009F189B">
      <w:pPr>
        <w:spacing w:line="240" w:lineRule="auto"/>
        <w:ind w:left="720" w:right="720"/>
        <w:jc w:val="both"/>
        <w:rPr>
          <w:rFonts w:ascii="Times New Roman" w:hAnsi="Times New Roman"/>
          <w:sz w:val="28"/>
          <w:szCs w:val="28"/>
        </w:rPr>
      </w:pPr>
      <w:r>
        <w:rPr>
          <w:rFonts w:ascii="Times New Roman" w:hAnsi="Times New Roman"/>
          <w:sz w:val="28"/>
          <w:szCs w:val="28"/>
        </w:rPr>
        <w:t>(b) Order pending a decision</w:t>
      </w:r>
      <w:r w:rsidRPr="0017761F">
        <w:rPr>
          <w:rFonts w:ascii="Times New Roman" w:hAnsi="Times New Roman"/>
          <w:sz w:val="28"/>
          <w:szCs w:val="28"/>
        </w:rPr>
        <w:t>.</w:t>
      </w:r>
      <w:r>
        <w:rPr>
          <w:rFonts w:ascii="Times New Roman" w:hAnsi="Times New Roman"/>
          <w:sz w:val="28"/>
          <w:szCs w:val="28"/>
        </w:rPr>
        <w:t xml:space="preserve"> An appellate court may issue any order during the course of an appeal that it deems necessary or appropriate to facilitate or expedite the appeal’s consideration.</w:t>
      </w:r>
      <w:r w:rsidR="00301411">
        <w:rPr>
          <w:rFonts w:ascii="Times New Roman" w:hAnsi="Times New Roman"/>
          <w:sz w:val="28"/>
          <w:szCs w:val="28"/>
        </w:rPr>
        <w:t xml:space="preserve"> </w:t>
      </w:r>
      <w:r w:rsidR="00301411" w:rsidRPr="00301411">
        <w:rPr>
          <w:rFonts w:ascii="Times New Roman" w:hAnsi="Times New Roman"/>
          <w:b/>
          <w:bCs/>
          <w:sz w:val="28"/>
          <w:szCs w:val="28"/>
          <w:u w:val="single"/>
        </w:rPr>
        <w:t>If the appellate court identifies a legal question important to the disposition of the case, it must issue an order identifying that question and giving the parties a reasonable time to file supplemental briefs on that question</w:t>
      </w:r>
      <w:r w:rsidR="00301411">
        <w:rPr>
          <w:rFonts w:ascii="Times New Roman" w:hAnsi="Times New Roman"/>
          <w:sz w:val="28"/>
          <w:szCs w:val="28"/>
        </w:rPr>
        <w:t>.</w:t>
      </w:r>
    </w:p>
    <w:p w14:paraId="7D889057" w14:textId="77777777" w:rsidR="009F189B" w:rsidRDefault="009F189B" w:rsidP="009F189B">
      <w:pPr>
        <w:spacing w:line="240" w:lineRule="auto"/>
        <w:ind w:left="720" w:right="720" w:firstLine="720"/>
        <w:jc w:val="both"/>
        <w:rPr>
          <w:rFonts w:ascii="Times New Roman" w:hAnsi="Times New Roman"/>
          <w:sz w:val="28"/>
          <w:szCs w:val="28"/>
        </w:rPr>
      </w:pPr>
    </w:p>
    <w:p w14:paraId="0B8CD425" w14:textId="27C45F51" w:rsidR="009F189B" w:rsidRDefault="00301411" w:rsidP="00BA59FD">
      <w:pPr>
        <w:tabs>
          <w:tab w:val="right" w:pos="9360"/>
        </w:tabs>
        <w:spacing w:line="480" w:lineRule="auto"/>
        <w:ind w:firstLine="720"/>
        <w:jc w:val="both"/>
        <w:rPr>
          <w:rFonts w:ascii="Times New Roman" w:hAnsi="Times New Roman"/>
          <w:sz w:val="28"/>
          <w:szCs w:val="28"/>
        </w:rPr>
      </w:pPr>
      <w:r>
        <w:rPr>
          <w:rFonts w:ascii="Times New Roman" w:hAnsi="Times New Roman"/>
          <w:sz w:val="28"/>
          <w:szCs w:val="28"/>
        </w:rPr>
        <w:t>(c)-(f) [No change]</w:t>
      </w:r>
    </w:p>
    <w:p w14:paraId="277F4F56" w14:textId="54446F64" w:rsidR="00753D22" w:rsidRDefault="009F189B" w:rsidP="001F54B7">
      <w:pPr>
        <w:tabs>
          <w:tab w:val="right" w:pos="9360"/>
        </w:tabs>
        <w:spacing w:line="480" w:lineRule="auto"/>
        <w:jc w:val="both"/>
        <w:rPr>
          <w:rFonts w:ascii="Times New Roman" w:hAnsi="Times New Roman"/>
          <w:sz w:val="28"/>
          <w:szCs w:val="28"/>
        </w:rPr>
      </w:pPr>
      <w:r>
        <w:rPr>
          <w:rFonts w:ascii="Times New Roman" w:hAnsi="Times New Roman"/>
          <w:sz w:val="28"/>
          <w:szCs w:val="28"/>
        </w:rPr>
        <w:t>ARCAP 20</w:t>
      </w:r>
      <w:r w:rsidR="00301411">
        <w:rPr>
          <w:rFonts w:ascii="Times New Roman" w:hAnsi="Times New Roman"/>
          <w:sz w:val="28"/>
          <w:szCs w:val="28"/>
        </w:rPr>
        <w:t xml:space="preserve"> </w:t>
      </w:r>
      <w:r>
        <w:rPr>
          <w:rFonts w:ascii="Times New Roman" w:hAnsi="Times New Roman"/>
          <w:sz w:val="28"/>
          <w:szCs w:val="28"/>
        </w:rPr>
        <w:t>is nearly identical</w:t>
      </w:r>
      <w:r w:rsidR="00301411">
        <w:rPr>
          <w:rFonts w:ascii="Times New Roman" w:hAnsi="Times New Roman"/>
          <w:sz w:val="28"/>
          <w:szCs w:val="28"/>
        </w:rPr>
        <w:t xml:space="preserve"> to Ariz. R. Crim. P. 31.19(a),</w:t>
      </w:r>
      <w:r>
        <w:rPr>
          <w:rFonts w:ascii="Times New Roman" w:hAnsi="Times New Roman"/>
          <w:sz w:val="28"/>
          <w:szCs w:val="28"/>
        </w:rPr>
        <w:t xml:space="preserve"> but it </w:t>
      </w:r>
      <w:r w:rsidR="00301411">
        <w:rPr>
          <w:rFonts w:ascii="Times New Roman" w:hAnsi="Times New Roman"/>
          <w:sz w:val="28"/>
          <w:szCs w:val="28"/>
        </w:rPr>
        <w:t>does not contain any of the other five subsections of the corresponding criminal rule</w:t>
      </w:r>
      <w:r w:rsidR="00753D22">
        <w:rPr>
          <w:rFonts w:ascii="Times New Roman" w:hAnsi="Times New Roman"/>
          <w:sz w:val="28"/>
          <w:szCs w:val="28"/>
        </w:rPr>
        <w:t xml:space="preserve"> (and only one of those subsections, Rule 31.19(d), applies only to criminal cases)</w:t>
      </w:r>
      <w:r>
        <w:rPr>
          <w:rFonts w:ascii="Times New Roman" w:hAnsi="Times New Roman"/>
          <w:sz w:val="28"/>
          <w:szCs w:val="28"/>
        </w:rPr>
        <w:t xml:space="preserve">. </w:t>
      </w:r>
      <w:r w:rsidR="00753D22">
        <w:rPr>
          <w:rFonts w:ascii="Times New Roman" w:hAnsi="Times New Roman"/>
          <w:sz w:val="28"/>
          <w:szCs w:val="28"/>
        </w:rPr>
        <w:t>ARCAP 20</w:t>
      </w:r>
      <w:r w:rsidR="00142D09">
        <w:rPr>
          <w:rFonts w:ascii="Times New Roman" w:hAnsi="Times New Roman"/>
          <w:sz w:val="28"/>
          <w:szCs w:val="28"/>
        </w:rPr>
        <w:t>, whether or not it is</w:t>
      </w:r>
      <w:r w:rsidR="00753D22">
        <w:rPr>
          <w:rFonts w:ascii="Times New Roman" w:hAnsi="Times New Roman"/>
          <w:sz w:val="28"/>
          <w:szCs w:val="28"/>
        </w:rPr>
        <w:t xml:space="preserve"> expanded to include the other subsections</w:t>
      </w:r>
      <w:r w:rsidR="00142D09">
        <w:rPr>
          <w:rFonts w:ascii="Times New Roman" w:hAnsi="Times New Roman"/>
          <w:sz w:val="28"/>
          <w:szCs w:val="28"/>
        </w:rPr>
        <w:t>, provides an ideal location for my proposed language</w:t>
      </w:r>
      <w:r w:rsidR="00753D22">
        <w:rPr>
          <w:rFonts w:ascii="Times New Roman" w:hAnsi="Times New Roman"/>
          <w:sz w:val="28"/>
          <w:szCs w:val="28"/>
        </w:rPr>
        <w:t>.</w:t>
      </w:r>
    </w:p>
    <w:p w14:paraId="43194AF9" w14:textId="607244BD" w:rsidR="00142D09" w:rsidRDefault="00753D22" w:rsidP="00142D09">
      <w:pPr>
        <w:tabs>
          <w:tab w:val="right" w:pos="9360"/>
        </w:tabs>
        <w:spacing w:line="480" w:lineRule="auto"/>
        <w:ind w:firstLine="720"/>
        <w:jc w:val="both"/>
        <w:rPr>
          <w:rFonts w:ascii="Times New Roman" w:hAnsi="Times New Roman"/>
          <w:b/>
          <w:sz w:val="28"/>
          <w:szCs w:val="28"/>
          <w:u w:val="single"/>
        </w:rPr>
      </w:pPr>
      <w:r>
        <w:rPr>
          <w:rFonts w:ascii="Times New Roman" w:hAnsi="Times New Roman"/>
          <w:sz w:val="28"/>
          <w:szCs w:val="28"/>
        </w:rPr>
        <w:t xml:space="preserve">I </w:t>
      </w:r>
      <w:r w:rsidR="001F54B7">
        <w:rPr>
          <w:rFonts w:ascii="Times New Roman" w:hAnsi="Times New Roman"/>
          <w:sz w:val="28"/>
          <w:szCs w:val="28"/>
        </w:rPr>
        <w:t>believe my proposal is preferable to</w:t>
      </w:r>
      <w:r>
        <w:rPr>
          <w:rFonts w:ascii="Times New Roman" w:hAnsi="Times New Roman"/>
          <w:sz w:val="28"/>
          <w:szCs w:val="28"/>
        </w:rPr>
        <w:t xml:space="preserve"> Petitioners’</w:t>
      </w:r>
      <w:r w:rsidR="001F54B7">
        <w:rPr>
          <w:rFonts w:ascii="Times New Roman" w:hAnsi="Times New Roman"/>
          <w:sz w:val="28"/>
          <w:szCs w:val="28"/>
        </w:rPr>
        <w:t xml:space="preserve"> proposal for two reasons. First, attorneys are more likely to look to ARCAP or Criminal Rule 31 for appellate procedural rules than to the Rules of the Supreme Court. Second, </w:t>
      </w:r>
      <w:r w:rsidR="00542196">
        <w:rPr>
          <w:rFonts w:ascii="Times New Roman" w:hAnsi="Times New Roman"/>
          <w:sz w:val="28"/>
          <w:szCs w:val="28"/>
        </w:rPr>
        <w:t>ARCAP 20 and Criminal Rule 31.19(b) are more logical locations than the Rules of the Supreme Court</w:t>
      </w:r>
      <w:r>
        <w:rPr>
          <w:rFonts w:ascii="Times New Roman" w:hAnsi="Times New Roman"/>
          <w:sz w:val="28"/>
          <w:szCs w:val="28"/>
        </w:rPr>
        <w:t xml:space="preserve">. </w:t>
      </w:r>
      <w:r w:rsidR="00542196">
        <w:rPr>
          <w:rFonts w:ascii="Times New Roman" w:hAnsi="Times New Roman"/>
          <w:sz w:val="28"/>
          <w:szCs w:val="28"/>
        </w:rPr>
        <w:t xml:space="preserve">Wherever this </w:t>
      </w:r>
      <w:r>
        <w:rPr>
          <w:rFonts w:ascii="Times New Roman" w:hAnsi="Times New Roman"/>
          <w:sz w:val="28"/>
          <w:szCs w:val="28"/>
        </w:rPr>
        <w:t>change</w:t>
      </w:r>
      <w:r w:rsidR="00542196">
        <w:rPr>
          <w:rFonts w:ascii="Times New Roman" w:hAnsi="Times New Roman"/>
          <w:sz w:val="28"/>
          <w:szCs w:val="28"/>
        </w:rPr>
        <w:t xml:space="preserve"> appears, I agree it is needed</w:t>
      </w:r>
      <w:r>
        <w:rPr>
          <w:rFonts w:ascii="Times New Roman" w:hAnsi="Times New Roman"/>
          <w:sz w:val="28"/>
          <w:szCs w:val="28"/>
        </w:rPr>
        <w:t xml:space="preserve"> and I thank Petitioners for bringing </w:t>
      </w:r>
      <w:r w:rsidR="00542196">
        <w:rPr>
          <w:rFonts w:ascii="Times New Roman" w:hAnsi="Times New Roman"/>
          <w:sz w:val="28"/>
          <w:szCs w:val="28"/>
        </w:rPr>
        <w:t>it</w:t>
      </w:r>
      <w:r>
        <w:rPr>
          <w:rFonts w:ascii="Times New Roman" w:hAnsi="Times New Roman"/>
          <w:sz w:val="28"/>
          <w:szCs w:val="28"/>
        </w:rPr>
        <w:t xml:space="preserve"> to the fore.</w:t>
      </w:r>
      <w:r w:rsidR="00142D09">
        <w:rPr>
          <w:rFonts w:ascii="Times New Roman" w:hAnsi="Times New Roman"/>
          <w:b/>
          <w:sz w:val="28"/>
          <w:szCs w:val="28"/>
          <w:u w:val="single"/>
        </w:rPr>
        <w:br w:type="page"/>
      </w:r>
    </w:p>
    <w:p w14:paraId="6F78F8D8" w14:textId="062E8E64" w:rsidR="00BC2358" w:rsidRPr="00BC2358" w:rsidRDefault="00BC2358" w:rsidP="00BC2358">
      <w:pPr>
        <w:spacing w:line="480" w:lineRule="auto"/>
        <w:jc w:val="both"/>
        <w:rPr>
          <w:rFonts w:ascii="Times New Roman" w:hAnsi="Times New Roman"/>
          <w:b/>
          <w:sz w:val="28"/>
          <w:szCs w:val="28"/>
          <w:u w:val="single"/>
        </w:rPr>
      </w:pPr>
      <w:r w:rsidRPr="00BC2358">
        <w:rPr>
          <w:rFonts w:ascii="Times New Roman" w:hAnsi="Times New Roman"/>
          <w:b/>
          <w:sz w:val="28"/>
          <w:szCs w:val="28"/>
          <w:u w:val="single"/>
        </w:rPr>
        <w:lastRenderedPageBreak/>
        <w:t>Conclusion</w:t>
      </w:r>
    </w:p>
    <w:p w14:paraId="1A9BA697" w14:textId="71738405" w:rsidR="002C660A" w:rsidRPr="0014499B" w:rsidRDefault="006A78C5" w:rsidP="001D0E6C">
      <w:pPr>
        <w:spacing w:line="480" w:lineRule="auto"/>
        <w:ind w:firstLine="720"/>
        <w:jc w:val="both"/>
        <w:rPr>
          <w:rFonts w:ascii="Times New Roman" w:hAnsi="Times New Roman"/>
          <w:sz w:val="28"/>
          <w:szCs w:val="28"/>
        </w:rPr>
      </w:pPr>
      <w:r>
        <w:rPr>
          <w:rFonts w:ascii="Times New Roman" w:hAnsi="Times New Roman"/>
          <w:sz w:val="28"/>
          <w:szCs w:val="28"/>
        </w:rPr>
        <w:t>F</w:t>
      </w:r>
      <w:r w:rsidR="0037686D">
        <w:rPr>
          <w:rFonts w:ascii="Times New Roman" w:hAnsi="Times New Roman"/>
          <w:sz w:val="28"/>
          <w:szCs w:val="28"/>
        </w:rPr>
        <w:t xml:space="preserve">or the reasons in my comment, I request this Court </w:t>
      </w:r>
      <w:r>
        <w:rPr>
          <w:rFonts w:ascii="Times New Roman" w:hAnsi="Times New Roman"/>
          <w:sz w:val="28"/>
          <w:szCs w:val="28"/>
        </w:rPr>
        <w:t>adopt</w:t>
      </w:r>
      <w:r w:rsidR="0037686D">
        <w:rPr>
          <w:rFonts w:ascii="Times New Roman" w:hAnsi="Times New Roman"/>
          <w:sz w:val="28"/>
          <w:szCs w:val="28"/>
        </w:rPr>
        <w:t xml:space="preserve"> </w:t>
      </w:r>
      <w:r>
        <w:rPr>
          <w:rFonts w:ascii="Times New Roman" w:hAnsi="Times New Roman"/>
          <w:sz w:val="28"/>
          <w:szCs w:val="28"/>
        </w:rPr>
        <w:t xml:space="preserve">changes to rules governing </w:t>
      </w:r>
      <w:r w:rsidRPr="006A78C5">
        <w:rPr>
          <w:rFonts w:ascii="Times New Roman" w:hAnsi="Times New Roman"/>
          <w:i/>
          <w:iCs/>
          <w:sz w:val="28"/>
          <w:szCs w:val="28"/>
        </w:rPr>
        <w:t>amicus curiae</w:t>
      </w:r>
      <w:r>
        <w:rPr>
          <w:rFonts w:ascii="Times New Roman" w:hAnsi="Times New Roman"/>
          <w:sz w:val="28"/>
          <w:szCs w:val="28"/>
        </w:rPr>
        <w:t xml:space="preserve"> briefs and deciding cases on unbriefed issues</w:t>
      </w:r>
      <w:r w:rsidR="0037686D">
        <w:rPr>
          <w:rFonts w:ascii="Times New Roman" w:hAnsi="Times New Roman"/>
          <w:sz w:val="28"/>
          <w:szCs w:val="28"/>
        </w:rPr>
        <w:t>.</w:t>
      </w:r>
      <w:r>
        <w:rPr>
          <w:rFonts w:ascii="Times New Roman" w:hAnsi="Times New Roman"/>
          <w:sz w:val="28"/>
          <w:szCs w:val="28"/>
        </w:rPr>
        <w:t xml:space="preserve"> I express no opinion on Petitioners’ third area of concern related to attorney fees.</w:t>
      </w:r>
    </w:p>
    <w:p w14:paraId="268AB80E" w14:textId="4F06D458" w:rsidR="00DC38DE" w:rsidRPr="0014499B"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37686D">
        <w:rPr>
          <w:rFonts w:ascii="Times New Roman" w:hAnsi="Times New Roman"/>
          <w:sz w:val="28"/>
          <w:szCs w:val="28"/>
        </w:rPr>
        <w:t>April</w:t>
      </w:r>
      <w:r w:rsidR="002C660A">
        <w:rPr>
          <w:rFonts w:ascii="Times New Roman" w:hAnsi="Times New Roman"/>
          <w:sz w:val="28"/>
          <w:szCs w:val="28"/>
        </w:rPr>
        <w:t xml:space="preserve"> </w:t>
      </w:r>
      <w:r w:rsidR="0037686D">
        <w:rPr>
          <w:rFonts w:ascii="Times New Roman" w:hAnsi="Times New Roman"/>
          <w:sz w:val="28"/>
          <w:szCs w:val="28"/>
        </w:rPr>
        <w:t>2</w:t>
      </w:r>
      <w:r w:rsidR="006A78C5">
        <w:rPr>
          <w:rFonts w:ascii="Times New Roman" w:hAnsi="Times New Roman"/>
          <w:sz w:val="28"/>
          <w:szCs w:val="28"/>
        </w:rPr>
        <w:t>8</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C60CF3">
        <w:rPr>
          <w:rFonts w:ascii="Times New Roman" w:hAnsi="Times New Roman"/>
          <w:sz w:val="28"/>
          <w:szCs w:val="28"/>
        </w:rPr>
        <w:t>3</w:t>
      </w:r>
      <w:r w:rsidR="00DC38DE" w:rsidRPr="0014499B">
        <w:rPr>
          <w:rFonts w:ascii="Times New Roman" w:hAnsi="Times New Roman"/>
          <w:sz w:val="28"/>
          <w:szCs w:val="28"/>
        </w:rPr>
        <w:t>.</w:t>
      </w:r>
    </w:p>
    <w:p w14:paraId="268AB811" w14:textId="77777777" w:rsidR="00DC38DE" w:rsidRPr="0014499B" w:rsidRDefault="00DC38DE" w:rsidP="00DC38DE">
      <w:pPr>
        <w:spacing w:line="240" w:lineRule="auto"/>
        <w:rPr>
          <w:rFonts w:ascii="Times New Roman" w:hAnsi="Times New Roman"/>
          <w:sz w:val="28"/>
          <w:szCs w:val="28"/>
        </w:rPr>
      </w:pPr>
    </w:p>
    <w:p w14:paraId="268AB812" w14:textId="2BA11A87"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Pr="00D9658B">
        <w:rPr>
          <w:rFonts w:ascii="Times New Roman" w:hAnsi="Times New Roman"/>
          <w:sz w:val="28"/>
          <w:szCs w:val="28"/>
          <w:u w:val="single"/>
        </w:rPr>
        <w:tab/>
      </w:r>
      <w:r>
        <w:rPr>
          <w:rFonts w:ascii="Times New Roman" w:hAnsi="Times New Roman"/>
          <w:sz w:val="28"/>
          <w:szCs w:val="28"/>
        </w:rPr>
        <w:tab/>
      </w:r>
    </w:p>
    <w:p w14:paraId="268AB813" w14:textId="13108448"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500E5C64" w14:textId="177A5CB3" w:rsidR="00854B4F" w:rsidRDefault="00854B4F" w:rsidP="00DC38DE">
      <w:pPr>
        <w:spacing w:line="240" w:lineRule="auto"/>
        <w:rPr>
          <w:rFonts w:ascii="Times New Roman" w:hAnsi="Times New Roman"/>
          <w:sz w:val="28"/>
          <w:szCs w:val="28"/>
        </w:rPr>
      </w:pPr>
    </w:p>
    <w:p w14:paraId="4C430503" w14:textId="7E935518" w:rsidR="004B74D0" w:rsidRDefault="004B74D0" w:rsidP="00DC38DE">
      <w:pPr>
        <w:spacing w:line="240" w:lineRule="auto"/>
        <w:rPr>
          <w:rFonts w:ascii="Times New Roman" w:hAnsi="Times New Roman"/>
          <w:sz w:val="28"/>
          <w:szCs w:val="28"/>
        </w:rPr>
      </w:pPr>
      <w:r>
        <w:rPr>
          <w:rFonts w:ascii="Times New Roman" w:hAnsi="Times New Roman"/>
          <w:sz w:val="28"/>
          <w:szCs w:val="28"/>
        </w:rPr>
        <w:t>Comment electronically mailed to:</w:t>
      </w:r>
    </w:p>
    <w:p w14:paraId="4BAF844C" w14:textId="616553E1" w:rsidR="004B74D0" w:rsidRDefault="004B74D0" w:rsidP="00DC38DE">
      <w:pPr>
        <w:spacing w:line="240" w:lineRule="auto"/>
        <w:rPr>
          <w:rFonts w:ascii="Times New Roman" w:hAnsi="Times New Roman"/>
          <w:sz w:val="28"/>
          <w:szCs w:val="28"/>
        </w:rPr>
      </w:pPr>
    </w:p>
    <w:p w14:paraId="27D12D94" w14:textId="5613349E" w:rsidR="00C60CF3" w:rsidRDefault="00753D22" w:rsidP="00DC38DE">
      <w:pPr>
        <w:spacing w:line="240" w:lineRule="auto"/>
        <w:rPr>
          <w:rFonts w:ascii="Times New Roman" w:hAnsi="Times New Roman"/>
          <w:sz w:val="28"/>
          <w:szCs w:val="28"/>
        </w:rPr>
      </w:pPr>
      <w:r>
        <w:rPr>
          <w:rFonts w:ascii="Times New Roman" w:hAnsi="Times New Roman"/>
          <w:sz w:val="28"/>
          <w:szCs w:val="28"/>
        </w:rPr>
        <w:t>Joel W. Nomkin</w:t>
      </w:r>
      <w:r w:rsidR="008163D1">
        <w:rPr>
          <w:rFonts w:ascii="Times New Roman" w:hAnsi="Times New Roman"/>
          <w:sz w:val="28"/>
          <w:szCs w:val="28"/>
        </w:rPr>
        <w:t xml:space="preserve"> &amp; </w:t>
      </w:r>
      <w:r w:rsidR="006A78C5">
        <w:rPr>
          <w:rFonts w:ascii="Times New Roman" w:hAnsi="Times New Roman"/>
          <w:sz w:val="28"/>
          <w:szCs w:val="28"/>
        </w:rPr>
        <w:t xml:space="preserve">Susan </w:t>
      </w:r>
      <w:r>
        <w:rPr>
          <w:rFonts w:ascii="Times New Roman" w:hAnsi="Times New Roman"/>
          <w:sz w:val="28"/>
          <w:szCs w:val="28"/>
        </w:rPr>
        <w:t xml:space="preserve">M. </w:t>
      </w:r>
      <w:r w:rsidR="006A78C5">
        <w:rPr>
          <w:rFonts w:ascii="Times New Roman" w:hAnsi="Times New Roman"/>
          <w:sz w:val="28"/>
          <w:szCs w:val="28"/>
        </w:rPr>
        <w:t>Freeman</w:t>
      </w:r>
    </w:p>
    <w:p w14:paraId="39D66266" w14:textId="5E3A7D9E" w:rsidR="00753D22" w:rsidRDefault="00C667CE" w:rsidP="00DC38DE">
      <w:pPr>
        <w:spacing w:line="240" w:lineRule="auto"/>
        <w:rPr>
          <w:rFonts w:ascii="Times New Roman" w:hAnsi="Times New Roman"/>
          <w:sz w:val="28"/>
          <w:szCs w:val="28"/>
        </w:rPr>
      </w:pPr>
      <w:hyperlink r:id="rId12" w:history="1">
        <w:r w:rsidR="00753D22" w:rsidRPr="007753FC">
          <w:rPr>
            <w:rStyle w:val="Hyperlink"/>
            <w:rFonts w:ascii="Times New Roman" w:hAnsi="Times New Roman"/>
            <w:sz w:val="28"/>
            <w:szCs w:val="28"/>
          </w:rPr>
          <w:t>JNomkin@perkinscoie.com</w:t>
        </w:r>
      </w:hyperlink>
    </w:p>
    <w:p w14:paraId="186E4CDD" w14:textId="14DF04F7" w:rsidR="00753D22" w:rsidRDefault="00C667CE" w:rsidP="00DC38DE">
      <w:pPr>
        <w:spacing w:line="240" w:lineRule="auto"/>
        <w:rPr>
          <w:rFonts w:ascii="Times New Roman" w:hAnsi="Times New Roman"/>
          <w:sz w:val="28"/>
          <w:szCs w:val="28"/>
        </w:rPr>
      </w:pPr>
      <w:hyperlink r:id="rId13" w:history="1">
        <w:r w:rsidR="00753D22" w:rsidRPr="007753FC">
          <w:rPr>
            <w:rStyle w:val="Hyperlink"/>
            <w:rFonts w:ascii="Times New Roman" w:hAnsi="Times New Roman"/>
            <w:sz w:val="28"/>
            <w:szCs w:val="28"/>
          </w:rPr>
          <w:t>SFreeman@lewisroca.com</w:t>
        </w:r>
      </w:hyperlink>
    </w:p>
    <w:p w14:paraId="59134252" w14:textId="77777777" w:rsidR="00753D22" w:rsidRDefault="00753D22" w:rsidP="00DC38DE">
      <w:pPr>
        <w:spacing w:line="240" w:lineRule="auto"/>
        <w:rPr>
          <w:rFonts w:ascii="Times New Roman" w:hAnsi="Times New Roman"/>
          <w:sz w:val="28"/>
          <w:szCs w:val="28"/>
        </w:rPr>
      </w:pPr>
    </w:p>
    <w:p w14:paraId="0AC96105" w14:textId="540D03C4" w:rsidR="008163D1" w:rsidRDefault="008163D1" w:rsidP="00DC38DE">
      <w:pPr>
        <w:spacing w:line="240" w:lineRule="auto"/>
        <w:rPr>
          <w:rFonts w:ascii="Times New Roman" w:hAnsi="Times New Roman"/>
          <w:sz w:val="28"/>
          <w:szCs w:val="28"/>
        </w:rPr>
      </w:pPr>
    </w:p>
    <w:sectPr w:rsidR="008163D1" w:rsidSect="00F54AAE">
      <w:footerReference w:type="even" r:id="rId14"/>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E3D6" w14:textId="77777777" w:rsidR="00FA1691" w:rsidRDefault="00FA1691">
      <w:r>
        <w:separator/>
      </w:r>
    </w:p>
  </w:endnote>
  <w:endnote w:type="continuationSeparator" w:id="0">
    <w:p w14:paraId="0B18701A" w14:textId="77777777" w:rsidR="00FA1691" w:rsidRDefault="00FA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B" w14:textId="17CBCBCC"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743">
      <w:rPr>
        <w:rStyle w:val="PageNumber"/>
        <w:noProof/>
      </w:rPr>
      <w:t>2</w: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111053"/>
      <w:docPartObj>
        <w:docPartGallery w:val="Page Numbers (Bottom of Page)"/>
        <w:docPartUnique/>
      </w:docPartObj>
    </w:sdtPr>
    <w:sdtEndPr>
      <w:rPr>
        <w:rFonts w:ascii="Times New Roman" w:hAnsi="Times New Roman"/>
        <w:noProof/>
        <w:sz w:val="28"/>
        <w:szCs w:val="32"/>
      </w:rPr>
    </w:sdtEndPr>
    <w:sdtContent>
      <w:p w14:paraId="5DDBCF84" w14:textId="7E7E7749" w:rsidR="000A3743" w:rsidRPr="000A3743" w:rsidRDefault="000A3743">
        <w:pPr>
          <w:pStyle w:val="Footer"/>
          <w:jc w:val="center"/>
          <w:rPr>
            <w:rFonts w:ascii="Times New Roman" w:hAnsi="Times New Roman"/>
            <w:sz w:val="28"/>
            <w:szCs w:val="32"/>
          </w:rPr>
        </w:pPr>
        <w:r w:rsidRPr="000A3743">
          <w:rPr>
            <w:rFonts w:ascii="Times New Roman" w:hAnsi="Times New Roman"/>
            <w:sz w:val="28"/>
            <w:szCs w:val="32"/>
          </w:rPr>
          <w:fldChar w:fldCharType="begin"/>
        </w:r>
        <w:r w:rsidRPr="000A3743">
          <w:rPr>
            <w:rFonts w:ascii="Times New Roman" w:hAnsi="Times New Roman"/>
            <w:sz w:val="28"/>
            <w:szCs w:val="32"/>
          </w:rPr>
          <w:instrText xml:space="preserve"> PAGE   \* MERGEFORMAT </w:instrText>
        </w:r>
        <w:r w:rsidRPr="000A3743">
          <w:rPr>
            <w:rFonts w:ascii="Times New Roman" w:hAnsi="Times New Roman"/>
            <w:sz w:val="28"/>
            <w:szCs w:val="32"/>
          </w:rPr>
          <w:fldChar w:fldCharType="separate"/>
        </w:r>
        <w:r w:rsidRPr="000A3743">
          <w:rPr>
            <w:rFonts w:ascii="Times New Roman" w:hAnsi="Times New Roman"/>
            <w:noProof/>
            <w:sz w:val="28"/>
            <w:szCs w:val="32"/>
          </w:rPr>
          <w:t>2</w:t>
        </w:r>
        <w:r w:rsidRPr="000A3743">
          <w:rPr>
            <w:rFonts w:ascii="Times New Roman" w:hAnsi="Times New Roman"/>
            <w:noProof/>
            <w:sz w:val="28"/>
            <w:szCs w:val="32"/>
          </w:rPr>
          <w:fldChar w:fldCharType="end"/>
        </w:r>
      </w:p>
    </w:sdtContent>
  </w:sdt>
  <w:p w14:paraId="60441CDF" w14:textId="77777777" w:rsidR="000A3743" w:rsidRDefault="000A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71BE1" w14:textId="77777777" w:rsidR="00FA1691" w:rsidRDefault="00FA1691">
      <w:r>
        <w:separator/>
      </w:r>
    </w:p>
  </w:footnote>
  <w:footnote w:type="continuationSeparator" w:id="0">
    <w:p w14:paraId="2FCDF336" w14:textId="77777777" w:rsidR="00FA1691" w:rsidRDefault="00FA1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DD5700E"/>
    <w:multiLevelType w:val="hybridMultilevel"/>
    <w:tmpl w:val="16B684F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A210EA"/>
    <w:multiLevelType w:val="hybridMultilevel"/>
    <w:tmpl w:val="1E9EE400"/>
    <w:lvl w:ilvl="0" w:tplc="CF766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5F5EE6"/>
    <w:multiLevelType w:val="hybridMultilevel"/>
    <w:tmpl w:val="A6C43686"/>
    <w:lvl w:ilvl="0" w:tplc="08BED8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2903555">
    <w:abstractNumId w:val="1"/>
  </w:num>
  <w:num w:numId="2" w16cid:durableId="469400166">
    <w:abstractNumId w:val="0"/>
  </w:num>
  <w:num w:numId="3" w16cid:durableId="626275486">
    <w:abstractNumId w:val="3"/>
  </w:num>
  <w:num w:numId="4" w16cid:durableId="1237518553">
    <w:abstractNumId w:val="2"/>
  </w:num>
  <w:num w:numId="5" w16cid:durableId="1732536459">
    <w:abstractNumId w:val="7"/>
  </w:num>
  <w:num w:numId="6" w16cid:durableId="1378436400">
    <w:abstractNumId w:val="10"/>
  </w:num>
  <w:num w:numId="7" w16cid:durableId="991374513">
    <w:abstractNumId w:val="4"/>
  </w:num>
  <w:num w:numId="8" w16cid:durableId="1700660638">
    <w:abstractNumId w:val="5"/>
  </w:num>
  <w:num w:numId="9" w16cid:durableId="372001553">
    <w:abstractNumId w:val="9"/>
  </w:num>
  <w:num w:numId="10" w16cid:durableId="398214401">
    <w:abstractNumId w:val="6"/>
  </w:num>
  <w:num w:numId="11" w16cid:durableId="19320855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5A49"/>
    <w:rsid w:val="000170EA"/>
    <w:rsid w:val="00030DFC"/>
    <w:rsid w:val="00033485"/>
    <w:rsid w:val="000347CF"/>
    <w:rsid w:val="00036CF2"/>
    <w:rsid w:val="000506CE"/>
    <w:rsid w:val="00050775"/>
    <w:rsid w:val="000539C9"/>
    <w:rsid w:val="00054624"/>
    <w:rsid w:val="000574A7"/>
    <w:rsid w:val="00057960"/>
    <w:rsid w:val="000759BB"/>
    <w:rsid w:val="000763D7"/>
    <w:rsid w:val="00076CBE"/>
    <w:rsid w:val="00083D10"/>
    <w:rsid w:val="00092D1D"/>
    <w:rsid w:val="00094BC9"/>
    <w:rsid w:val="00095786"/>
    <w:rsid w:val="000966E2"/>
    <w:rsid w:val="000A3743"/>
    <w:rsid w:val="000B1D0D"/>
    <w:rsid w:val="000B3D5C"/>
    <w:rsid w:val="000B58EF"/>
    <w:rsid w:val="000B6489"/>
    <w:rsid w:val="000D50D4"/>
    <w:rsid w:val="000E2821"/>
    <w:rsid w:val="000E477A"/>
    <w:rsid w:val="000E6C47"/>
    <w:rsid w:val="000E7FAC"/>
    <w:rsid w:val="000F6163"/>
    <w:rsid w:val="00111A1A"/>
    <w:rsid w:val="00117CB3"/>
    <w:rsid w:val="0012054D"/>
    <w:rsid w:val="00125A1E"/>
    <w:rsid w:val="00125CA9"/>
    <w:rsid w:val="001269D9"/>
    <w:rsid w:val="001279AC"/>
    <w:rsid w:val="00141C61"/>
    <w:rsid w:val="00142D09"/>
    <w:rsid w:val="00147D21"/>
    <w:rsid w:val="00147D30"/>
    <w:rsid w:val="001516C5"/>
    <w:rsid w:val="0016125C"/>
    <w:rsid w:val="00170A1F"/>
    <w:rsid w:val="00175B0A"/>
    <w:rsid w:val="00176A8B"/>
    <w:rsid w:val="0017761F"/>
    <w:rsid w:val="00186903"/>
    <w:rsid w:val="001942E5"/>
    <w:rsid w:val="001B24C6"/>
    <w:rsid w:val="001B3667"/>
    <w:rsid w:val="001B408E"/>
    <w:rsid w:val="001C015F"/>
    <w:rsid w:val="001C02C6"/>
    <w:rsid w:val="001C2BDE"/>
    <w:rsid w:val="001C30CE"/>
    <w:rsid w:val="001C60A4"/>
    <w:rsid w:val="001D0E6C"/>
    <w:rsid w:val="001D4A80"/>
    <w:rsid w:val="001F54B7"/>
    <w:rsid w:val="001F6288"/>
    <w:rsid w:val="00205E43"/>
    <w:rsid w:val="002076F9"/>
    <w:rsid w:val="00221A90"/>
    <w:rsid w:val="00221BCC"/>
    <w:rsid w:val="00230545"/>
    <w:rsid w:val="00235C89"/>
    <w:rsid w:val="0023620C"/>
    <w:rsid w:val="002549CE"/>
    <w:rsid w:val="00255E07"/>
    <w:rsid w:val="0027258D"/>
    <w:rsid w:val="002763F8"/>
    <w:rsid w:val="00284E5B"/>
    <w:rsid w:val="00285283"/>
    <w:rsid w:val="002901A9"/>
    <w:rsid w:val="002A24BA"/>
    <w:rsid w:val="002A3420"/>
    <w:rsid w:val="002A4DD3"/>
    <w:rsid w:val="002B5B1B"/>
    <w:rsid w:val="002B62C2"/>
    <w:rsid w:val="002C0EDD"/>
    <w:rsid w:val="002C54D2"/>
    <w:rsid w:val="002C660A"/>
    <w:rsid w:val="002D17D1"/>
    <w:rsid w:val="002E545E"/>
    <w:rsid w:val="002F1FBD"/>
    <w:rsid w:val="002F2876"/>
    <w:rsid w:val="002F33EF"/>
    <w:rsid w:val="00301411"/>
    <w:rsid w:val="00304745"/>
    <w:rsid w:val="00304EAE"/>
    <w:rsid w:val="003055A7"/>
    <w:rsid w:val="00305778"/>
    <w:rsid w:val="00305CB1"/>
    <w:rsid w:val="00311552"/>
    <w:rsid w:val="00313AAF"/>
    <w:rsid w:val="00320C7A"/>
    <w:rsid w:val="003231B0"/>
    <w:rsid w:val="00325AFE"/>
    <w:rsid w:val="00351280"/>
    <w:rsid w:val="00356079"/>
    <w:rsid w:val="00357C78"/>
    <w:rsid w:val="003732CB"/>
    <w:rsid w:val="0037686D"/>
    <w:rsid w:val="00380B0B"/>
    <w:rsid w:val="003A2343"/>
    <w:rsid w:val="003A346F"/>
    <w:rsid w:val="003A63AE"/>
    <w:rsid w:val="003C15EA"/>
    <w:rsid w:val="003C4E9C"/>
    <w:rsid w:val="003C6246"/>
    <w:rsid w:val="003E3701"/>
    <w:rsid w:val="003E5547"/>
    <w:rsid w:val="003E5927"/>
    <w:rsid w:val="0041282A"/>
    <w:rsid w:val="0041704C"/>
    <w:rsid w:val="00420CBC"/>
    <w:rsid w:val="00421E9E"/>
    <w:rsid w:val="004434F1"/>
    <w:rsid w:val="00444BE7"/>
    <w:rsid w:val="004503FC"/>
    <w:rsid w:val="00451F00"/>
    <w:rsid w:val="00454AE0"/>
    <w:rsid w:val="0047497F"/>
    <w:rsid w:val="00485FAA"/>
    <w:rsid w:val="00492362"/>
    <w:rsid w:val="00493A61"/>
    <w:rsid w:val="004963BA"/>
    <w:rsid w:val="004A2829"/>
    <w:rsid w:val="004B3410"/>
    <w:rsid w:val="004B6D4E"/>
    <w:rsid w:val="004B74D0"/>
    <w:rsid w:val="004B7790"/>
    <w:rsid w:val="004C7133"/>
    <w:rsid w:val="004D72A3"/>
    <w:rsid w:val="004E66AE"/>
    <w:rsid w:val="004E6839"/>
    <w:rsid w:val="004F3B51"/>
    <w:rsid w:val="004F5419"/>
    <w:rsid w:val="00502211"/>
    <w:rsid w:val="00512EB9"/>
    <w:rsid w:val="00515CB2"/>
    <w:rsid w:val="005252FB"/>
    <w:rsid w:val="00542196"/>
    <w:rsid w:val="0054468B"/>
    <w:rsid w:val="005453BE"/>
    <w:rsid w:val="00553515"/>
    <w:rsid w:val="005552C9"/>
    <w:rsid w:val="00556A2D"/>
    <w:rsid w:val="00565858"/>
    <w:rsid w:val="005924A7"/>
    <w:rsid w:val="005B0C4F"/>
    <w:rsid w:val="005B2350"/>
    <w:rsid w:val="005B53BE"/>
    <w:rsid w:val="005B7899"/>
    <w:rsid w:val="005C109B"/>
    <w:rsid w:val="005C3BDC"/>
    <w:rsid w:val="005C6E61"/>
    <w:rsid w:val="005D06D5"/>
    <w:rsid w:val="005D21EF"/>
    <w:rsid w:val="005D441D"/>
    <w:rsid w:val="005D7DCC"/>
    <w:rsid w:val="005E11F3"/>
    <w:rsid w:val="005E40C0"/>
    <w:rsid w:val="005F0195"/>
    <w:rsid w:val="005F145E"/>
    <w:rsid w:val="005F4669"/>
    <w:rsid w:val="0060208D"/>
    <w:rsid w:val="006068F4"/>
    <w:rsid w:val="0061055B"/>
    <w:rsid w:val="006114B6"/>
    <w:rsid w:val="00621C77"/>
    <w:rsid w:val="006235B5"/>
    <w:rsid w:val="0062703F"/>
    <w:rsid w:val="00627605"/>
    <w:rsid w:val="00627DBE"/>
    <w:rsid w:val="00635786"/>
    <w:rsid w:val="00636918"/>
    <w:rsid w:val="006378F2"/>
    <w:rsid w:val="006463AE"/>
    <w:rsid w:val="00646589"/>
    <w:rsid w:val="00656061"/>
    <w:rsid w:val="006650FE"/>
    <w:rsid w:val="00666490"/>
    <w:rsid w:val="00671A36"/>
    <w:rsid w:val="00674178"/>
    <w:rsid w:val="006876D6"/>
    <w:rsid w:val="00692962"/>
    <w:rsid w:val="006A3EB6"/>
    <w:rsid w:val="006A78C5"/>
    <w:rsid w:val="006C0F08"/>
    <w:rsid w:val="006C2808"/>
    <w:rsid w:val="006C5B68"/>
    <w:rsid w:val="006C648E"/>
    <w:rsid w:val="006D1C00"/>
    <w:rsid w:val="006D4397"/>
    <w:rsid w:val="006D4E43"/>
    <w:rsid w:val="006E34AB"/>
    <w:rsid w:val="006F5562"/>
    <w:rsid w:val="006F594D"/>
    <w:rsid w:val="006F6CD5"/>
    <w:rsid w:val="00701CE7"/>
    <w:rsid w:val="00701DAA"/>
    <w:rsid w:val="0070604A"/>
    <w:rsid w:val="007109BB"/>
    <w:rsid w:val="00714CCA"/>
    <w:rsid w:val="00716D4F"/>
    <w:rsid w:val="00720596"/>
    <w:rsid w:val="00734F6C"/>
    <w:rsid w:val="00741690"/>
    <w:rsid w:val="00744748"/>
    <w:rsid w:val="00753D22"/>
    <w:rsid w:val="00757D2B"/>
    <w:rsid w:val="00760549"/>
    <w:rsid w:val="007626EF"/>
    <w:rsid w:val="00764591"/>
    <w:rsid w:val="00765DAF"/>
    <w:rsid w:val="007669E7"/>
    <w:rsid w:val="00781317"/>
    <w:rsid w:val="00783BC1"/>
    <w:rsid w:val="00785725"/>
    <w:rsid w:val="007862DA"/>
    <w:rsid w:val="00787905"/>
    <w:rsid w:val="00794743"/>
    <w:rsid w:val="00796B36"/>
    <w:rsid w:val="007973A8"/>
    <w:rsid w:val="007A2304"/>
    <w:rsid w:val="007A3B11"/>
    <w:rsid w:val="007A5AD8"/>
    <w:rsid w:val="007A6AC6"/>
    <w:rsid w:val="007B4B94"/>
    <w:rsid w:val="007C17AC"/>
    <w:rsid w:val="007D2D04"/>
    <w:rsid w:val="007E229C"/>
    <w:rsid w:val="007F091F"/>
    <w:rsid w:val="007F35A8"/>
    <w:rsid w:val="00802B79"/>
    <w:rsid w:val="00806D9C"/>
    <w:rsid w:val="0081372C"/>
    <w:rsid w:val="00814F81"/>
    <w:rsid w:val="0081534B"/>
    <w:rsid w:val="008163D1"/>
    <w:rsid w:val="008272AA"/>
    <w:rsid w:val="00830B14"/>
    <w:rsid w:val="00831FE6"/>
    <w:rsid w:val="0083406F"/>
    <w:rsid w:val="00836008"/>
    <w:rsid w:val="008367DA"/>
    <w:rsid w:val="008409ED"/>
    <w:rsid w:val="00840EFC"/>
    <w:rsid w:val="00841AB1"/>
    <w:rsid w:val="008425DB"/>
    <w:rsid w:val="0085222A"/>
    <w:rsid w:val="00854B4F"/>
    <w:rsid w:val="008579E3"/>
    <w:rsid w:val="0086599B"/>
    <w:rsid w:val="00876503"/>
    <w:rsid w:val="008828FB"/>
    <w:rsid w:val="008940B3"/>
    <w:rsid w:val="008A079D"/>
    <w:rsid w:val="008B54C8"/>
    <w:rsid w:val="008B7D55"/>
    <w:rsid w:val="008C682F"/>
    <w:rsid w:val="008D1F4D"/>
    <w:rsid w:val="008D575C"/>
    <w:rsid w:val="008D6170"/>
    <w:rsid w:val="008D75BF"/>
    <w:rsid w:val="008E04BA"/>
    <w:rsid w:val="009040C7"/>
    <w:rsid w:val="009049C6"/>
    <w:rsid w:val="00923420"/>
    <w:rsid w:val="00936450"/>
    <w:rsid w:val="00943146"/>
    <w:rsid w:val="00952A62"/>
    <w:rsid w:val="00956F98"/>
    <w:rsid w:val="00963B50"/>
    <w:rsid w:val="00973C53"/>
    <w:rsid w:val="00975B5C"/>
    <w:rsid w:val="009815B4"/>
    <w:rsid w:val="009823DE"/>
    <w:rsid w:val="00984935"/>
    <w:rsid w:val="009923CC"/>
    <w:rsid w:val="009B5BAF"/>
    <w:rsid w:val="009C525E"/>
    <w:rsid w:val="009C79C4"/>
    <w:rsid w:val="009D6065"/>
    <w:rsid w:val="009F0094"/>
    <w:rsid w:val="009F0CE6"/>
    <w:rsid w:val="009F189B"/>
    <w:rsid w:val="009F697C"/>
    <w:rsid w:val="00A00B20"/>
    <w:rsid w:val="00A03454"/>
    <w:rsid w:val="00A0443C"/>
    <w:rsid w:val="00A066BB"/>
    <w:rsid w:val="00A25E18"/>
    <w:rsid w:val="00A41AA3"/>
    <w:rsid w:val="00A42EAA"/>
    <w:rsid w:val="00A51530"/>
    <w:rsid w:val="00A629F8"/>
    <w:rsid w:val="00A729B8"/>
    <w:rsid w:val="00A74317"/>
    <w:rsid w:val="00A86C90"/>
    <w:rsid w:val="00AB1A5A"/>
    <w:rsid w:val="00AB2212"/>
    <w:rsid w:val="00AB4F91"/>
    <w:rsid w:val="00AB5BD4"/>
    <w:rsid w:val="00AC1F4E"/>
    <w:rsid w:val="00AC3538"/>
    <w:rsid w:val="00AD6744"/>
    <w:rsid w:val="00AF6D8A"/>
    <w:rsid w:val="00B16F3E"/>
    <w:rsid w:val="00B40EF1"/>
    <w:rsid w:val="00B4395E"/>
    <w:rsid w:val="00B43E0F"/>
    <w:rsid w:val="00B515D5"/>
    <w:rsid w:val="00B521D5"/>
    <w:rsid w:val="00B67D5C"/>
    <w:rsid w:val="00B81136"/>
    <w:rsid w:val="00B86E8D"/>
    <w:rsid w:val="00B8700C"/>
    <w:rsid w:val="00B90C53"/>
    <w:rsid w:val="00B90D16"/>
    <w:rsid w:val="00BA4B2B"/>
    <w:rsid w:val="00BA59FD"/>
    <w:rsid w:val="00BA7D16"/>
    <w:rsid w:val="00BB1D01"/>
    <w:rsid w:val="00BB2A3A"/>
    <w:rsid w:val="00BB39E6"/>
    <w:rsid w:val="00BB652F"/>
    <w:rsid w:val="00BC2358"/>
    <w:rsid w:val="00BC64C3"/>
    <w:rsid w:val="00BD20AB"/>
    <w:rsid w:val="00BE4C96"/>
    <w:rsid w:val="00BE622B"/>
    <w:rsid w:val="00BF265F"/>
    <w:rsid w:val="00BF346E"/>
    <w:rsid w:val="00BF6973"/>
    <w:rsid w:val="00C0694F"/>
    <w:rsid w:val="00C10845"/>
    <w:rsid w:val="00C12F09"/>
    <w:rsid w:val="00C205F1"/>
    <w:rsid w:val="00C30A6D"/>
    <w:rsid w:val="00C3108B"/>
    <w:rsid w:val="00C347AE"/>
    <w:rsid w:val="00C37271"/>
    <w:rsid w:val="00C40941"/>
    <w:rsid w:val="00C44CA0"/>
    <w:rsid w:val="00C516BC"/>
    <w:rsid w:val="00C55A45"/>
    <w:rsid w:val="00C60CF3"/>
    <w:rsid w:val="00C61585"/>
    <w:rsid w:val="00C654DC"/>
    <w:rsid w:val="00C667CE"/>
    <w:rsid w:val="00C71726"/>
    <w:rsid w:val="00C76BAA"/>
    <w:rsid w:val="00C838EB"/>
    <w:rsid w:val="00C8556E"/>
    <w:rsid w:val="00C859FD"/>
    <w:rsid w:val="00C919C7"/>
    <w:rsid w:val="00C940C1"/>
    <w:rsid w:val="00C97315"/>
    <w:rsid w:val="00C9771B"/>
    <w:rsid w:val="00CA18B8"/>
    <w:rsid w:val="00CA5449"/>
    <w:rsid w:val="00CA5689"/>
    <w:rsid w:val="00CB3D52"/>
    <w:rsid w:val="00CB4F3A"/>
    <w:rsid w:val="00CC3610"/>
    <w:rsid w:val="00CD45E7"/>
    <w:rsid w:val="00CE08E0"/>
    <w:rsid w:val="00D0294B"/>
    <w:rsid w:val="00D145C4"/>
    <w:rsid w:val="00D16827"/>
    <w:rsid w:val="00D26ED2"/>
    <w:rsid w:val="00D3557D"/>
    <w:rsid w:val="00D37836"/>
    <w:rsid w:val="00D407F7"/>
    <w:rsid w:val="00D43EF2"/>
    <w:rsid w:val="00D53865"/>
    <w:rsid w:val="00D60861"/>
    <w:rsid w:val="00D629C5"/>
    <w:rsid w:val="00D774DA"/>
    <w:rsid w:val="00D77E36"/>
    <w:rsid w:val="00D83F58"/>
    <w:rsid w:val="00D877B2"/>
    <w:rsid w:val="00D94D24"/>
    <w:rsid w:val="00DA0D25"/>
    <w:rsid w:val="00DA2BE7"/>
    <w:rsid w:val="00DB048B"/>
    <w:rsid w:val="00DB2614"/>
    <w:rsid w:val="00DB3C6C"/>
    <w:rsid w:val="00DB4EDE"/>
    <w:rsid w:val="00DC13B0"/>
    <w:rsid w:val="00DC2E85"/>
    <w:rsid w:val="00DC38DE"/>
    <w:rsid w:val="00DC6C0A"/>
    <w:rsid w:val="00DD121E"/>
    <w:rsid w:val="00DD519E"/>
    <w:rsid w:val="00DF2F5D"/>
    <w:rsid w:val="00E126BB"/>
    <w:rsid w:val="00E16B5B"/>
    <w:rsid w:val="00E2055B"/>
    <w:rsid w:val="00E23568"/>
    <w:rsid w:val="00E31A1A"/>
    <w:rsid w:val="00E33388"/>
    <w:rsid w:val="00E34337"/>
    <w:rsid w:val="00E379BB"/>
    <w:rsid w:val="00E45F50"/>
    <w:rsid w:val="00E6637E"/>
    <w:rsid w:val="00E72B8D"/>
    <w:rsid w:val="00E7666E"/>
    <w:rsid w:val="00E82BBA"/>
    <w:rsid w:val="00E833FA"/>
    <w:rsid w:val="00E84532"/>
    <w:rsid w:val="00E92880"/>
    <w:rsid w:val="00E9409C"/>
    <w:rsid w:val="00E959B3"/>
    <w:rsid w:val="00EB36F1"/>
    <w:rsid w:val="00ED2D12"/>
    <w:rsid w:val="00EF5061"/>
    <w:rsid w:val="00F01BD2"/>
    <w:rsid w:val="00F03F5F"/>
    <w:rsid w:val="00F05072"/>
    <w:rsid w:val="00F12038"/>
    <w:rsid w:val="00F16ADA"/>
    <w:rsid w:val="00F306C9"/>
    <w:rsid w:val="00F33774"/>
    <w:rsid w:val="00F33A8F"/>
    <w:rsid w:val="00F36004"/>
    <w:rsid w:val="00F4743E"/>
    <w:rsid w:val="00F50B0F"/>
    <w:rsid w:val="00F54AAE"/>
    <w:rsid w:val="00F648B7"/>
    <w:rsid w:val="00F72E82"/>
    <w:rsid w:val="00F770BC"/>
    <w:rsid w:val="00F81718"/>
    <w:rsid w:val="00F82A1D"/>
    <w:rsid w:val="00F83BF1"/>
    <w:rsid w:val="00F83D96"/>
    <w:rsid w:val="00FA1691"/>
    <w:rsid w:val="00FA3DAA"/>
    <w:rsid w:val="00FA7136"/>
    <w:rsid w:val="00FB6218"/>
    <w:rsid w:val="00FB756E"/>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link w:val="FooterChar"/>
    <w:uiPriority w:val="99"/>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 w:type="character" w:customStyle="1" w:styleId="FooterChar">
    <w:name w:val="Footer Char"/>
    <w:basedOn w:val="DefaultParagraphFont"/>
    <w:link w:val="Footer"/>
    <w:uiPriority w:val="99"/>
    <w:rsid w:val="000A3743"/>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Freeman@lewisroc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Nomkin@perkinscoi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customXml/itemProps3.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4.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10</Pages>
  <Words>2415</Words>
  <Characters>12055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14442</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6</cp:revision>
  <cp:lastPrinted>2012-05-18T16:39:00Z</cp:lastPrinted>
  <dcterms:created xsi:type="dcterms:W3CDTF">2023-04-27T01:32:00Z</dcterms:created>
  <dcterms:modified xsi:type="dcterms:W3CDTF">2023-05-02T17:51:00Z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