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80"/>
        <w:ind w:right="6986"/>
      </w:pPr>
      <w:r>
        <w:rPr/>
        <w:t>Garye</w:t>
      </w:r>
      <w:r>
        <w:rPr>
          <w:spacing w:val="-18"/>
        </w:rPr>
        <w:t> </w:t>
      </w:r>
      <w:r>
        <w:rPr/>
        <w:t>L.</w:t>
      </w:r>
      <w:r>
        <w:rPr>
          <w:spacing w:val="-17"/>
        </w:rPr>
        <w:t> </w:t>
      </w:r>
      <w:r>
        <w:rPr/>
        <w:t>Vasquez Chief Judge</w:t>
      </w:r>
    </w:p>
    <w:p>
      <w:pPr>
        <w:pStyle w:val="BodyText"/>
        <w:ind w:right="4081"/>
      </w:pPr>
      <w:r>
        <w:rPr/>
        <w:t>Arizona</w:t>
      </w:r>
      <w:r>
        <w:rPr>
          <w:spacing w:val="-7"/>
        </w:rPr>
        <w:t> </w:t>
      </w:r>
      <w:r>
        <w:rPr/>
        <w:t>Court</w:t>
      </w:r>
      <w:r>
        <w:rPr>
          <w:spacing w:val="-8"/>
        </w:rPr>
        <w:t> </w:t>
      </w:r>
      <w:r>
        <w:rPr/>
        <w:t>of</w:t>
      </w:r>
      <w:r>
        <w:rPr>
          <w:spacing w:val="-7"/>
        </w:rPr>
        <w:t> </w:t>
      </w:r>
      <w:r>
        <w:rPr/>
        <w:t>Appeals,</w:t>
      </w:r>
      <w:r>
        <w:rPr>
          <w:spacing w:val="-7"/>
        </w:rPr>
        <w:t> </w:t>
      </w:r>
      <w:r>
        <w:rPr/>
        <w:t>Division</w:t>
      </w:r>
      <w:r>
        <w:rPr>
          <w:spacing w:val="-7"/>
        </w:rPr>
        <w:t> </w:t>
      </w:r>
      <w:r>
        <w:rPr/>
        <w:t>Two 400 W. Congress</w:t>
      </w:r>
    </w:p>
    <w:p>
      <w:pPr>
        <w:pStyle w:val="BodyText"/>
        <w:ind w:right="6116"/>
      </w:pPr>
      <w:r>
        <w:rPr/>
        <w:t>Tucson,</w:t>
      </w:r>
      <w:r>
        <w:rPr>
          <w:spacing w:val="-18"/>
        </w:rPr>
        <w:t> </w:t>
      </w:r>
      <w:r>
        <w:rPr/>
        <w:t>Arizona</w:t>
      </w:r>
      <w:r>
        <w:rPr>
          <w:spacing w:val="-17"/>
        </w:rPr>
        <w:t> </w:t>
      </w:r>
      <w:r>
        <w:rPr/>
        <w:t>85701 State Bar No. 010123</w:t>
      </w:r>
    </w:p>
    <w:p>
      <w:pPr>
        <w:pStyle w:val="BodyText"/>
        <w:ind w:left="0"/>
      </w:pPr>
    </w:p>
    <w:p>
      <w:pPr>
        <w:pStyle w:val="BodyText"/>
        <w:ind w:right="6986"/>
      </w:pPr>
      <w:r>
        <w:rPr/>
        <w:t>Kent</w:t>
      </w:r>
      <w:r>
        <w:rPr>
          <w:spacing w:val="-18"/>
        </w:rPr>
        <w:t> </w:t>
      </w:r>
      <w:r>
        <w:rPr/>
        <w:t>E.</w:t>
      </w:r>
      <w:r>
        <w:rPr>
          <w:spacing w:val="-17"/>
        </w:rPr>
        <w:t> </w:t>
      </w:r>
      <w:r>
        <w:rPr/>
        <w:t>Cattani Chief Judge</w:t>
      </w:r>
    </w:p>
    <w:p>
      <w:pPr>
        <w:pStyle w:val="BodyText"/>
        <w:ind w:right="4081"/>
      </w:pPr>
      <w:r>
        <w:rPr/>
        <w:t>Arizona</w:t>
      </w:r>
      <w:r>
        <w:rPr>
          <w:spacing w:val="-7"/>
        </w:rPr>
        <w:t> </w:t>
      </w:r>
      <w:r>
        <w:rPr/>
        <w:t>Court</w:t>
      </w:r>
      <w:r>
        <w:rPr>
          <w:spacing w:val="-9"/>
        </w:rPr>
        <w:t> </w:t>
      </w:r>
      <w:r>
        <w:rPr/>
        <w:t>of</w:t>
      </w:r>
      <w:r>
        <w:rPr>
          <w:spacing w:val="-8"/>
        </w:rPr>
        <w:t> </w:t>
      </w:r>
      <w:r>
        <w:rPr/>
        <w:t>Appeals,</w:t>
      </w:r>
      <w:r>
        <w:rPr>
          <w:spacing w:val="-8"/>
        </w:rPr>
        <w:t> </w:t>
      </w:r>
      <w:r>
        <w:rPr/>
        <w:t>Division</w:t>
      </w:r>
      <w:r>
        <w:rPr>
          <w:spacing w:val="-8"/>
        </w:rPr>
        <w:t> </w:t>
      </w:r>
      <w:r>
        <w:rPr/>
        <w:t>One 1501 West Washington Street</w:t>
      </w:r>
    </w:p>
    <w:p>
      <w:pPr>
        <w:pStyle w:val="BodyText"/>
        <w:spacing w:before="1"/>
      </w:pPr>
      <w:r>
        <w:rPr/>
        <w:t>Phoenix,</w:t>
      </w:r>
      <w:r>
        <w:rPr>
          <w:spacing w:val="-5"/>
        </w:rPr>
        <w:t> </w:t>
      </w:r>
      <w:r>
        <w:rPr/>
        <w:t>Arizona</w:t>
      </w:r>
      <w:r>
        <w:rPr>
          <w:spacing w:val="-3"/>
        </w:rPr>
        <w:t> </w:t>
      </w:r>
      <w:r>
        <w:rPr>
          <w:spacing w:val="-4"/>
        </w:rPr>
        <w:t>85007</w:t>
      </w:r>
    </w:p>
    <w:p>
      <w:pPr>
        <w:pStyle w:val="BodyText"/>
      </w:pPr>
      <w:r>
        <w:rPr/>
        <w:t>(602)</w:t>
      </w:r>
      <w:r>
        <w:rPr>
          <w:spacing w:val="-10"/>
        </w:rPr>
        <w:t> </w:t>
      </w:r>
      <w:r>
        <w:rPr/>
        <w:t>452-</w:t>
      </w:r>
      <w:r>
        <w:rPr>
          <w:spacing w:val="-4"/>
        </w:rPr>
        <w:t>6700</w:t>
      </w:r>
    </w:p>
    <w:p>
      <w:pPr>
        <w:pStyle w:val="BodyText"/>
      </w:pPr>
      <w:r>
        <w:rPr/>
        <w:t>State</w:t>
      </w:r>
      <w:r>
        <w:rPr>
          <w:spacing w:val="-5"/>
        </w:rPr>
        <w:t> </w:t>
      </w:r>
      <w:r>
        <w:rPr/>
        <w:t>Bar</w:t>
      </w:r>
      <w:r>
        <w:rPr>
          <w:spacing w:val="-3"/>
        </w:rPr>
        <w:t> </w:t>
      </w:r>
      <w:r>
        <w:rPr/>
        <w:t>No.</w:t>
      </w:r>
      <w:r>
        <w:rPr>
          <w:spacing w:val="-3"/>
        </w:rPr>
        <w:t> </w:t>
      </w:r>
      <w:r>
        <w:rPr>
          <w:spacing w:val="-2"/>
        </w:rPr>
        <w:t>010806</w:t>
      </w:r>
    </w:p>
    <w:p>
      <w:pPr>
        <w:pStyle w:val="BodyText"/>
        <w:spacing w:before="8"/>
        <w:ind w:left="0"/>
        <w:rPr>
          <w:sz w:val="17"/>
        </w:rPr>
      </w:pPr>
    </w:p>
    <w:p>
      <w:pPr>
        <w:pStyle w:val="Title"/>
        <w:spacing w:line="276" w:lineRule="auto"/>
      </w:pPr>
      <w:r>
        <w:rPr/>
        <w:t>IN</w:t>
      </w:r>
      <w:r>
        <w:rPr>
          <w:spacing w:val="-12"/>
        </w:rPr>
        <w:t> </w:t>
      </w:r>
      <w:r>
        <w:rPr/>
        <w:t>THE</w:t>
      </w:r>
      <w:r>
        <w:rPr>
          <w:spacing w:val="-14"/>
        </w:rPr>
        <w:t> </w:t>
      </w:r>
      <w:r>
        <w:rPr/>
        <w:t>SUPREME</w:t>
      </w:r>
      <w:r>
        <w:rPr>
          <w:spacing w:val="-12"/>
        </w:rPr>
        <w:t> </w:t>
      </w:r>
      <w:r>
        <w:rPr/>
        <w:t>COURT STATE OF ARIZONA</w:t>
      </w:r>
    </w:p>
    <w:p>
      <w:pPr>
        <w:pStyle w:val="BodyText"/>
        <w:spacing w:before="3"/>
        <w:ind w:left="0"/>
        <w:rPr>
          <w:b/>
          <w:sz w:val="21"/>
        </w:rPr>
      </w:pPr>
    </w:p>
    <w:p>
      <w:pPr>
        <w:spacing w:after="0"/>
        <w:rPr>
          <w:sz w:val="21"/>
        </w:rPr>
        <w:sectPr>
          <w:footerReference w:type="default" r:id="rId5"/>
          <w:type w:val="continuous"/>
          <w:pgSz w:w="12240" w:h="15840"/>
          <w:pgMar w:footer="1099" w:header="0" w:top="1360" w:bottom="1280" w:left="1340" w:right="1320"/>
          <w:pgNumType w:start="1"/>
        </w:sectPr>
      </w:pPr>
    </w:p>
    <w:p>
      <w:pPr>
        <w:pStyle w:val="BodyText"/>
        <w:tabs>
          <w:tab w:pos="4600" w:val="left" w:leader="none"/>
        </w:tabs>
        <w:spacing w:before="90"/>
        <w:jc w:val="both"/>
      </w:pPr>
      <w:r>
        <w:rPr/>
        <w:t>In</w:t>
      </w:r>
      <w:r>
        <w:rPr>
          <w:spacing w:val="-3"/>
        </w:rPr>
        <w:t> </w:t>
      </w:r>
      <w:r>
        <w:rPr/>
        <w:t>the</w:t>
      </w:r>
      <w:r>
        <w:rPr>
          <w:spacing w:val="-3"/>
        </w:rPr>
        <w:t> </w:t>
      </w:r>
      <w:r>
        <w:rPr/>
        <w:t>Matter</w:t>
      </w:r>
      <w:r>
        <w:rPr>
          <w:spacing w:val="-4"/>
        </w:rPr>
        <w:t> </w:t>
      </w:r>
      <w:r>
        <w:rPr>
          <w:spacing w:val="-5"/>
        </w:rPr>
        <w:t>of:</w:t>
      </w:r>
      <w:r>
        <w:rPr/>
        <w:tab/>
      </w:r>
      <w:r>
        <w:rPr>
          <w:spacing w:val="-10"/>
        </w:rPr>
        <w:t>)</w:t>
      </w:r>
    </w:p>
    <w:p>
      <w:pPr>
        <w:pStyle w:val="BodyText"/>
        <w:tabs>
          <w:tab w:pos="4600" w:val="left" w:leader="none"/>
        </w:tabs>
        <w:ind w:right="38" w:firstLine="4500"/>
        <w:jc w:val="both"/>
      </w:pPr>
      <w:r>
        <w:rPr>
          <w:spacing w:val="-10"/>
        </w:rPr>
        <w:t>) </w:t>
      </w:r>
      <w:r>
        <w:rPr/>
        <w:t>PETITION</w:t>
      </w:r>
      <w:r>
        <w:rPr>
          <w:spacing w:val="-4"/>
        </w:rPr>
        <w:t> </w:t>
      </w:r>
      <w:r>
        <w:rPr/>
        <w:t>TO</w:t>
      </w:r>
      <w:r>
        <w:rPr>
          <w:spacing w:val="-4"/>
        </w:rPr>
        <w:t> </w:t>
      </w:r>
      <w:r>
        <w:rPr/>
        <w:t>AMEND</w:t>
      </w:r>
      <w:r>
        <w:rPr>
          <w:spacing w:val="-5"/>
        </w:rPr>
        <w:t> </w:t>
      </w:r>
      <w:r>
        <w:rPr/>
        <w:t>ARIZONA</w:t>
      </w:r>
      <w:r>
        <w:rPr>
          <w:spacing w:val="35"/>
        </w:rPr>
        <w:t> </w:t>
      </w:r>
      <w:r>
        <w:rPr/>
        <w:t>) RULES</w:t>
      </w:r>
      <w:r>
        <w:rPr>
          <w:spacing w:val="-3"/>
        </w:rPr>
        <w:t> </w:t>
      </w:r>
      <w:r>
        <w:rPr/>
        <w:t>OF</w:t>
      </w:r>
      <w:r>
        <w:rPr>
          <w:spacing w:val="-3"/>
        </w:rPr>
        <w:t> </w:t>
      </w:r>
      <w:r>
        <w:rPr/>
        <w:t>CIVIL</w:t>
      </w:r>
      <w:r>
        <w:rPr>
          <w:spacing w:val="-4"/>
        </w:rPr>
        <w:t> </w:t>
      </w:r>
      <w:r>
        <w:rPr/>
        <w:t>APPELLATE</w:t>
      </w:r>
      <w:r>
        <w:rPr>
          <w:spacing w:val="80"/>
          <w:w w:val="150"/>
        </w:rPr>
        <w:t> </w:t>
      </w:r>
      <w:r>
        <w:rPr/>
        <w:t>) PROCEDURE 15 AND 21,</w:t>
        <w:tab/>
      </w:r>
      <w:r>
        <w:rPr>
          <w:spacing w:val="-10"/>
        </w:rPr>
        <w:t>) </w:t>
      </w:r>
      <w:r>
        <w:rPr/>
        <w:t>ARIZONA</w:t>
      </w:r>
      <w:r>
        <w:rPr>
          <w:spacing w:val="-3"/>
        </w:rPr>
        <w:t> </w:t>
      </w:r>
      <w:r>
        <w:rPr/>
        <w:t>RULE</w:t>
      </w:r>
      <w:r>
        <w:rPr>
          <w:spacing w:val="-4"/>
        </w:rPr>
        <w:t> </w:t>
      </w:r>
      <w:r>
        <w:rPr/>
        <w:t>OF</w:t>
      </w:r>
      <w:r>
        <w:rPr>
          <w:spacing w:val="-2"/>
        </w:rPr>
        <w:t> </w:t>
      </w:r>
      <w:r>
        <w:rPr/>
        <w:t>CRIMINAL</w:t>
      </w:r>
      <w:r>
        <w:rPr>
          <w:spacing w:val="80"/>
        </w:rPr>
        <w:t> </w:t>
      </w:r>
      <w:r>
        <w:rPr/>
        <w:t>) PROCEDURE 31, AND THE</w:t>
        <w:tab/>
      </w:r>
      <w:r>
        <w:rPr>
          <w:spacing w:val="-10"/>
        </w:rPr>
        <w:t>) </w:t>
      </w:r>
      <w:r>
        <w:rPr/>
        <w:t>RULES</w:t>
      </w:r>
      <w:r>
        <w:rPr>
          <w:spacing w:val="-5"/>
        </w:rPr>
        <w:t> </w:t>
      </w:r>
      <w:r>
        <w:rPr/>
        <w:t>OF</w:t>
      </w:r>
      <w:r>
        <w:rPr>
          <w:spacing w:val="-5"/>
        </w:rPr>
        <w:t> </w:t>
      </w:r>
      <w:r>
        <w:rPr/>
        <w:t>THE</w:t>
      </w:r>
      <w:r>
        <w:rPr>
          <w:spacing w:val="-2"/>
        </w:rPr>
        <w:t> </w:t>
      </w:r>
      <w:r>
        <w:rPr/>
        <w:t>SUPREME</w:t>
      </w:r>
      <w:r>
        <w:rPr>
          <w:spacing w:val="-3"/>
        </w:rPr>
        <w:t> </w:t>
      </w:r>
      <w:r>
        <w:rPr/>
        <w:t>COURT</w:t>
      </w:r>
      <w:r>
        <w:rPr>
          <w:spacing w:val="-3"/>
        </w:rPr>
        <w:t> </w:t>
      </w:r>
      <w:r>
        <w:rPr>
          <w:spacing w:val="-10"/>
        </w:rPr>
        <w:t>)</w:t>
      </w:r>
    </w:p>
    <w:p>
      <w:pPr>
        <w:spacing w:line="240" w:lineRule="auto" w:before="4"/>
        <w:rPr>
          <w:sz w:val="33"/>
        </w:rPr>
      </w:pPr>
      <w:r>
        <w:rPr/>
        <w:br w:type="column"/>
      </w:r>
      <w:r>
        <w:rPr>
          <w:sz w:val="33"/>
        </w:rPr>
      </w:r>
    </w:p>
    <w:p>
      <w:pPr>
        <w:pStyle w:val="BodyText"/>
      </w:pPr>
      <w:r>
        <w:rPr/>
        <w:t>Arizona</w:t>
      </w:r>
      <w:r>
        <w:rPr>
          <w:spacing w:val="-7"/>
        </w:rPr>
        <w:t> </w:t>
      </w:r>
      <w:r>
        <w:rPr/>
        <w:t>Supreme</w:t>
      </w:r>
      <w:r>
        <w:rPr>
          <w:spacing w:val="-8"/>
        </w:rPr>
        <w:t> </w:t>
      </w:r>
      <w:r>
        <w:rPr/>
        <w:t>Court</w:t>
      </w:r>
      <w:r>
        <w:rPr>
          <w:spacing w:val="-9"/>
        </w:rPr>
        <w:t> </w:t>
      </w:r>
      <w:r>
        <w:rPr/>
        <w:t>No.</w:t>
      </w:r>
      <w:r>
        <w:rPr>
          <w:spacing w:val="-9"/>
        </w:rPr>
        <w:t> </w:t>
      </w:r>
      <w:r>
        <w:rPr/>
        <w:t>R-22- </w:t>
      </w:r>
      <w:r>
        <w:rPr>
          <w:spacing w:val="-4"/>
        </w:rPr>
        <w:t>0041</w:t>
      </w:r>
    </w:p>
    <w:p>
      <w:pPr>
        <w:pStyle w:val="BodyText"/>
        <w:spacing w:before="10"/>
        <w:ind w:left="0"/>
        <w:rPr>
          <w:sz w:val="27"/>
        </w:rPr>
      </w:pPr>
    </w:p>
    <w:p>
      <w:pPr>
        <w:pStyle w:val="BodyText"/>
        <w:spacing w:before="1"/>
      </w:pPr>
      <w:r>
        <w:rPr/>
        <w:t>COMMENT</w:t>
      </w:r>
      <w:r>
        <w:rPr>
          <w:spacing w:val="-11"/>
        </w:rPr>
        <w:t> </w:t>
      </w:r>
      <w:r>
        <w:rPr/>
        <w:t>TO</w:t>
      </w:r>
      <w:r>
        <w:rPr>
          <w:spacing w:val="-11"/>
        </w:rPr>
        <w:t> </w:t>
      </w:r>
      <w:r>
        <w:rPr/>
        <w:t>PETITION</w:t>
      </w:r>
      <w:r>
        <w:rPr>
          <w:spacing w:val="-12"/>
        </w:rPr>
        <w:t> </w:t>
      </w:r>
      <w:r>
        <w:rPr/>
        <w:t>TO </w:t>
      </w:r>
      <w:r>
        <w:rPr>
          <w:spacing w:val="-2"/>
        </w:rPr>
        <w:t>AMEND</w:t>
      </w:r>
    </w:p>
    <w:p>
      <w:pPr>
        <w:spacing w:after="0"/>
        <w:sectPr>
          <w:type w:val="continuous"/>
          <w:pgSz w:w="12240" w:h="15840"/>
          <w:pgMar w:header="0" w:footer="1099" w:top="1360" w:bottom="1280" w:left="1340" w:right="1320"/>
          <w:cols w:num="2" w:equalWidth="0">
            <w:col w:w="4752" w:space="144"/>
            <w:col w:w="4684"/>
          </w:cols>
        </w:sectPr>
      </w:pPr>
    </w:p>
    <w:p>
      <w:pPr>
        <w:pStyle w:val="BodyText"/>
        <w:ind w:left="0"/>
        <w:rPr>
          <w:sz w:val="20"/>
        </w:rPr>
      </w:pPr>
    </w:p>
    <w:p>
      <w:pPr>
        <w:pStyle w:val="BodyText"/>
        <w:spacing w:before="4"/>
        <w:ind w:left="0"/>
        <w:rPr>
          <w:sz w:val="19"/>
        </w:rPr>
      </w:pPr>
    </w:p>
    <w:p>
      <w:pPr>
        <w:pStyle w:val="BodyText"/>
        <w:spacing w:line="480" w:lineRule="auto" w:before="91"/>
        <w:ind w:right="113" w:firstLine="719"/>
        <w:jc w:val="both"/>
      </w:pPr>
      <w:r>
        <w:rPr/>
        <w:t>Pursuant to Rule 28(e), Rules of the Supreme Court of Arizona, Judge Garye L. Vasquez and Judge Kent E. Cattani, Chief Judges of the two Divisions of the Arizona Court of Appeals, submit the following Comment to the above-captioned Petition.</w:t>
      </w:r>
    </w:p>
    <w:p>
      <w:pPr>
        <w:spacing w:after="0" w:line="480" w:lineRule="auto"/>
        <w:jc w:val="both"/>
        <w:sectPr>
          <w:type w:val="continuous"/>
          <w:pgSz w:w="12240" w:h="15840"/>
          <w:pgMar w:header="0" w:footer="1099" w:top="1360" w:bottom="1280" w:left="1340" w:right="1320"/>
        </w:sectPr>
      </w:pPr>
    </w:p>
    <w:p>
      <w:pPr>
        <w:pStyle w:val="BodyText"/>
        <w:spacing w:line="480" w:lineRule="auto" w:before="80"/>
        <w:ind w:right="113" w:firstLine="710"/>
        <w:jc w:val="both"/>
      </w:pPr>
      <w:r>
        <w:rPr/>
        <w:t>Petitioners</w:t>
      </w:r>
      <w:r>
        <w:rPr>
          <w:spacing w:val="-1"/>
        </w:rPr>
        <w:t> </w:t>
      </w:r>
      <w:r>
        <w:rPr/>
        <w:t>propose</w:t>
      </w:r>
      <w:r>
        <w:rPr>
          <w:spacing w:val="-4"/>
        </w:rPr>
        <w:t> </w:t>
      </w:r>
      <w:r>
        <w:rPr/>
        <w:t>that</w:t>
      </w:r>
      <w:r>
        <w:rPr>
          <w:spacing w:val="-2"/>
        </w:rPr>
        <w:t> </w:t>
      </w:r>
      <w:r>
        <w:rPr/>
        <w:t>the</w:t>
      </w:r>
      <w:r>
        <w:rPr>
          <w:spacing w:val="-5"/>
        </w:rPr>
        <w:t> </w:t>
      </w:r>
      <w:r>
        <w:rPr/>
        <w:t>Arizona</w:t>
      </w:r>
      <w:r>
        <w:rPr>
          <w:spacing w:val="-3"/>
        </w:rPr>
        <w:t> </w:t>
      </w:r>
      <w:r>
        <w:rPr/>
        <w:t>Supreme</w:t>
      </w:r>
      <w:r>
        <w:rPr>
          <w:spacing w:val="-2"/>
        </w:rPr>
        <w:t> </w:t>
      </w:r>
      <w:r>
        <w:rPr/>
        <w:t>Court</w:t>
      </w:r>
      <w:r>
        <w:rPr>
          <w:spacing w:val="-4"/>
        </w:rPr>
        <w:t> </w:t>
      </w:r>
      <w:r>
        <w:rPr/>
        <w:t>adopt</w:t>
      </w:r>
      <w:r>
        <w:rPr>
          <w:spacing w:val="-3"/>
        </w:rPr>
        <w:t> </w:t>
      </w:r>
      <w:r>
        <w:rPr/>
        <w:t>a</w:t>
      </w:r>
      <w:r>
        <w:rPr>
          <w:spacing w:val="-1"/>
        </w:rPr>
        <w:t> </w:t>
      </w:r>
      <w:r>
        <w:rPr/>
        <w:t>new</w:t>
      </w:r>
      <w:r>
        <w:rPr>
          <w:spacing w:val="-1"/>
        </w:rPr>
        <w:t> </w:t>
      </w:r>
      <w:r>
        <w:rPr/>
        <w:t>rule stating that an appellate court should, absent unusual circumstances, provide</w:t>
      </w:r>
      <w:r>
        <w:rPr>
          <w:spacing w:val="-3"/>
        </w:rPr>
        <w:t> </w:t>
      </w:r>
      <w:r>
        <w:rPr/>
        <w:t>notice</w:t>
      </w:r>
      <w:r>
        <w:rPr>
          <w:spacing w:val="-3"/>
        </w:rPr>
        <w:t> </w:t>
      </w:r>
      <w:r>
        <w:rPr/>
        <w:t>to</w:t>
      </w:r>
      <w:r>
        <w:rPr>
          <w:spacing w:val="-2"/>
        </w:rPr>
        <w:t> </w:t>
      </w:r>
      <w:r>
        <w:rPr/>
        <w:t>the</w:t>
      </w:r>
      <w:r>
        <w:rPr>
          <w:spacing w:val="-2"/>
        </w:rPr>
        <w:t> </w:t>
      </w:r>
      <w:r>
        <w:rPr/>
        <w:t>parties</w:t>
      </w:r>
      <w:r>
        <w:rPr>
          <w:spacing w:val="-2"/>
        </w:rPr>
        <w:t> </w:t>
      </w:r>
      <w:r>
        <w:rPr/>
        <w:t>before</w:t>
      </w:r>
      <w:r>
        <w:rPr>
          <w:spacing w:val="-3"/>
        </w:rPr>
        <w:t> </w:t>
      </w:r>
      <w:r>
        <w:rPr/>
        <w:t>it</w:t>
      </w:r>
      <w:r>
        <w:rPr>
          <w:spacing w:val="-3"/>
        </w:rPr>
        <w:t> </w:t>
      </w:r>
      <w:r>
        <w:rPr/>
        <w:t>decides</w:t>
      </w:r>
      <w:r>
        <w:rPr>
          <w:spacing w:val="-2"/>
        </w:rPr>
        <w:t> </w:t>
      </w:r>
      <w:r>
        <w:rPr/>
        <w:t>an</w:t>
      </w:r>
      <w:r>
        <w:rPr>
          <w:spacing w:val="-5"/>
        </w:rPr>
        <w:t> </w:t>
      </w:r>
      <w:r>
        <w:rPr/>
        <w:t>appeal</w:t>
      </w:r>
      <w:r>
        <w:rPr>
          <w:spacing w:val="-2"/>
        </w:rPr>
        <w:t> </w:t>
      </w:r>
      <w:r>
        <w:rPr/>
        <w:t>on</w:t>
      </w:r>
      <w:r>
        <w:rPr>
          <w:spacing w:val="-5"/>
        </w:rPr>
        <w:t> </w:t>
      </w:r>
      <w:r>
        <w:rPr/>
        <w:t>a</w:t>
      </w:r>
      <w:r>
        <w:rPr>
          <w:spacing w:val="-2"/>
        </w:rPr>
        <w:t> </w:t>
      </w:r>
      <w:r>
        <w:rPr/>
        <w:t>factual</w:t>
      </w:r>
      <w:r>
        <w:rPr>
          <w:spacing w:val="-2"/>
        </w:rPr>
        <w:t> </w:t>
      </w:r>
      <w:r>
        <w:rPr/>
        <w:t>or</w:t>
      </w:r>
      <w:r>
        <w:rPr>
          <w:spacing w:val="-3"/>
        </w:rPr>
        <w:t> </w:t>
      </w:r>
      <w:r>
        <w:rPr/>
        <w:t>legal basis</w:t>
      </w:r>
      <w:r>
        <w:rPr>
          <w:spacing w:val="-1"/>
        </w:rPr>
        <w:t> </w:t>
      </w:r>
      <w:r>
        <w:rPr/>
        <w:t>not</w:t>
      </w:r>
      <w:r>
        <w:rPr>
          <w:spacing w:val="-3"/>
        </w:rPr>
        <w:t> </w:t>
      </w:r>
      <w:r>
        <w:rPr/>
        <w:t>briefed</w:t>
      </w:r>
      <w:r>
        <w:rPr>
          <w:spacing w:val="-1"/>
        </w:rPr>
        <w:t> </w:t>
      </w:r>
      <w:r>
        <w:rPr/>
        <w:t>or</w:t>
      </w:r>
      <w:r>
        <w:rPr>
          <w:spacing w:val="-4"/>
        </w:rPr>
        <w:t> </w:t>
      </w:r>
      <w:r>
        <w:rPr/>
        <w:t>argued</w:t>
      </w:r>
      <w:r>
        <w:rPr>
          <w:spacing w:val="-1"/>
        </w:rPr>
        <w:t> </w:t>
      </w:r>
      <w:r>
        <w:rPr/>
        <w:t>by</w:t>
      </w:r>
      <w:r>
        <w:rPr>
          <w:spacing w:val="-2"/>
        </w:rPr>
        <w:t> </w:t>
      </w:r>
      <w:r>
        <w:rPr/>
        <w:t>the</w:t>
      </w:r>
      <w:r>
        <w:rPr>
          <w:spacing w:val="-3"/>
        </w:rPr>
        <w:t> </w:t>
      </w:r>
      <w:r>
        <w:rPr/>
        <w:t>parties</w:t>
      </w:r>
      <w:r>
        <w:rPr>
          <w:spacing w:val="-2"/>
        </w:rPr>
        <w:t> </w:t>
      </w:r>
      <w:r>
        <w:rPr/>
        <w:t>and</w:t>
      </w:r>
      <w:r>
        <w:rPr>
          <w:spacing w:val="-1"/>
        </w:rPr>
        <w:t> </w:t>
      </w:r>
      <w:r>
        <w:rPr/>
        <w:t>allow</w:t>
      </w:r>
      <w:r>
        <w:rPr>
          <w:spacing w:val="-1"/>
        </w:rPr>
        <w:t> </w:t>
      </w:r>
      <w:r>
        <w:rPr/>
        <w:t>them</w:t>
      </w:r>
      <w:r>
        <w:rPr>
          <w:spacing w:val="-3"/>
        </w:rPr>
        <w:t> </w:t>
      </w:r>
      <w:r>
        <w:rPr/>
        <w:t>an</w:t>
      </w:r>
      <w:r>
        <w:rPr>
          <w:spacing w:val="-2"/>
        </w:rPr>
        <w:t> </w:t>
      </w:r>
      <w:r>
        <w:rPr/>
        <w:t>opportunity</w:t>
      </w:r>
      <w:r>
        <w:rPr>
          <w:spacing w:val="-3"/>
        </w:rPr>
        <w:t> </w:t>
      </w:r>
      <w:r>
        <w:rPr/>
        <w:t>to submit supplemental briefing.</w:t>
      </w:r>
      <w:r>
        <w:rPr>
          <w:spacing w:val="40"/>
        </w:rPr>
        <w:t> </w:t>
      </w:r>
      <w:r>
        <w:rPr/>
        <w:t>This proposal, based on the anecdotal perceptions of petitioners and other appellate practitioners that this occurs often enough to be a problem warranting correction, is in our view unnecessary and may result in unintended consequences.</w:t>
      </w:r>
    </w:p>
    <w:p>
      <w:pPr>
        <w:pStyle w:val="BodyText"/>
        <w:spacing w:line="480" w:lineRule="auto" w:before="1"/>
        <w:ind w:right="113" w:firstLine="710"/>
        <w:jc w:val="both"/>
      </w:pPr>
      <w:r>
        <w:rPr/>
        <w:t>The petitioners’ concerns are largely addressed by current practice. The appellate court already orders supplemental briefing on potentially dispositive issues and arguments not raised by the parties if the court believes supplemental briefing is necessary.</w:t>
      </w:r>
      <w:r>
        <w:rPr>
          <w:spacing w:val="40"/>
        </w:rPr>
        <w:t> </w:t>
      </w:r>
      <w:r>
        <w:rPr/>
        <w:t>And the undersigned judges are of the view that this should be the default procedure followed by appellate judges before resolving an issue that has not been briefed by the </w:t>
      </w:r>
      <w:r>
        <w:rPr>
          <w:spacing w:val="-2"/>
        </w:rPr>
        <w:t>parties.</w:t>
      </w:r>
    </w:p>
    <w:p>
      <w:pPr>
        <w:pStyle w:val="BodyText"/>
        <w:spacing w:line="480" w:lineRule="auto"/>
        <w:ind w:right="114" w:firstLine="710"/>
        <w:jc w:val="both"/>
      </w:pPr>
      <w:r>
        <w:rPr/>
        <w:t>Nevertheless,</w:t>
      </w:r>
      <w:r>
        <w:rPr>
          <w:spacing w:val="-18"/>
        </w:rPr>
        <w:t> </w:t>
      </w:r>
      <w:r>
        <w:rPr/>
        <w:t>there</w:t>
      </w:r>
      <w:r>
        <w:rPr>
          <w:spacing w:val="-17"/>
        </w:rPr>
        <w:t> </w:t>
      </w:r>
      <w:r>
        <w:rPr/>
        <w:t>may</w:t>
      </w:r>
      <w:r>
        <w:rPr>
          <w:spacing w:val="-18"/>
        </w:rPr>
        <w:t> </w:t>
      </w:r>
      <w:r>
        <w:rPr/>
        <w:t>be</w:t>
      </w:r>
      <w:r>
        <w:rPr>
          <w:spacing w:val="-17"/>
        </w:rPr>
        <w:t> </w:t>
      </w:r>
      <w:r>
        <w:rPr/>
        <w:t>instances</w:t>
      </w:r>
      <w:r>
        <w:rPr>
          <w:spacing w:val="-18"/>
        </w:rPr>
        <w:t> </w:t>
      </w:r>
      <w:r>
        <w:rPr/>
        <w:t>in</w:t>
      </w:r>
      <w:r>
        <w:rPr>
          <w:spacing w:val="-17"/>
        </w:rPr>
        <w:t> </w:t>
      </w:r>
      <w:r>
        <w:rPr/>
        <w:t>which</w:t>
      </w:r>
      <w:r>
        <w:rPr>
          <w:spacing w:val="-18"/>
        </w:rPr>
        <w:t> </w:t>
      </w:r>
      <w:r>
        <w:rPr/>
        <w:t>the</w:t>
      </w:r>
      <w:r>
        <w:rPr>
          <w:spacing w:val="-17"/>
        </w:rPr>
        <w:t> </w:t>
      </w:r>
      <w:r>
        <w:rPr/>
        <w:t>record</w:t>
      </w:r>
      <w:r>
        <w:rPr>
          <w:spacing w:val="-18"/>
        </w:rPr>
        <w:t> </w:t>
      </w:r>
      <w:r>
        <w:rPr/>
        <w:t>or</w:t>
      </w:r>
      <w:r>
        <w:rPr>
          <w:spacing w:val="-17"/>
        </w:rPr>
        <w:t> </w:t>
      </w:r>
      <w:r>
        <w:rPr/>
        <w:t>law</w:t>
      </w:r>
      <w:r>
        <w:rPr>
          <w:spacing w:val="-18"/>
        </w:rPr>
        <w:t> </w:t>
      </w:r>
      <w:r>
        <w:rPr/>
        <w:t>is</w:t>
      </w:r>
      <w:r>
        <w:rPr>
          <w:spacing w:val="-17"/>
        </w:rPr>
        <w:t> </w:t>
      </w:r>
      <w:r>
        <w:rPr/>
        <w:t>clear and additional briefing is unnecessary.</w:t>
      </w:r>
      <w:r>
        <w:rPr>
          <w:spacing w:val="40"/>
        </w:rPr>
        <w:t> </w:t>
      </w:r>
      <w:r>
        <w:rPr/>
        <w:t>The proposed new rule would take away</w:t>
      </w:r>
      <w:r>
        <w:rPr>
          <w:spacing w:val="72"/>
        </w:rPr>
        <w:t> </w:t>
      </w:r>
      <w:r>
        <w:rPr/>
        <w:t>the</w:t>
      </w:r>
      <w:r>
        <w:rPr>
          <w:spacing w:val="74"/>
        </w:rPr>
        <w:t> </w:t>
      </w:r>
      <w:r>
        <w:rPr/>
        <w:t>court’s</w:t>
      </w:r>
      <w:r>
        <w:rPr>
          <w:spacing w:val="74"/>
        </w:rPr>
        <w:t> </w:t>
      </w:r>
      <w:r>
        <w:rPr/>
        <w:t>discretion</w:t>
      </w:r>
      <w:r>
        <w:rPr>
          <w:spacing w:val="74"/>
        </w:rPr>
        <w:t> </w:t>
      </w:r>
      <w:r>
        <w:rPr/>
        <w:t>to</w:t>
      </w:r>
      <w:r>
        <w:rPr>
          <w:spacing w:val="73"/>
        </w:rPr>
        <w:t> </w:t>
      </w:r>
      <w:r>
        <w:rPr/>
        <w:t>undertake</w:t>
      </w:r>
      <w:r>
        <w:rPr>
          <w:spacing w:val="74"/>
        </w:rPr>
        <w:t> </w:t>
      </w:r>
      <w:r>
        <w:rPr/>
        <w:t>its</w:t>
      </w:r>
      <w:r>
        <w:rPr>
          <w:spacing w:val="76"/>
        </w:rPr>
        <w:t> </w:t>
      </w:r>
      <w:r>
        <w:rPr/>
        <w:t>own</w:t>
      </w:r>
      <w:r>
        <w:rPr>
          <w:spacing w:val="73"/>
        </w:rPr>
        <w:t> </w:t>
      </w:r>
      <w:r>
        <w:rPr/>
        <w:t>analysis</w:t>
      </w:r>
      <w:r>
        <w:rPr>
          <w:spacing w:val="74"/>
        </w:rPr>
        <w:t> </w:t>
      </w:r>
      <w:r>
        <w:rPr/>
        <w:t>and</w:t>
      </w:r>
      <w:r>
        <w:rPr>
          <w:spacing w:val="76"/>
        </w:rPr>
        <w:t> </w:t>
      </w:r>
      <w:r>
        <w:rPr/>
        <w:t>issue</w:t>
      </w:r>
      <w:r>
        <w:rPr>
          <w:spacing w:val="71"/>
        </w:rPr>
        <w:t> </w:t>
      </w:r>
      <w:r>
        <w:rPr>
          <w:spacing w:val="-10"/>
        </w:rPr>
        <w:t>a</w:t>
      </w:r>
    </w:p>
    <w:p>
      <w:pPr>
        <w:pStyle w:val="BodyText"/>
        <w:jc w:val="both"/>
      </w:pPr>
      <w:r>
        <w:rPr/>
        <w:t>decision</w:t>
      </w:r>
      <w:r>
        <w:rPr>
          <w:spacing w:val="-2"/>
        </w:rPr>
        <w:t> </w:t>
      </w:r>
      <w:r>
        <w:rPr/>
        <w:t>based on</w:t>
      </w:r>
      <w:r>
        <w:rPr>
          <w:spacing w:val="-1"/>
        </w:rPr>
        <w:t> </w:t>
      </w:r>
      <w:r>
        <w:rPr/>
        <w:t>the</w:t>
      </w:r>
      <w:r>
        <w:rPr>
          <w:spacing w:val="-2"/>
        </w:rPr>
        <w:t> </w:t>
      </w:r>
      <w:r>
        <w:rPr/>
        <w:t>applicable law and</w:t>
      </w:r>
      <w:r>
        <w:rPr>
          <w:spacing w:val="-1"/>
        </w:rPr>
        <w:t> </w:t>
      </w:r>
      <w:r>
        <w:rPr/>
        <w:t>evidence.</w:t>
      </w:r>
      <w:r>
        <w:rPr>
          <w:spacing w:val="68"/>
        </w:rPr>
        <w:t> </w:t>
      </w:r>
      <w:r>
        <w:rPr/>
        <w:t>In</w:t>
      </w:r>
      <w:r>
        <w:rPr>
          <w:spacing w:val="-2"/>
        </w:rPr>
        <w:t> </w:t>
      </w:r>
      <w:r>
        <w:rPr/>
        <w:t>addition,</w:t>
      </w:r>
      <w:r>
        <w:rPr>
          <w:spacing w:val="-2"/>
        </w:rPr>
        <w:t> </w:t>
      </w:r>
      <w:r>
        <w:rPr/>
        <w:t>such</w:t>
      </w:r>
      <w:r>
        <w:rPr>
          <w:spacing w:val="-1"/>
        </w:rPr>
        <w:t> </w:t>
      </w:r>
      <w:r>
        <w:rPr/>
        <w:t>a </w:t>
      </w:r>
      <w:r>
        <w:rPr>
          <w:spacing w:val="-4"/>
        </w:rPr>
        <w:t>rule</w:t>
      </w:r>
    </w:p>
    <w:p>
      <w:pPr>
        <w:spacing w:after="0"/>
        <w:jc w:val="both"/>
        <w:sectPr>
          <w:pgSz w:w="12240" w:h="15840"/>
          <w:pgMar w:header="0" w:footer="1099" w:top="1360" w:bottom="1280" w:left="1340" w:right="1320"/>
        </w:sectPr>
      </w:pPr>
    </w:p>
    <w:p>
      <w:pPr>
        <w:pStyle w:val="BodyText"/>
        <w:spacing w:line="480" w:lineRule="auto" w:before="80"/>
        <w:ind w:right="115"/>
        <w:jc w:val="both"/>
      </w:pPr>
      <w:r>
        <w:rPr/>
        <w:t>could potentially delay the court’s decisions, cause the parties to incur further expense preparing (sometimes unnecessary) supplemental briefs, and lead to disputes regarding whether the court’s decision was based – in whole or in part – on an “unbriefed basis.”</w:t>
      </w:r>
    </w:p>
    <w:p>
      <w:pPr>
        <w:pStyle w:val="BodyText"/>
        <w:spacing w:line="480" w:lineRule="auto"/>
        <w:ind w:right="115" w:firstLine="719"/>
        <w:jc w:val="both"/>
      </w:pPr>
      <w:r>
        <w:rPr/>
        <w:t>There is no question that a party’s opportunity to be heard before a court renders a decision is central to our adversary system and due process of law.</w:t>
      </w:r>
      <w:r>
        <w:rPr>
          <w:spacing w:val="40"/>
        </w:rPr>
        <w:t> </w:t>
      </w:r>
      <w:r>
        <w:rPr/>
        <w:t>The rules for civil and criminal appeals honor this principle by allowing both the appellant and the appellee to present written arguments to</w:t>
      </w:r>
      <w:r>
        <w:rPr>
          <w:spacing w:val="9"/>
        </w:rPr>
        <w:t> </w:t>
      </w:r>
      <w:r>
        <w:rPr/>
        <w:t>the</w:t>
      </w:r>
      <w:r>
        <w:rPr>
          <w:spacing w:val="12"/>
        </w:rPr>
        <w:t> </w:t>
      </w:r>
      <w:r>
        <w:rPr/>
        <w:t>court</w:t>
      </w:r>
      <w:r>
        <w:rPr>
          <w:spacing w:val="10"/>
        </w:rPr>
        <w:t> </w:t>
      </w:r>
      <w:r>
        <w:rPr/>
        <w:t>before</w:t>
      </w:r>
      <w:r>
        <w:rPr>
          <w:spacing w:val="12"/>
        </w:rPr>
        <w:t> </w:t>
      </w:r>
      <w:r>
        <w:rPr/>
        <w:t>it</w:t>
      </w:r>
      <w:r>
        <w:rPr>
          <w:spacing w:val="12"/>
        </w:rPr>
        <w:t> </w:t>
      </w:r>
      <w:r>
        <w:rPr/>
        <w:t>considers</w:t>
      </w:r>
      <w:r>
        <w:rPr>
          <w:spacing w:val="12"/>
        </w:rPr>
        <w:t> </w:t>
      </w:r>
      <w:r>
        <w:rPr/>
        <w:t>an</w:t>
      </w:r>
      <w:r>
        <w:rPr>
          <w:spacing w:val="12"/>
        </w:rPr>
        <w:t> </w:t>
      </w:r>
      <w:r>
        <w:rPr/>
        <w:t>appeal.</w:t>
      </w:r>
      <w:r>
        <w:rPr>
          <w:spacing w:val="58"/>
          <w:w w:val="150"/>
        </w:rPr>
        <w:t> </w:t>
      </w:r>
      <w:r>
        <w:rPr/>
        <w:t>ARCAP</w:t>
      </w:r>
      <w:r>
        <w:rPr>
          <w:spacing w:val="13"/>
        </w:rPr>
        <w:t> </w:t>
      </w:r>
      <w:r>
        <w:rPr/>
        <w:t>13;</w:t>
      </w:r>
      <w:r>
        <w:rPr>
          <w:spacing w:val="12"/>
        </w:rPr>
        <w:t> </w:t>
      </w:r>
      <w:r>
        <w:rPr/>
        <w:t>Ariz.</w:t>
      </w:r>
      <w:r>
        <w:rPr>
          <w:spacing w:val="11"/>
        </w:rPr>
        <w:t> </w:t>
      </w:r>
      <w:r>
        <w:rPr/>
        <w:t>R.</w:t>
      </w:r>
      <w:r>
        <w:rPr>
          <w:spacing w:val="11"/>
        </w:rPr>
        <w:t> </w:t>
      </w:r>
      <w:r>
        <w:rPr/>
        <w:t>Crim.</w:t>
      </w:r>
      <w:r>
        <w:rPr>
          <w:spacing w:val="12"/>
        </w:rPr>
        <w:t> </w:t>
      </w:r>
      <w:r>
        <w:rPr>
          <w:spacing w:val="-2"/>
        </w:rPr>
        <w:t>Proc.</w:t>
      </w:r>
    </w:p>
    <w:p>
      <w:pPr>
        <w:pStyle w:val="BodyText"/>
        <w:spacing w:line="480" w:lineRule="auto" w:before="1"/>
        <w:ind w:right="113"/>
        <w:jc w:val="both"/>
      </w:pPr>
      <w:r>
        <w:rPr/>
        <w:t>31.10.</w:t>
      </w:r>
      <w:r>
        <w:rPr>
          <w:spacing w:val="39"/>
        </w:rPr>
        <w:t> </w:t>
      </w:r>
      <w:r>
        <w:rPr/>
        <w:t>But</w:t>
      </w:r>
      <w:r>
        <w:rPr>
          <w:spacing w:val="-15"/>
        </w:rPr>
        <w:t> </w:t>
      </w:r>
      <w:r>
        <w:rPr/>
        <w:t>if</w:t>
      </w:r>
      <w:r>
        <w:rPr>
          <w:spacing w:val="-15"/>
        </w:rPr>
        <w:t> </w:t>
      </w:r>
      <w:r>
        <w:rPr/>
        <w:t>the</w:t>
      </w:r>
      <w:r>
        <w:rPr>
          <w:spacing w:val="-15"/>
        </w:rPr>
        <w:t> </w:t>
      </w:r>
      <w:r>
        <w:rPr/>
        <w:t>parties</w:t>
      </w:r>
      <w:r>
        <w:rPr>
          <w:spacing w:val="-15"/>
        </w:rPr>
        <w:t> </w:t>
      </w:r>
      <w:r>
        <w:rPr/>
        <w:t>have</w:t>
      </w:r>
      <w:r>
        <w:rPr>
          <w:spacing w:val="-15"/>
        </w:rPr>
        <w:t> </w:t>
      </w:r>
      <w:r>
        <w:rPr/>
        <w:t>not</w:t>
      </w:r>
      <w:r>
        <w:rPr>
          <w:spacing w:val="-15"/>
        </w:rPr>
        <w:t> </w:t>
      </w:r>
      <w:r>
        <w:rPr/>
        <w:t>made</w:t>
      </w:r>
      <w:r>
        <w:rPr>
          <w:spacing w:val="-15"/>
        </w:rPr>
        <w:t> </w:t>
      </w:r>
      <w:r>
        <w:rPr/>
        <w:t>controlling</w:t>
      </w:r>
      <w:r>
        <w:rPr>
          <w:spacing w:val="-15"/>
        </w:rPr>
        <w:t> </w:t>
      </w:r>
      <w:r>
        <w:rPr/>
        <w:t>factual</w:t>
      </w:r>
      <w:r>
        <w:rPr>
          <w:spacing w:val="-17"/>
        </w:rPr>
        <w:t> </w:t>
      </w:r>
      <w:r>
        <w:rPr/>
        <w:t>or</w:t>
      </w:r>
      <w:r>
        <w:rPr>
          <w:spacing w:val="-15"/>
        </w:rPr>
        <w:t> </w:t>
      </w:r>
      <w:r>
        <w:rPr/>
        <w:t>legal</w:t>
      </w:r>
      <w:r>
        <w:rPr>
          <w:spacing w:val="-17"/>
        </w:rPr>
        <w:t> </w:t>
      </w:r>
      <w:r>
        <w:rPr/>
        <w:t>arguments in their briefing, they should not automatically be entitled to submit additional briefing after the court has identified such arguments.</w:t>
      </w:r>
    </w:p>
    <w:p>
      <w:pPr>
        <w:pStyle w:val="BodyText"/>
        <w:spacing w:line="480" w:lineRule="auto"/>
        <w:ind w:right="113" w:firstLine="710"/>
        <w:jc w:val="both"/>
      </w:pPr>
      <w:r>
        <w:rPr/>
        <w:t>Finally, Petitioners acknowledge that, to the extent a practitioner believes</w:t>
      </w:r>
      <w:r>
        <w:rPr>
          <w:spacing w:val="-10"/>
        </w:rPr>
        <w:t> </w:t>
      </w:r>
      <w:r>
        <w:rPr/>
        <w:t>an</w:t>
      </w:r>
      <w:r>
        <w:rPr>
          <w:spacing w:val="-13"/>
        </w:rPr>
        <w:t> </w:t>
      </w:r>
      <w:r>
        <w:rPr/>
        <w:t>appellate</w:t>
      </w:r>
      <w:r>
        <w:rPr>
          <w:spacing w:val="-10"/>
        </w:rPr>
        <w:t> </w:t>
      </w:r>
      <w:r>
        <w:rPr/>
        <w:t>decision</w:t>
      </w:r>
      <w:r>
        <w:rPr>
          <w:spacing w:val="-10"/>
        </w:rPr>
        <w:t> </w:t>
      </w:r>
      <w:r>
        <w:rPr/>
        <w:t>has</w:t>
      </w:r>
      <w:r>
        <w:rPr>
          <w:spacing w:val="-10"/>
        </w:rPr>
        <w:t> </w:t>
      </w:r>
      <w:r>
        <w:rPr/>
        <w:t>improperly</w:t>
      </w:r>
      <w:r>
        <w:rPr>
          <w:spacing w:val="-10"/>
        </w:rPr>
        <w:t> </w:t>
      </w:r>
      <w:r>
        <w:rPr/>
        <w:t>resolved</w:t>
      </w:r>
      <w:r>
        <w:rPr>
          <w:spacing w:val="-12"/>
        </w:rPr>
        <w:t> </w:t>
      </w:r>
      <w:r>
        <w:rPr/>
        <w:t>an</w:t>
      </w:r>
      <w:r>
        <w:rPr>
          <w:spacing w:val="-10"/>
        </w:rPr>
        <w:t> </w:t>
      </w:r>
      <w:r>
        <w:rPr/>
        <w:t>issue</w:t>
      </w:r>
      <w:r>
        <w:rPr>
          <w:spacing w:val="-10"/>
        </w:rPr>
        <w:t> </w:t>
      </w:r>
      <w:r>
        <w:rPr/>
        <w:t>that</w:t>
      </w:r>
      <w:r>
        <w:rPr>
          <w:spacing w:val="-12"/>
        </w:rPr>
        <w:t> </w:t>
      </w:r>
      <w:r>
        <w:rPr/>
        <w:t>was</w:t>
      </w:r>
      <w:r>
        <w:rPr>
          <w:spacing w:val="-10"/>
        </w:rPr>
        <w:t> </w:t>
      </w:r>
      <w:r>
        <w:rPr/>
        <w:t>not briefed by the parties, the practitioner can file a motion for reconsideration on that basis.</w:t>
      </w:r>
      <w:r>
        <w:rPr>
          <w:spacing w:val="40"/>
        </w:rPr>
        <w:t> </w:t>
      </w:r>
      <w:r>
        <w:rPr/>
        <w:t>Thus, there is already a mechanism in place to address the concern raised in the Petition.</w:t>
      </w:r>
    </w:p>
    <w:p>
      <w:pPr>
        <w:pStyle w:val="BodyText"/>
        <w:ind w:left="810"/>
        <w:jc w:val="both"/>
      </w:pPr>
      <w:r>
        <w:rPr/>
        <w:t>Accordingly,</w:t>
      </w:r>
      <w:r>
        <w:rPr>
          <w:spacing w:val="68"/>
        </w:rPr>
        <w:t> </w:t>
      </w:r>
      <w:r>
        <w:rPr/>
        <w:t>we</w:t>
      </w:r>
      <w:r>
        <w:rPr>
          <w:spacing w:val="75"/>
        </w:rPr>
        <w:t> </w:t>
      </w:r>
      <w:r>
        <w:rPr/>
        <w:t>respectfully</w:t>
      </w:r>
      <w:r>
        <w:rPr>
          <w:spacing w:val="73"/>
        </w:rPr>
        <w:t> </w:t>
      </w:r>
      <w:r>
        <w:rPr/>
        <w:t>ask</w:t>
      </w:r>
      <w:r>
        <w:rPr>
          <w:spacing w:val="74"/>
        </w:rPr>
        <w:t> </w:t>
      </w:r>
      <w:r>
        <w:rPr/>
        <w:t>that</w:t>
      </w:r>
      <w:r>
        <w:rPr>
          <w:spacing w:val="73"/>
        </w:rPr>
        <w:t> </w:t>
      </w:r>
      <w:r>
        <w:rPr/>
        <w:t>the</w:t>
      </w:r>
      <w:r>
        <w:rPr>
          <w:spacing w:val="72"/>
        </w:rPr>
        <w:t> </w:t>
      </w:r>
      <w:r>
        <w:rPr/>
        <w:t>Court</w:t>
      </w:r>
      <w:r>
        <w:rPr>
          <w:spacing w:val="72"/>
        </w:rPr>
        <w:t> </w:t>
      </w:r>
      <w:r>
        <w:rPr/>
        <w:t>deny</w:t>
      </w:r>
      <w:r>
        <w:rPr>
          <w:spacing w:val="71"/>
        </w:rPr>
        <w:t> </w:t>
      </w:r>
      <w:r>
        <w:rPr>
          <w:spacing w:val="-2"/>
        </w:rPr>
        <w:t>petitioners’</w:t>
      </w:r>
    </w:p>
    <w:p>
      <w:pPr>
        <w:pStyle w:val="BodyText"/>
        <w:ind w:left="0"/>
      </w:pPr>
    </w:p>
    <w:p>
      <w:pPr>
        <w:pStyle w:val="BodyText"/>
        <w:jc w:val="both"/>
      </w:pPr>
      <w:r>
        <w:rPr/>
        <w:t>request</w:t>
      </w:r>
      <w:r>
        <w:rPr>
          <w:spacing w:val="-2"/>
        </w:rPr>
        <w:t> </w:t>
      </w:r>
      <w:r>
        <w:rPr/>
        <w:t>that</w:t>
      </w:r>
      <w:r>
        <w:rPr>
          <w:spacing w:val="-1"/>
        </w:rPr>
        <w:t> </w:t>
      </w:r>
      <w:r>
        <w:rPr/>
        <w:t>the</w:t>
      </w:r>
      <w:r>
        <w:rPr>
          <w:spacing w:val="1"/>
        </w:rPr>
        <w:t> </w:t>
      </w:r>
      <w:r>
        <w:rPr/>
        <w:t>Court</w:t>
      </w:r>
      <w:r>
        <w:rPr>
          <w:spacing w:val="-2"/>
        </w:rPr>
        <w:t> </w:t>
      </w:r>
      <w:r>
        <w:rPr/>
        <w:t>adopt</w:t>
      </w:r>
      <w:r>
        <w:rPr>
          <w:spacing w:val="-4"/>
        </w:rPr>
        <w:t> </w:t>
      </w:r>
      <w:r>
        <w:rPr/>
        <w:t>a new</w:t>
      </w:r>
      <w:r>
        <w:rPr>
          <w:spacing w:val="-1"/>
        </w:rPr>
        <w:t> </w:t>
      </w:r>
      <w:r>
        <w:rPr/>
        <w:t>rule</w:t>
      </w:r>
      <w:r>
        <w:rPr>
          <w:spacing w:val="2"/>
        </w:rPr>
        <w:t> </w:t>
      </w:r>
      <w:r>
        <w:rPr/>
        <w:t>prohibiting</w:t>
      </w:r>
      <w:r>
        <w:rPr>
          <w:spacing w:val="-3"/>
        </w:rPr>
        <w:t> </w:t>
      </w:r>
      <w:r>
        <w:rPr/>
        <w:t>an</w:t>
      </w:r>
      <w:r>
        <w:rPr>
          <w:spacing w:val="-2"/>
        </w:rPr>
        <w:t> </w:t>
      </w:r>
      <w:r>
        <w:rPr/>
        <w:t>appellate</w:t>
      </w:r>
      <w:r>
        <w:rPr>
          <w:spacing w:val="-1"/>
        </w:rPr>
        <w:t> </w:t>
      </w:r>
      <w:r>
        <w:rPr/>
        <w:t>court</w:t>
      </w:r>
      <w:r>
        <w:rPr>
          <w:spacing w:val="-2"/>
        </w:rPr>
        <w:t> </w:t>
      </w:r>
      <w:r>
        <w:rPr>
          <w:spacing w:val="-4"/>
        </w:rPr>
        <w:t>from</w:t>
      </w:r>
    </w:p>
    <w:p>
      <w:pPr>
        <w:spacing w:after="0"/>
        <w:jc w:val="both"/>
        <w:sectPr>
          <w:pgSz w:w="12240" w:h="15840"/>
          <w:pgMar w:header="0" w:footer="1099" w:top="1360" w:bottom="1280" w:left="1340" w:right="1320"/>
        </w:sectPr>
      </w:pPr>
    </w:p>
    <w:p>
      <w:pPr>
        <w:pStyle w:val="BodyText"/>
        <w:spacing w:line="480" w:lineRule="auto" w:before="80"/>
        <w:ind w:right="119"/>
        <w:jc w:val="both"/>
      </w:pPr>
      <w:r>
        <w:rPr/>
        <w:t>deciding an appeal on a factual or legal basis not briefed or argued by the parties unless it first allows the parties an opportunity to submit supplemental briefing.</w:t>
      </w:r>
    </w:p>
    <w:p>
      <w:pPr>
        <w:pStyle w:val="BodyText"/>
        <w:ind w:left="0"/>
      </w:pPr>
    </w:p>
    <w:p>
      <w:pPr>
        <w:pStyle w:val="BodyText"/>
        <w:ind w:left="820"/>
      </w:pPr>
      <w:r>
        <w:rPr/>
        <w:t>DATED</w:t>
      </w:r>
      <w:r>
        <w:rPr>
          <w:spacing w:val="-2"/>
        </w:rPr>
        <w:t> </w:t>
      </w:r>
      <w:r>
        <w:rPr/>
        <w:t>this</w:t>
      </w:r>
      <w:r>
        <w:rPr>
          <w:spacing w:val="-3"/>
        </w:rPr>
        <w:t> </w:t>
      </w:r>
      <w:r>
        <w:rPr/>
        <w:t>1</w:t>
      </w:r>
      <w:r>
        <w:rPr>
          <w:position w:val="7"/>
          <w:sz w:val="18"/>
        </w:rPr>
        <w:t>st</w:t>
      </w:r>
      <w:r>
        <w:rPr>
          <w:spacing w:val="23"/>
          <w:position w:val="7"/>
          <w:sz w:val="18"/>
        </w:rPr>
        <w:t> </w:t>
      </w:r>
      <w:r>
        <w:rPr/>
        <w:t>day</w:t>
      </w:r>
      <w:r>
        <w:rPr>
          <w:spacing w:val="-4"/>
        </w:rPr>
        <w:t> </w:t>
      </w:r>
      <w:r>
        <w:rPr/>
        <w:t>of</w:t>
      </w:r>
      <w:r>
        <w:rPr>
          <w:spacing w:val="-2"/>
        </w:rPr>
        <w:t> </w:t>
      </w:r>
      <w:r>
        <w:rPr/>
        <w:t>May,</w:t>
      </w:r>
      <w:r>
        <w:rPr>
          <w:spacing w:val="-3"/>
        </w:rPr>
        <w:t> </w:t>
      </w:r>
      <w:r>
        <w:rPr>
          <w:spacing w:val="-4"/>
        </w:rPr>
        <w:t>2023.</w:t>
      </w:r>
    </w:p>
    <w:p>
      <w:pPr>
        <w:pStyle w:val="BodyText"/>
        <w:ind w:left="0"/>
        <w:rPr>
          <w:sz w:val="20"/>
        </w:rPr>
      </w:pPr>
    </w:p>
    <w:p>
      <w:pPr>
        <w:pStyle w:val="BodyText"/>
        <w:ind w:left="0"/>
        <w:rPr>
          <w:sz w:val="20"/>
        </w:rPr>
      </w:pPr>
    </w:p>
    <w:p>
      <w:pPr>
        <w:pStyle w:val="BodyText"/>
        <w:ind w:left="0"/>
        <w:rPr>
          <w:sz w:val="20"/>
        </w:rPr>
      </w:pPr>
    </w:p>
    <w:p>
      <w:pPr>
        <w:pStyle w:val="BodyText"/>
        <w:spacing w:before="10"/>
        <w:ind w:left="0"/>
        <w:rPr>
          <w:sz w:val="16"/>
        </w:rPr>
      </w:pPr>
    </w:p>
    <w:p>
      <w:pPr>
        <w:pStyle w:val="BodyText"/>
        <w:tabs>
          <w:tab w:pos="4982" w:val="left" w:leader="none"/>
          <w:tab w:pos="9427" w:val="left" w:leader="none"/>
        </w:tabs>
        <w:spacing w:before="91"/>
        <w:ind w:left="4421" w:right="150"/>
      </w:pPr>
      <w:r>
        <w:rPr>
          <w:u w:val="single"/>
        </w:rPr>
        <w:tab/>
      </w:r>
      <w:r>
        <w:rPr>
          <w:spacing w:val="-4"/>
        </w:rPr>
        <w:t>/s/</w:t>
      </w:r>
      <w:r>
        <w:rPr>
          <w:u w:val="single"/>
        </w:rPr>
        <w:tab/>
      </w:r>
      <w:r>
        <w:rPr/>
        <w:t> Garye L. Vasquez</w:t>
      </w:r>
    </w:p>
    <w:p>
      <w:pPr>
        <w:pStyle w:val="BodyText"/>
        <w:ind w:left="4421" w:right="2665"/>
      </w:pPr>
      <w:r>
        <w:rPr/>
        <w:t>Kent</w:t>
      </w:r>
      <w:r>
        <w:rPr>
          <w:spacing w:val="-18"/>
        </w:rPr>
        <w:t> </w:t>
      </w:r>
      <w:r>
        <w:rPr/>
        <w:t>E.</w:t>
      </w:r>
      <w:r>
        <w:rPr>
          <w:spacing w:val="-17"/>
        </w:rPr>
        <w:t> </w:t>
      </w:r>
      <w:r>
        <w:rPr/>
        <w:t>Cattani Chief Judges</w:t>
      </w:r>
    </w:p>
    <w:p>
      <w:pPr>
        <w:pStyle w:val="BodyText"/>
        <w:ind w:left="4421"/>
      </w:pPr>
      <w:r>
        <w:rPr/>
        <w:t>Arizona</w:t>
      </w:r>
      <w:r>
        <w:rPr>
          <w:spacing w:val="-1"/>
        </w:rPr>
        <w:t> </w:t>
      </w:r>
      <w:r>
        <w:rPr/>
        <w:t>Court</w:t>
      </w:r>
      <w:r>
        <w:rPr>
          <w:spacing w:val="-3"/>
        </w:rPr>
        <w:t> </w:t>
      </w:r>
      <w:r>
        <w:rPr/>
        <w:t>of</w:t>
      </w:r>
      <w:r>
        <w:rPr>
          <w:spacing w:val="-1"/>
        </w:rPr>
        <w:t> </w:t>
      </w:r>
      <w:r>
        <w:rPr>
          <w:spacing w:val="-2"/>
        </w:rPr>
        <w:t>Appeals</w:t>
      </w:r>
    </w:p>
    <w:sectPr>
      <w:pgSz w:w="12240" w:h="15840"/>
      <w:pgMar w:header="0" w:footer="1099" w:top="1360" w:bottom="128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Tahoma">
    <w:altName w:val="Tahoma"/>
    <w:charset w:val="0"/>
    <w:family w:val="swiss"/>
    <w:pitch w:val="variable"/>
  </w:font>
  <w:font w:name="Book Antiqua">
    <w:altName w:val="Book Antiqua"/>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type id="_x0000_t202" o:spt="202" coordsize="21600,21600" path="m,l,21600r21600,l21600,xe">
          <v:stroke joinstyle="miter"/>
          <v:path gradientshapeok="t" o:connecttype="rect"/>
        </v:shapetype>
        <v:shape style="position:absolute;margin-left:299.690002pt;margin-top:726.050171pt;width:13.6pt;height:16.5pt;mso-position-horizontal-relative:page;mso-position-vertical-relative:page;z-index:-15771648" type="#_x0000_t202" id="docshape1" filled="false" stroked="false">
          <v:textbox inset="0,0,0,0">
            <w:txbxContent>
              <w:p>
                <w:pPr>
                  <w:spacing w:before="20"/>
                  <w:ind w:left="60" w:right="0" w:firstLine="0"/>
                  <w:jc w:val="left"/>
                  <w:rPr>
                    <w:rFonts w:ascii="Tahoma"/>
                    <w:sz w:val="24"/>
                  </w:rPr>
                </w:pPr>
                <w:r>
                  <w:rPr>
                    <w:rFonts w:ascii="Tahoma"/>
                    <w:sz w:val="24"/>
                  </w:rPr>
                  <w:fldChar w:fldCharType="begin"/>
                </w:r>
                <w:r>
                  <w:rPr>
                    <w:rFonts w:ascii="Tahoma"/>
                    <w:sz w:val="24"/>
                  </w:rPr>
                  <w:instrText> PAGE </w:instrText>
                </w:r>
                <w:r>
                  <w:rPr>
                    <w:rFonts w:ascii="Tahoma"/>
                    <w:sz w:val="24"/>
                  </w:rPr>
                  <w:fldChar w:fldCharType="separate"/>
                </w:r>
                <w:r>
                  <w:rPr>
                    <w:rFonts w:ascii="Tahoma"/>
                    <w:sz w:val="24"/>
                  </w:rPr>
                  <w:t>1</w:t>
                </w:r>
                <w:r>
                  <w:rPr>
                    <w:rFonts w:ascii="Tahoma"/>
                    <w:sz w:val="24"/>
                  </w:rPr>
                  <w:fldChar w:fldCharType="end"/>
                </w:r>
              </w:p>
            </w:txbxContent>
          </v:textbox>
          <w10:wrap type="non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Book Antiqua" w:hAnsi="Book Antiqua" w:eastAsia="Book Antiqua" w:cs="Book Antiqua"/>
      <w:lang w:val="en-US" w:eastAsia="en-US" w:bidi="ar-SA"/>
    </w:rPr>
  </w:style>
  <w:style w:styleId="BodyText" w:type="paragraph">
    <w:name w:val="Body Text"/>
    <w:basedOn w:val="Normal"/>
    <w:uiPriority w:val="1"/>
    <w:qFormat/>
    <w:pPr>
      <w:ind w:left="100"/>
    </w:pPr>
    <w:rPr>
      <w:rFonts w:ascii="Book Antiqua" w:hAnsi="Book Antiqua" w:eastAsia="Book Antiqua" w:cs="Book Antiqua"/>
      <w:sz w:val="28"/>
      <w:szCs w:val="28"/>
      <w:lang w:val="en-US" w:eastAsia="en-US" w:bidi="ar-SA"/>
    </w:rPr>
  </w:style>
  <w:style w:styleId="Title" w:type="paragraph">
    <w:name w:val="Title"/>
    <w:basedOn w:val="Normal"/>
    <w:uiPriority w:val="1"/>
    <w:qFormat/>
    <w:pPr>
      <w:spacing w:before="96"/>
      <w:ind w:left="3348" w:right="2665" w:hanging="353"/>
    </w:pPr>
    <w:rPr>
      <w:rFonts w:ascii="Book Antiqua" w:hAnsi="Book Antiqua" w:eastAsia="Book Antiqua" w:cs="Book Antiqua"/>
      <w:b/>
      <w:bCs/>
      <w:sz w:val="28"/>
      <w:szCs w:val="28"/>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2023-05-02T16:32:38Z</dcterms:created>
  <dcterms:modified xsi:type="dcterms:W3CDTF">2023-05-02T16:32:38Z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2023-05-01T00:00:00Z</vt:filetime>
  </property>
  <property fmtid="{D5CDD505-2E9C-101B-9397-08002B2CF9AE}" pid="3" name="Creator">
    <vt:lpwstr>Microsoft® Word for Microsoft 365</vt:lpwstr>
  </property>
  <property fmtid="{D5CDD505-2E9C-101B-9397-08002B2CF9AE}" pid="4" name="LastSaved">
    <vt:filetime>2023-05-02T00:00:00Z</vt:filetime>
  </property>
  <property fmtid="{D5CDD505-2E9C-101B-9397-08002B2CF9AE}" pid="5" name="Producer">
    <vt:lpwstr>Microsoft® Word for Microsoft 365</vt:lpwstr>
  </property>
</Properties>
</file>