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69F25DE3" w:rsidR="00357F4D" w:rsidRPr="00041408" w:rsidRDefault="00041408" w:rsidP="00041408">
            <w:pPr>
              <w:pStyle w:val="CaptionIndent"/>
              <w:spacing w:line="240" w:lineRule="auto"/>
              <w:ind w:left="-115"/>
              <w:rPr>
                <w:b/>
                <w:bCs/>
                <w:sz w:val="28"/>
                <w:szCs w:val="28"/>
              </w:rPr>
            </w:pPr>
            <w:r w:rsidRPr="00DE576A">
              <w:rPr>
                <w:b/>
                <w:bCs/>
                <w:sz w:val="28"/>
                <w:szCs w:val="28"/>
              </w:rPr>
              <w:t>PETITION TO AMEND ARIZONA RULES OF CIVIL APPELLATE PROCEDURE 4(b)(9), 13(a), AND 13(</w:t>
            </w:r>
            <w:proofErr w:type="spellStart"/>
            <w:r w:rsidRPr="00DE576A">
              <w:rPr>
                <w:b/>
                <w:bCs/>
                <w:sz w:val="28"/>
                <w:szCs w:val="28"/>
              </w:rPr>
              <w:t>i</w:t>
            </w:r>
            <w:proofErr w:type="spellEnd"/>
            <w:r w:rsidRPr="00DE576A">
              <w:rPr>
                <w:b/>
                <w:bCs/>
                <w:sz w:val="28"/>
                <w:szCs w:val="28"/>
              </w:rPr>
              <w:t>); ARIZONA RULES OF CRIMINAL PROCEDURE 31.6(d), 31.10(a), AND 31.10(j); AND ARIZONA RULES OF JUVENILE PROCEDURE 607(b)(3) AND 609(d)(5)</w:t>
            </w:r>
            <w:r>
              <w:rPr>
                <w:b/>
                <w:bCs/>
                <w:sz w:val="28"/>
                <w:szCs w:val="28"/>
              </w:rPr>
              <w:br/>
            </w:r>
          </w:p>
        </w:tc>
        <w:tc>
          <w:tcPr>
            <w:tcW w:w="4524" w:type="dxa"/>
            <w:tcBorders>
              <w:top w:val="nil"/>
              <w:left w:val="single" w:sz="4" w:space="0" w:color="auto"/>
            </w:tcBorders>
            <w:shd w:val="clear" w:color="auto" w:fill="auto"/>
          </w:tcPr>
          <w:p w14:paraId="35CED5CB" w14:textId="3291B478"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34B42">
              <w:rPr>
                <w:sz w:val="28"/>
                <w:szCs w:val="28"/>
              </w:rPr>
              <w:t>3</w:t>
            </w:r>
            <w:r w:rsidR="00F850BE">
              <w:rPr>
                <w:sz w:val="28"/>
                <w:szCs w:val="28"/>
              </w:rPr>
              <w:t>-</w:t>
            </w:r>
            <w:r w:rsidR="00041408">
              <w:rPr>
                <w:sz w:val="28"/>
                <w:szCs w:val="28"/>
              </w:rPr>
              <w:t>0026</w:t>
            </w:r>
          </w:p>
          <w:p w14:paraId="5AEC962D" w14:textId="305D0255" w:rsidR="00357F4D" w:rsidRPr="00041408" w:rsidRDefault="00A4249C" w:rsidP="000F7A7F">
            <w:pPr>
              <w:pStyle w:val="Caption"/>
              <w:tabs>
                <w:tab w:val="left" w:pos="1238"/>
              </w:tabs>
              <w:spacing w:line="260" w:lineRule="exact"/>
              <w:ind w:right="115"/>
              <w:jc w:val="center"/>
              <w:rPr>
                <w:b/>
                <w:sz w:val="28"/>
                <w:szCs w:val="28"/>
              </w:rPr>
            </w:pPr>
            <w:r w:rsidRPr="00041408">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5B345789" w14:textId="1208AB81" w:rsidR="00041408" w:rsidRPr="00FA0F82" w:rsidRDefault="00041408" w:rsidP="00041408">
      <w:pPr>
        <w:spacing w:before="360" w:line="480" w:lineRule="auto"/>
        <w:jc w:val="both"/>
        <w:rPr>
          <w:sz w:val="28"/>
          <w:szCs w:val="28"/>
        </w:rPr>
      </w:pPr>
      <w:r>
        <w:tab/>
      </w:r>
      <w:r>
        <w:rPr>
          <w:sz w:val="28"/>
          <w:szCs w:val="28"/>
        </w:rPr>
        <w:t>T</w:t>
      </w:r>
      <w:r w:rsidRPr="00F71581">
        <w:rPr>
          <w:sz w:val="28"/>
          <w:szCs w:val="28"/>
        </w:rPr>
        <w:t>he State Bar of Arizona</w:t>
      </w:r>
      <w:r>
        <w:rPr>
          <w:sz w:val="28"/>
          <w:szCs w:val="28"/>
        </w:rPr>
        <w:t xml:space="preserve"> (the “State Bar”) submits it</w:t>
      </w:r>
      <w:r w:rsidRPr="00F71581">
        <w:rPr>
          <w:sz w:val="28"/>
          <w:szCs w:val="28"/>
        </w:rPr>
        <w:t xml:space="preserve"> comment on the above</w:t>
      </w:r>
      <w:r>
        <w:rPr>
          <w:sz w:val="28"/>
          <w:szCs w:val="28"/>
        </w:rPr>
        <w:t>-captioned</w:t>
      </w:r>
      <w:r w:rsidRPr="00F71581">
        <w:rPr>
          <w:sz w:val="28"/>
          <w:szCs w:val="28"/>
        </w:rPr>
        <w:t xml:space="preserve"> Petition</w:t>
      </w:r>
      <w:r>
        <w:rPr>
          <w:sz w:val="28"/>
          <w:szCs w:val="28"/>
        </w:rPr>
        <w:t>. The Petition proposes to</w:t>
      </w:r>
      <w:r>
        <w:rPr>
          <w:sz w:val="28"/>
          <w:szCs w:val="28"/>
        </w:rPr>
        <w:t xml:space="preserve"> </w:t>
      </w:r>
      <w:r w:rsidRPr="00F71581">
        <w:rPr>
          <w:sz w:val="28"/>
          <w:szCs w:val="28"/>
        </w:rPr>
        <w:t xml:space="preserve">amend </w:t>
      </w:r>
      <w:r w:rsidRPr="00FA0F82">
        <w:rPr>
          <w:sz w:val="28"/>
          <w:szCs w:val="28"/>
        </w:rPr>
        <w:t>ARCAP 4(b)(9), 13(a) and 13(</w:t>
      </w:r>
      <w:proofErr w:type="spellStart"/>
      <w:r w:rsidRPr="00FA0F82">
        <w:rPr>
          <w:sz w:val="28"/>
          <w:szCs w:val="28"/>
        </w:rPr>
        <w:t>i</w:t>
      </w:r>
      <w:proofErr w:type="spellEnd"/>
      <w:r w:rsidRPr="00FA0F82">
        <w:rPr>
          <w:sz w:val="28"/>
          <w:szCs w:val="28"/>
        </w:rPr>
        <w:t xml:space="preserve">), among other rules, to make </w:t>
      </w:r>
      <w:r>
        <w:rPr>
          <w:sz w:val="28"/>
          <w:szCs w:val="28"/>
        </w:rPr>
        <w:t>t</w:t>
      </w:r>
      <w:r w:rsidRPr="00FA0F82">
        <w:rPr>
          <w:sz w:val="28"/>
          <w:szCs w:val="28"/>
        </w:rPr>
        <w:t xml:space="preserve">ables of </w:t>
      </w:r>
      <w:r>
        <w:rPr>
          <w:sz w:val="28"/>
          <w:szCs w:val="28"/>
        </w:rPr>
        <w:t>c</w:t>
      </w:r>
      <w:r w:rsidRPr="00FA0F82">
        <w:rPr>
          <w:sz w:val="28"/>
          <w:szCs w:val="28"/>
        </w:rPr>
        <w:t xml:space="preserve">itations optional.  </w:t>
      </w:r>
      <w:r>
        <w:rPr>
          <w:sz w:val="28"/>
          <w:szCs w:val="28"/>
        </w:rPr>
        <w:t>After review and discussion by several State Bar committees</w:t>
      </w:r>
      <w:r w:rsidRPr="00FA0F82">
        <w:rPr>
          <w:sz w:val="28"/>
          <w:szCs w:val="28"/>
        </w:rPr>
        <w:t xml:space="preserve">, the State Bar </w:t>
      </w:r>
      <w:r>
        <w:rPr>
          <w:sz w:val="28"/>
          <w:szCs w:val="28"/>
        </w:rPr>
        <w:t xml:space="preserve">supports </w:t>
      </w:r>
      <w:r w:rsidRPr="00FA0F82">
        <w:rPr>
          <w:sz w:val="28"/>
          <w:szCs w:val="28"/>
        </w:rPr>
        <w:t>the Petition</w:t>
      </w:r>
      <w:r>
        <w:rPr>
          <w:sz w:val="28"/>
          <w:szCs w:val="28"/>
        </w:rPr>
        <w:t>.</w:t>
      </w:r>
    </w:p>
    <w:p w14:paraId="020F08D3" w14:textId="77777777" w:rsidR="00041408" w:rsidRDefault="00041408" w:rsidP="00041408">
      <w:pPr>
        <w:rPr>
          <w:b/>
          <w:bCs/>
          <w:sz w:val="28"/>
          <w:szCs w:val="28"/>
          <w:u w:val="single"/>
        </w:rPr>
      </w:pPr>
      <w:r>
        <w:rPr>
          <w:b/>
          <w:bCs/>
          <w:sz w:val="28"/>
          <w:szCs w:val="28"/>
          <w:u w:val="single"/>
        </w:rPr>
        <w:br w:type="page"/>
      </w:r>
    </w:p>
    <w:p w14:paraId="15D24944" w14:textId="77777777" w:rsidR="00041408" w:rsidRPr="00AC5DB1" w:rsidRDefault="00041408" w:rsidP="00041408">
      <w:pPr>
        <w:spacing w:line="240" w:lineRule="exact"/>
        <w:ind w:left="720" w:hanging="720"/>
        <w:jc w:val="both"/>
        <w:rPr>
          <w:b/>
          <w:bCs/>
          <w:sz w:val="28"/>
          <w:szCs w:val="28"/>
          <w:u w:val="single"/>
        </w:rPr>
      </w:pPr>
      <w:r w:rsidRPr="00FA0F82">
        <w:rPr>
          <w:b/>
          <w:bCs/>
          <w:sz w:val="28"/>
          <w:szCs w:val="28"/>
        </w:rPr>
        <w:lastRenderedPageBreak/>
        <w:t>I.</w:t>
      </w:r>
      <w:r w:rsidRPr="00FA0F82">
        <w:rPr>
          <w:b/>
          <w:bCs/>
          <w:sz w:val="28"/>
          <w:szCs w:val="28"/>
        </w:rPr>
        <w:tab/>
      </w:r>
      <w:r w:rsidRPr="00DE576A">
        <w:rPr>
          <w:b/>
          <w:bCs/>
          <w:sz w:val="28"/>
          <w:szCs w:val="28"/>
        </w:rPr>
        <w:t>TABLES OF AUTHORITIES IMPOSE A MODEST BUT MEANINGFUL SYSTEM-WIDE COST, THE REDUCTION OF WHICH WOULD BE NET-BENEFICIAL TO ARIZONA LEGAL PRACTICE</w:t>
      </w:r>
    </w:p>
    <w:p w14:paraId="3F517B8A" w14:textId="77777777" w:rsidR="00041408" w:rsidRPr="00FA0F82" w:rsidRDefault="00041408" w:rsidP="00041408">
      <w:pPr>
        <w:spacing w:line="480" w:lineRule="auto"/>
        <w:ind w:firstLine="720"/>
        <w:jc w:val="both"/>
        <w:rPr>
          <w:b/>
          <w:bCs/>
          <w:sz w:val="28"/>
          <w:szCs w:val="28"/>
        </w:rPr>
      </w:pPr>
      <w:r w:rsidRPr="00FA0F82">
        <w:rPr>
          <w:b/>
          <w:bCs/>
          <w:sz w:val="28"/>
          <w:szCs w:val="28"/>
        </w:rPr>
        <w:t>A.</w:t>
      </w:r>
      <w:r w:rsidRPr="00FA0F82">
        <w:rPr>
          <w:b/>
          <w:bCs/>
          <w:sz w:val="28"/>
          <w:szCs w:val="28"/>
        </w:rPr>
        <w:tab/>
      </w:r>
      <w:r w:rsidRPr="00FA0F82">
        <w:rPr>
          <w:b/>
          <w:bCs/>
          <w:sz w:val="28"/>
          <w:szCs w:val="28"/>
          <w:u w:val="single"/>
        </w:rPr>
        <w:t>There Is</w:t>
      </w:r>
      <w:r>
        <w:rPr>
          <w:b/>
          <w:bCs/>
          <w:sz w:val="28"/>
          <w:szCs w:val="28"/>
          <w:u w:val="single"/>
        </w:rPr>
        <w:t xml:space="preserve"> a</w:t>
      </w:r>
      <w:r w:rsidRPr="00FA0F82">
        <w:rPr>
          <w:b/>
          <w:bCs/>
          <w:sz w:val="28"/>
          <w:szCs w:val="28"/>
          <w:u w:val="single"/>
        </w:rPr>
        <w:t xml:space="preserve"> Modest Cost to Tables of Authorities</w:t>
      </w:r>
    </w:p>
    <w:p w14:paraId="33FD32B4" w14:textId="5ABDA8FE" w:rsidR="00041408" w:rsidRPr="00AC5DB1" w:rsidRDefault="00041408" w:rsidP="00041408">
      <w:pPr>
        <w:spacing w:line="480" w:lineRule="auto"/>
        <w:ind w:firstLine="720"/>
        <w:jc w:val="both"/>
        <w:rPr>
          <w:sz w:val="28"/>
          <w:szCs w:val="28"/>
        </w:rPr>
      </w:pPr>
      <w:r>
        <w:rPr>
          <w:sz w:val="28"/>
          <w:szCs w:val="28"/>
        </w:rPr>
        <w:t>While the Petition does not purport to quantify the system-wide costs of the preparation of tables of authorities, it cannot be denied that requiring them imposes costs.  Tables of authorities require time and effort to generate.</w:t>
      </w:r>
      <w:r>
        <w:rPr>
          <w:sz w:val="28"/>
          <w:szCs w:val="28"/>
        </w:rPr>
        <w:t xml:space="preserve"> </w:t>
      </w:r>
      <w:r>
        <w:rPr>
          <w:sz w:val="28"/>
          <w:szCs w:val="28"/>
        </w:rPr>
        <w:t xml:space="preserve">Generally speaking, generating a  table of authorities imposes a minimum of one hour per brief, with a significantly greater time burden in complex cases.  Thus, the cost per brief is at least in the hundreds of dollars, assuming the client is being billed for the preparation. Some tables of authorities could run up to or over $1,000, depending on how many people it requires to finalize the table. </w:t>
      </w:r>
    </w:p>
    <w:p w14:paraId="138EE781" w14:textId="77777777" w:rsidR="00041408" w:rsidRPr="00B0699F" w:rsidRDefault="00041408" w:rsidP="00041408">
      <w:pPr>
        <w:tabs>
          <w:tab w:val="left" w:pos="9360"/>
        </w:tabs>
        <w:spacing w:line="240" w:lineRule="exact"/>
        <w:ind w:left="1440" w:hanging="720"/>
        <w:jc w:val="both"/>
        <w:rPr>
          <w:b/>
          <w:bCs/>
          <w:sz w:val="28"/>
          <w:szCs w:val="28"/>
        </w:rPr>
      </w:pPr>
      <w:r w:rsidRPr="00B0699F">
        <w:rPr>
          <w:b/>
          <w:bCs/>
          <w:sz w:val="28"/>
          <w:szCs w:val="28"/>
        </w:rPr>
        <w:t>B.</w:t>
      </w:r>
      <w:r w:rsidRPr="00B0699F">
        <w:rPr>
          <w:b/>
          <w:bCs/>
          <w:sz w:val="28"/>
          <w:szCs w:val="28"/>
        </w:rPr>
        <w:tab/>
      </w:r>
      <w:r w:rsidRPr="00DE576A">
        <w:rPr>
          <w:b/>
          <w:bCs/>
          <w:sz w:val="28"/>
          <w:szCs w:val="28"/>
          <w:u w:val="single"/>
        </w:rPr>
        <w:t xml:space="preserve"> </w:t>
      </w:r>
      <w:r>
        <w:rPr>
          <w:b/>
          <w:bCs/>
          <w:sz w:val="28"/>
          <w:szCs w:val="28"/>
          <w:u w:val="single"/>
        </w:rPr>
        <w:t xml:space="preserve">The Benefits of a </w:t>
      </w:r>
      <w:r w:rsidRPr="00DE576A">
        <w:rPr>
          <w:b/>
          <w:bCs/>
          <w:sz w:val="28"/>
          <w:szCs w:val="28"/>
          <w:u w:val="single"/>
        </w:rPr>
        <w:t>Tables of Authorities</w:t>
      </w:r>
      <w:r>
        <w:rPr>
          <w:b/>
          <w:bCs/>
          <w:sz w:val="28"/>
          <w:szCs w:val="28"/>
          <w:u w:val="single"/>
        </w:rPr>
        <w:t xml:space="preserve"> Does Not Outweigh Cost Considerations</w:t>
      </w:r>
    </w:p>
    <w:p w14:paraId="6C53F79C" w14:textId="33E52CDE" w:rsidR="00041408" w:rsidRDefault="00041408" w:rsidP="00041408">
      <w:pPr>
        <w:pStyle w:val="NormalWeb"/>
        <w:spacing w:line="480" w:lineRule="auto"/>
        <w:ind w:firstLine="720"/>
        <w:contextualSpacing/>
        <w:jc w:val="both"/>
        <w:rPr>
          <w:sz w:val="28"/>
          <w:szCs w:val="28"/>
        </w:rPr>
      </w:pPr>
      <w:r>
        <w:rPr>
          <w:sz w:val="28"/>
          <w:szCs w:val="28"/>
        </w:rPr>
        <w:t>The primary benefit of tables of authorities is to</w:t>
      </w:r>
      <w:r>
        <w:rPr>
          <w:sz w:val="28"/>
          <w:szCs w:val="28"/>
        </w:rPr>
        <w:t xml:space="preserve"> </w:t>
      </w:r>
      <w:r>
        <w:rPr>
          <w:sz w:val="28"/>
          <w:szCs w:val="28"/>
        </w:rPr>
        <w:t xml:space="preserve">provide a centralized listing of the authority cited in the brief. Such benefit is no longer necessary.  In the contemporary world, briefs are text-searched for key words.  Practitioners have the capability of conducting such a search.  By way of example, if a brief cites </w:t>
      </w:r>
      <w:r w:rsidRPr="00FA0F82">
        <w:rPr>
          <w:i/>
          <w:iCs/>
          <w:sz w:val="28"/>
          <w:szCs w:val="28"/>
        </w:rPr>
        <w:t>Marbury v. Madison</w:t>
      </w:r>
      <w:r>
        <w:rPr>
          <w:sz w:val="28"/>
          <w:szCs w:val="28"/>
        </w:rPr>
        <w:t xml:space="preserve">, 5 U.S. (1 </w:t>
      </w:r>
      <w:proofErr w:type="spellStart"/>
      <w:r>
        <w:rPr>
          <w:sz w:val="28"/>
          <w:szCs w:val="28"/>
        </w:rPr>
        <w:t>Cranch</w:t>
      </w:r>
      <w:proofErr w:type="spellEnd"/>
      <w:r>
        <w:rPr>
          <w:sz w:val="28"/>
          <w:szCs w:val="28"/>
        </w:rPr>
        <w:t xml:space="preserve">) 137 (1803), a table at the front of a brief is no longer the most useful too. Instead, typing “Marbury” into the search field of the program in which one is reading, and seeing all the hits the search yields, will commonly identify the number of uses and will often highlight each appearance of the searched </w:t>
      </w:r>
      <w:r>
        <w:rPr>
          <w:sz w:val="28"/>
          <w:szCs w:val="28"/>
        </w:rPr>
        <w:lastRenderedPageBreak/>
        <w:t xml:space="preserve">term in a sidebar for simultaneous reference.  The Petition properly cites Judge Espinosa’s </w:t>
      </w:r>
      <w:r w:rsidRPr="00B0699F">
        <w:rPr>
          <w:rFonts w:ascii="TimesNewRomanPS" w:hAnsi="TimesNewRomanPS"/>
          <w:i/>
          <w:iCs/>
          <w:color w:val="000000" w:themeColor="text1"/>
          <w:sz w:val="28"/>
          <w:szCs w:val="28"/>
        </w:rPr>
        <w:t>A Word from the Future: The Virtually Paperless Court of Appeals</w:t>
      </w:r>
      <w:r w:rsidRPr="00B0699F">
        <w:rPr>
          <w:rFonts w:ascii="TimesNewRomanPSMT" w:hAnsi="TimesNewRomanPSMT"/>
          <w:color w:val="000000" w:themeColor="text1"/>
          <w:sz w:val="28"/>
          <w:szCs w:val="28"/>
        </w:rPr>
        <w:t xml:space="preserve">, 49 Judges J. 10 (2010), </w:t>
      </w:r>
      <w:r>
        <w:rPr>
          <w:rFonts w:ascii="TimesNewRomanPSMT" w:hAnsi="TimesNewRomanPSMT"/>
          <w:color w:val="000000" w:themeColor="text1"/>
          <w:sz w:val="28"/>
          <w:szCs w:val="28"/>
        </w:rPr>
        <w:t>in which one Judge of the Arizona Court of Appeals thirteen years ago noted the utility of these ubiquitous search tools.</w:t>
      </w:r>
      <w:r>
        <w:rPr>
          <w:rFonts w:ascii="TimesNewRomanPSMT" w:hAnsi="TimesNewRomanPSMT"/>
          <w:color w:val="000000" w:themeColor="text1"/>
          <w:sz w:val="28"/>
          <w:szCs w:val="28"/>
        </w:rPr>
        <w:t xml:space="preserve"> </w:t>
      </w:r>
      <w:r>
        <w:rPr>
          <w:sz w:val="28"/>
          <w:szCs w:val="28"/>
        </w:rPr>
        <w:t>With such capability, lawyers no longer need these tables of authorities.</w:t>
      </w:r>
      <w:r>
        <w:rPr>
          <w:sz w:val="28"/>
          <w:szCs w:val="28"/>
        </w:rPr>
        <w:t xml:space="preserve"> </w:t>
      </w:r>
      <w:r>
        <w:rPr>
          <w:sz w:val="28"/>
          <w:szCs w:val="28"/>
        </w:rPr>
        <w:t xml:space="preserve">This Court should render them optional. </w:t>
      </w:r>
    </w:p>
    <w:p w14:paraId="6C4EFAE7" w14:textId="77777777" w:rsidR="00041408" w:rsidRPr="00DE576A" w:rsidRDefault="00041408" w:rsidP="00041408">
      <w:pPr>
        <w:pStyle w:val="NormalWeb"/>
        <w:tabs>
          <w:tab w:val="left" w:pos="9360"/>
        </w:tabs>
        <w:spacing w:line="240" w:lineRule="exact"/>
        <w:ind w:left="720" w:hanging="720"/>
        <w:contextualSpacing/>
        <w:jc w:val="both"/>
        <w:rPr>
          <w:b/>
          <w:bCs/>
          <w:sz w:val="28"/>
          <w:szCs w:val="28"/>
        </w:rPr>
      </w:pPr>
      <w:r w:rsidRPr="00B0699F">
        <w:rPr>
          <w:b/>
          <w:bCs/>
          <w:sz w:val="28"/>
          <w:szCs w:val="28"/>
        </w:rPr>
        <w:t>II.</w:t>
      </w:r>
      <w:r w:rsidRPr="00B0699F">
        <w:rPr>
          <w:b/>
          <w:bCs/>
          <w:sz w:val="28"/>
          <w:szCs w:val="28"/>
        </w:rPr>
        <w:tab/>
      </w:r>
      <w:r w:rsidRPr="00DE576A">
        <w:rPr>
          <w:b/>
          <w:bCs/>
          <w:sz w:val="28"/>
          <w:szCs w:val="28"/>
        </w:rPr>
        <w:t>THE REFORM THE PETITION PROPOSES IS CONSISTENT WITH THIS COURT’S STEPS IN RECENT YEARS TO STREAMLINE AND MAKE MORE EFFICIENT RULES OF PRACTICE</w:t>
      </w:r>
    </w:p>
    <w:p w14:paraId="2CFC6B07" w14:textId="77777777" w:rsidR="00041408" w:rsidRPr="00B0699F" w:rsidRDefault="00041408" w:rsidP="00041408">
      <w:pPr>
        <w:pStyle w:val="NormalWeb"/>
        <w:ind w:left="720" w:hanging="720"/>
        <w:contextualSpacing/>
        <w:jc w:val="both"/>
        <w:rPr>
          <w:b/>
          <w:bCs/>
          <w:sz w:val="28"/>
          <w:szCs w:val="28"/>
        </w:rPr>
      </w:pPr>
    </w:p>
    <w:p w14:paraId="6AA2AFCD" w14:textId="77777777" w:rsidR="00041408" w:rsidRDefault="00041408" w:rsidP="00041408">
      <w:pPr>
        <w:pStyle w:val="NormalWeb"/>
        <w:spacing w:line="480" w:lineRule="auto"/>
        <w:contextualSpacing/>
        <w:jc w:val="both"/>
        <w:rPr>
          <w:sz w:val="28"/>
          <w:szCs w:val="28"/>
        </w:rPr>
      </w:pPr>
      <w:r>
        <w:rPr>
          <w:sz w:val="28"/>
          <w:szCs w:val="28"/>
        </w:rPr>
        <w:tab/>
        <w:t>This Court has, over the last decade, consistently made rules of practice more comprehensible. The Court has also sought to eliminate archaisms while making practice under Arizona’s court rules more efficient.  Thus, the 2017 restyling of the Arizona Rules of Civil Procedure abolished verifications of certain pleadings and simultaneously imposed requirements of proportionality in civil discovery that the federal rules first introduced in December 2015.  Similarly, the 2018 revisions to the Arizona Rules of Civil Procedure sought to assure proportionality through the creation of Ariz. R. Civ. P. 26.2.</w:t>
      </w:r>
    </w:p>
    <w:p w14:paraId="7E3F3784" w14:textId="77777777" w:rsidR="00041408" w:rsidRDefault="00041408" w:rsidP="00041408">
      <w:pPr>
        <w:pStyle w:val="NormalWeb"/>
        <w:spacing w:line="480" w:lineRule="auto"/>
        <w:contextualSpacing/>
        <w:jc w:val="both"/>
        <w:rPr>
          <w:sz w:val="28"/>
          <w:szCs w:val="28"/>
        </w:rPr>
      </w:pPr>
      <w:r>
        <w:rPr>
          <w:sz w:val="28"/>
          <w:szCs w:val="28"/>
        </w:rPr>
        <w:tab/>
        <w:t xml:space="preserve">Eliminating a formalistic requirement that is at best redundant of search features in all programs in which practitioners and judges read briefs is in keeping with the efficiencies of those modern reforms.  Purging anachronistic requirements from the rules allows parties to spend their money and effort on aspects of the </w:t>
      </w:r>
      <w:r>
        <w:rPr>
          <w:sz w:val="28"/>
          <w:szCs w:val="28"/>
        </w:rPr>
        <w:lastRenderedPageBreak/>
        <w:t>litigation process with a greater benefit, that aid communication and sharpen disputes.</w:t>
      </w:r>
    </w:p>
    <w:p w14:paraId="5A41C04F" w14:textId="79F717B6" w:rsidR="00041408" w:rsidRDefault="00041408" w:rsidP="00041408">
      <w:pPr>
        <w:pStyle w:val="NormalWeb"/>
        <w:spacing w:line="480" w:lineRule="auto"/>
        <w:contextualSpacing/>
        <w:jc w:val="both"/>
        <w:rPr>
          <w:sz w:val="28"/>
          <w:szCs w:val="28"/>
        </w:rPr>
      </w:pPr>
      <w:r>
        <w:rPr>
          <w:sz w:val="28"/>
          <w:szCs w:val="28"/>
        </w:rPr>
        <w:tab/>
        <w:t>Moreover, practitioners with complex matters are able to and likely will continue to use tables of authorities as a best practice.  The Petition in no way discourages or undermines that practice for those who prefer it.  It does, however, save effort and money for those who wish to avoid expending the time and cost attributed to creating a table of authorities.  While the saving may be modest, it will aggregate.  This Court should support this further effort to modestly reduce the formality and burden of this process.</w:t>
      </w:r>
    </w:p>
    <w:p w14:paraId="277B6C32" w14:textId="77777777" w:rsidR="00041408" w:rsidRPr="00DE576A" w:rsidRDefault="00041408" w:rsidP="00041408">
      <w:pPr>
        <w:pStyle w:val="NormalWeb"/>
        <w:tabs>
          <w:tab w:val="left" w:pos="9360"/>
        </w:tabs>
        <w:spacing w:line="240" w:lineRule="exact"/>
        <w:ind w:left="720" w:hanging="720"/>
        <w:contextualSpacing/>
        <w:rPr>
          <w:b/>
          <w:bCs/>
          <w:sz w:val="28"/>
          <w:szCs w:val="28"/>
        </w:rPr>
      </w:pPr>
      <w:r w:rsidRPr="003C5A2C">
        <w:rPr>
          <w:b/>
          <w:bCs/>
          <w:sz w:val="28"/>
          <w:szCs w:val="28"/>
        </w:rPr>
        <w:t xml:space="preserve">III. </w:t>
      </w:r>
      <w:r w:rsidRPr="003C5A2C">
        <w:rPr>
          <w:b/>
          <w:bCs/>
          <w:sz w:val="28"/>
          <w:szCs w:val="28"/>
        </w:rPr>
        <w:tab/>
      </w:r>
      <w:r w:rsidRPr="00DE576A">
        <w:rPr>
          <w:b/>
          <w:bCs/>
          <w:sz w:val="28"/>
          <w:szCs w:val="28"/>
        </w:rPr>
        <w:t>THE</w:t>
      </w:r>
      <w:r>
        <w:rPr>
          <w:b/>
          <w:bCs/>
          <w:sz w:val="28"/>
          <w:szCs w:val="28"/>
        </w:rPr>
        <w:t xml:space="preserve"> </w:t>
      </w:r>
      <w:r w:rsidRPr="00DE576A">
        <w:rPr>
          <w:b/>
          <w:bCs/>
          <w:sz w:val="28"/>
          <w:szCs w:val="28"/>
        </w:rPr>
        <w:t>ARGUMENTS AGAINST THE PETITION ARE UNPERSUASIVE</w:t>
      </w:r>
    </w:p>
    <w:p w14:paraId="44F2774E" w14:textId="77777777" w:rsidR="00041408" w:rsidRDefault="00041408" w:rsidP="00041408">
      <w:pPr>
        <w:pStyle w:val="NormalWeb"/>
        <w:ind w:left="720" w:hanging="720"/>
        <w:contextualSpacing/>
        <w:jc w:val="both"/>
        <w:rPr>
          <w:b/>
          <w:bCs/>
          <w:sz w:val="28"/>
          <w:szCs w:val="28"/>
        </w:rPr>
      </w:pPr>
    </w:p>
    <w:p w14:paraId="24D7CD92" w14:textId="77777777" w:rsidR="00041408" w:rsidRDefault="00041408" w:rsidP="00041408">
      <w:pPr>
        <w:pStyle w:val="NormalWeb"/>
        <w:spacing w:line="480" w:lineRule="auto"/>
        <w:ind w:firstLine="720"/>
        <w:contextualSpacing/>
        <w:jc w:val="both"/>
        <w:rPr>
          <w:sz w:val="28"/>
          <w:szCs w:val="28"/>
        </w:rPr>
      </w:pPr>
      <w:r>
        <w:rPr>
          <w:sz w:val="28"/>
          <w:szCs w:val="28"/>
        </w:rPr>
        <w:t>This Court should also adopt the Petition’s proposals because counterarguments against it are unpersuasive.</w:t>
      </w:r>
    </w:p>
    <w:p w14:paraId="05F6128A" w14:textId="3D4A9B4D" w:rsidR="00041408" w:rsidRDefault="00041408" w:rsidP="00041408">
      <w:pPr>
        <w:pStyle w:val="NormalWeb"/>
        <w:spacing w:line="480" w:lineRule="auto"/>
        <w:ind w:firstLine="720"/>
        <w:contextualSpacing/>
        <w:jc w:val="both"/>
        <w:rPr>
          <w:sz w:val="28"/>
          <w:szCs w:val="28"/>
        </w:rPr>
      </w:pPr>
      <w:r w:rsidRPr="00F9545F">
        <w:rPr>
          <w:sz w:val="28"/>
          <w:szCs w:val="28"/>
        </w:rPr>
        <w:t>First</w:t>
      </w:r>
      <w:r>
        <w:rPr>
          <w:sz w:val="28"/>
          <w:szCs w:val="28"/>
        </w:rPr>
        <w:t>, while discussions about the proposal devolve into concerns with</w:t>
      </w:r>
      <w:r>
        <w:rPr>
          <w:sz w:val="28"/>
          <w:szCs w:val="28"/>
        </w:rPr>
        <w:t xml:space="preserve"> </w:t>
      </w:r>
      <w:r>
        <w:rPr>
          <w:sz w:val="28"/>
          <w:szCs w:val="28"/>
        </w:rPr>
        <w:t>eliminating tables of authorities, the proposal suggests no such thing. It would merely make tables of authorities optional.</w:t>
      </w:r>
      <w:r>
        <w:rPr>
          <w:sz w:val="28"/>
          <w:szCs w:val="28"/>
        </w:rPr>
        <w:t xml:space="preserve"> </w:t>
      </w:r>
      <w:r>
        <w:rPr>
          <w:sz w:val="28"/>
          <w:szCs w:val="28"/>
        </w:rPr>
        <w:t xml:space="preserve">The State Bar  believes that practitioners in sophisticated and/or complex matters, including especially those practicing before our Supreme Court, will not abandon the practice of creating tables of authorities.  </w:t>
      </w:r>
      <w:r>
        <w:rPr>
          <w:sz w:val="28"/>
          <w:szCs w:val="28"/>
        </w:rPr>
        <w:t>Additionally, the</w:t>
      </w:r>
      <w:r>
        <w:rPr>
          <w:sz w:val="28"/>
          <w:szCs w:val="28"/>
        </w:rPr>
        <w:t xml:space="preserve"> Supreme Court could order that supplemental briefs contain tables of authorities if that is a concern for this Court.</w:t>
      </w:r>
    </w:p>
    <w:p w14:paraId="4C31E9F6" w14:textId="168A212A" w:rsidR="00041408" w:rsidRDefault="00041408" w:rsidP="00041408">
      <w:pPr>
        <w:pStyle w:val="NormalWeb"/>
        <w:spacing w:line="480" w:lineRule="auto"/>
        <w:ind w:firstLine="720"/>
        <w:contextualSpacing/>
        <w:jc w:val="both"/>
        <w:rPr>
          <w:sz w:val="28"/>
          <w:szCs w:val="28"/>
        </w:rPr>
      </w:pPr>
      <w:r>
        <w:rPr>
          <w:sz w:val="28"/>
          <w:szCs w:val="28"/>
        </w:rPr>
        <w:lastRenderedPageBreak/>
        <w:t xml:space="preserve">Second, the State Bar does not agree that it is burdensome to review briefs with a word-searching utility. In fact, this mechanism helps to note the frequency or location of key cases.  Likewise, if a litigant wishes to </w:t>
      </w:r>
      <w:r>
        <w:rPr>
          <w:sz w:val="28"/>
          <w:szCs w:val="28"/>
        </w:rPr>
        <w:t>print the</w:t>
      </w:r>
      <w:r>
        <w:rPr>
          <w:sz w:val="28"/>
          <w:szCs w:val="28"/>
        </w:rPr>
        <w:t xml:space="preserve"> cases cited in a brief, </w:t>
      </w:r>
      <w:r>
        <w:rPr>
          <w:sz w:val="28"/>
          <w:szCs w:val="28"/>
        </w:rPr>
        <w:t>cutting,</w:t>
      </w:r>
      <w:r>
        <w:rPr>
          <w:sz w:val="28"/>
          <w:szCs w:val="28"/>
        </w:rPr>
        <w:t xml:space="preserve"> and pasting the case names and cites to a caselaw tool, like Westlaw, would only take minutes of time. </w:t>
      </w:r>
    </w:p>
    <w:p w14:paraId="31E95431" w14:textId="268D76EB" w:rsidR="00041408" w:rsidRPr="00C533B1" w:rsidRDefault="00041408" w:rsidP="00041408">
      <w:pPr>
        <w:pStyle w:val="NormalWeb"/>
        <w:spacing w:before="0" w:beforeAutospacing="0" w:after="0" w:afterAutospacing="0" w:line="480" w:lineRule="auto"/>
        <w:ind w:firstLine="720"/>
        <w:jc w:val="both"/>
        <w:rPr>
          <w:sz w:val="28"/>
          <w:szCs w:val="28"/>
        </w:rPr>
      </w:pPr>
      <w:r w:rsidRPr="009D0860">
        <w:rPr>
          <w:sz w:val="28"/>
          <w:szCs w:val="28"/>
        </w:rPr>
        <w:t>Finally,</w:t>
      </w:r>
      <w:r>
        <w:rPr>
          <w:sz w:val="28"/>
          <w:szCs w:val="28"/>
        </w:rPr>
        <w:t xml:space="preserve"> the State Bar respectfully disagrees with the notion that the Petition is solving a nonexistent problem.  There is a very real cumulative cost the Petition would help alleviate by eliminating this requirement for cited authority.  Anything that makes litigation   more efficient and cost effective for parties</w:t>
      </w:r>
      <w:r>
        <w:rPr>
          <w:sz w:val="28"/>
          <w:szCs w:val="28"/>
        </w:rPr>
        <w:t xml:space="preserve"> </w:t>
      </w:r>
      <w:r>
        <w:rPr>
          <w:sz w:val="28"/>
          <w:szCs w:val="28"/>
        </w:rPr>
        <w:t xml:space="preserve">deserves due consideration. </w:t>
      </w:r>
    </w:p>
    <w:p w14:paraId="5F4F9CC3" w14:textId="77777777" w:rsidR="00041408" w:rsidRPr="00595EEC" w:rsidRDefault="00041408" w:rsidP="00041408">
      <w:pPr>
        <w:spacing w:line="480" w:lineRule="auto"/>
        <w:jc w:val="both"/>
        <w:rPr>
          <w:b/>
          <w:sz w:val="28"/>
          <w:szCs w:val="28"/>
        </w:rPr>
      </w:pPr>
      <w:r>
        <w:rPr>
          <w:b/>
          <w:sz w:val="28"/>
          <w:szCs w:val="28"/>
        </w:rPr>
        <w:t>IV.</w:t>
      </w:r>
      <w:r>
        <w:rPr>
          <w:b/>
          <w:sz w:val="28"/>
          <w:szCs w:val="28"/>
        </w:rPr>
        <w:tab/>
      </w:r>
      <w:r w:rsidRPr="00BE1A33">
        <w:rPr>
          <w:b/>
          <w:sz w:val="28"/>
          <w:szCs w:val="28"/>
        </w:rPr>
        <w:t>CONCLUSION</w:t>
      </w:r>
    </w:p>
    <w:p w14:paraId="5D02FE20" w14:textId="51BE3B1C" w:rsidR="000F7A7F" w:rsidRPr="00041408" w:rsidRDefault="00041408" w:rsidP="00041408">
      <w:pPr>
        <w:spacing w:line="480" w:lineRule="auto"/>
        <w:ind w:firstLine="720"/>
        <w:jc w:val="both"/>
        <w:rPr>
          <w:sz w:val="28"/>
          <w:szCs w:val="28"/>
        </w:rPr>
      </w:pPr>
      <w:r>
        <w:rPr>
          <w:sz w:val="28"/>
          <w:szCs w:val="28"/>
        </w:rPr>
        <w:t xml:space="preserve">The State Bar requests that the </w:t>
      </w:r>
      <w:r>
        <w:rPr>
          <w:sz w:val="28"/>
          <w:szCs w:val="28"/>
        </w:rPr>
        <w:t>Court adopt</w:t>
      </w:r>
      <w:r>
        <w:rPr>
          <w:sz w:val="28"/>
          <w:szCs w:val="28"/>
        </w:rPr>
        <w:t xml:space="preserve"> changes proposed in the Petition for the reasons set forth above.</w:t>
      </w:r>
    </w:p>
    <w:p w14:paraId="56DC022B" w14:textId="36369195" w:rsidR="000C48A9" w:rsidRPr="006F63FD" w:rsidRDefault="006F63FD" w:rsidP="000C48A9">
      <w:pPr>
        <w:pStyle w:val="Body"/>
        <w:widowControl w:val="0"/>
        <w:tabs>
          <w:tab w:val="left" w:pos="720"/>
        </w:tabs>
        <w:ind w:firstLine="0"/>
        <w:rPr>
          <w:sz w:val="28"/>
          <w:szCs w:val="28"/>
        </w:rPr>
      </w:pPr>
      <w:r>
        <w:rPr>
          <w:szCs w:val="26"/>
        </w:rPr>
        <w:t xml:space="preserve">       </w:t>
      </w:r>
      <w:r w:rsidR="00041408">
        <w:rPr>
          <w:szCs w:val="26"/>
        </w:rPr>
        <w:tab/>
      </w:r>
      <w:r w:rsidR="00041408">
        <w:rPr>
          <w:szCs w:val="26"/>
        </w:rPr>
        <w:tab/>
      </w:r>
      <w:r w:rsidR="00041408">
        <w:rPr>
          <w:szCs w:val="26"/>
        </w:rPr>
        <w:tab/>
        <w:t xml:space="preserve">      </w:t>
      </w:r>
      <w:r w:rsidR="000C48A9" w:rsidRPr="006F63FD">
        <w:rPr>
          <w:sz w:val="28"/>
          <w:szCs w:val="28"/>
        </w:rPr>
        <w:t xml:space="preserve">RESPECTFULLY SUBMITTED this </w:t>
      </w:r>
      <w:r w:rsidR="00041408">
        <w:rPr>
          <w:sz w:val="28"/>
          <w:szCs w:val="28"/>
        </w:rPr>
        <w:t>1</w:t>
      </w:r>
      <w:r w:rsidR="00041408" w:rsidRPr="00041408">
        <w:rPr>
          <w:sz w:val="28"/>
          <w:szCs w:val="28"/>
          <w:vertAlign w:val="superscript"/>
        </w:rPr>
        <w:t>st</w:t>
      </w:r>
      <w:r w:rsidR="00041408">
        <w:rPr>
          <w:sz w:val="28"/>
          <w:szCs w:val="28"/>
        </w:rPr>
        <w:t xml:space="preserve"> </w:t>
      </w:r>
      <w:r w:rsidR="000C48A9" w:rsidRPr="006F63FD">
        <w:rPr>
          <w:sz w:val="28"/>
          <w:szCs w:val="28"/>
        </w:rPr>
        <w:t>day of</w:t>
      </w:r>
      <w:r w:rsidR="00041408">
        <w:rPr>
          <w:sz w:val="28"/>
          <w:szCs w:val="28"/>
        </w:rPr>
        <w:t xml:space="preserve"> </w:t>
      </w:r>
      <w:proofErr w:type="gramStart"/>
      <w:r w:rsidR="00041408">
        <w:rPr>
          <w:sz w:val="28"/>
          <w:szCs w:val="28"/>
        </w:rPr>
        <w:t>May</w:t>
      </w:r>
      <w:r w:rsidR="00D60D9B">
        <w:rPr>
          <w:sz w:val="28"/>
          <w:szCs w:val="28"/>
        </w:rPr>
        <w:t>,</w:t>
      </w:r>
      <w:proofErr w:type="gramEnd"/>
      <w:r w:rsidR="00D60D9B">
        <w:rPr>
          <w:sz w:val="28"/>
          <w:szCs w:val="28"/>
        </w:rPr>
        <w:t xml:space="preserve"> 20</w:t>
      </w:r>
      <w:r w:rsidR="00954A5E">
        <w:rPr>
          <w:sz w:val="28"/>
          <w:szCs w:val="28"/>
        </w:rPr>
        <w:t>2</w:t>
      </w:r>
      <w:r w:rsidR="00334B42">
        <w:rPr>
          <w:sz w:val="28"/>
          <w:szCs w:val="28"/>
        </w:rPr>
        <w:t>3</w:t>
      </w:r>
      <w:r w:rsidR="000C48A9" w:rsidRPr="006F63FD">
        <w:rPr>
          <w:sz w:val="28"/>
          <w:szCs w:val="28"/>
        </w:rPr>
        <w:t>.</w:t>
      </w:r>
    </w:p>
    <w:p w14:paraId="514BFEB7" w14:textId="77777777" w:rsidR="000C48A9" w:rsidRPr="000F7A7F" w:rsidRDefault="000C48A9" w:rsidP="000C48A9">
      <w:pPr>
        <w:pStyle w:val="Body"/>
        <w:widowControl w:val="0"/>
        <w:tabs>
          <w:tab w:val="left" w:pos="720"/>
        </w:tabs>
        <w:ind w:firstLine="0"/>
        <w:rPr>
          <w:szCs w:val="26"/>
        </w:rPr>
      </w:pPr>
    </w:p>
    <w:p w14:paraId="6B779D2D" w14:textId="147EE883" w:rsidR="000C48A9" w:rsidRPr="00041408" w:rsidRDefault="00041408" w:rsidP="000C48A9">
      <w:pPr>
        <w:pStyle w:val="Body"/>
        <w:widowControl w:val="0"/>
        <w:tabs>
          <w:tab w:val="left" w:pos="720"/>
        </w:tabs>
        <w:ind w:firstLine="0"/>
        <w:rPr>
          <w:i/>
          <w:iCs/>
          <w:szCs w:val="26"/>
        </w:rPr>
      </w:pPr>
      <w:r>
        <w:rPr>
          <w:szCs w:val="26"/>
        </w:rPr>
        <w:tab/>
      </w:r>
      <w:r>
        <w:rPr>
          <w:szCs w:val="26"/>
        </w:rPr>
        <w:tab/>
      </w:r>
      <w:r>
        <w:rPr>
          <w:szCs w:val="26"/>
        </w:rPr>
        <w:tab/>
      </w:r>
      <w:r>
        <w:rPr>
          <w:szCs w:val="26"/>
        </w:rPr>
        <w:tab/>
      </w:r>
      <w:r>
        <w:rPr>
          <w:szCs w:val="26"/>
        </w:rPr>
        <w:tab/>
      </w:r>
      <w:r>
        <w:rPr>
          <w:szCs w:val="26"/>
        </w:rPr>
        <w:tab/>
      </w:r>
      <w:r>
        <w:rPr>
          <w:szCs w:val="26"/>
        </w:rPr>
        <w:tab/>
      </w:r>
      <w:r>
        <w:rPr>
          <w:i/>
          <w:iCs/>
          <w:szCs w:val="26"/>
        </w:rPr>
        <w:t>/s/ Lisa M. Panahi</w:t>
      </w:r>
    </w:p>
    <w:p w14:paraId="66D5BA5C"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4EE9EEB4"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041408">
        <w:rPr>
          <w:sz w:val="28"/>
          <w:szCs w:val="28"/>
        </w:rPr>
        <w:t>1</w:t>
      </w:r>
      <w:r w:rsidR="00041408" w:rsidRPr="00041408">
        <w:rPr>
          <w:sz w:val="28"/>
          <w:szCs w:val="28"/>
          <w:vertAlign w:val="superscript"/>
        </w:rPr>
        <w:t>st</w:t>
      </w:r>
      <w:r w:rsidR="00041408">
        <w:rPr>
          <w:sz w:val="28"/>
          <w:szCs w:val="28"/>
        </w:rPr>
        <w:t xml:space="preserve"> </w:t>
      </w:r>
      <w:r w:rsidR="000F7A7F" w:rsidRPr="00C52E56">
        <w:rPr>
          <w:sz w:val="28"/>
          <w:szCs w:val="28"/>
        </w:rPr>
        <w:t xml:space="preserve">day of </w:t>
      </w:r>
      <w:proofErr w:type="gramStart"/>
      <w:r w:rsidR="00041408">
        <w:rPr>
          <w:sz w:val="28"/>
          <w:szCs w:val="28"/>
        </w:rPr>
        <w:t>May</w:t>
      </w:r>
      <w:r w:rsidR="006F63FD" w:rsidRPr="00C52E56">
        <w:rPr>
          <w:sz w:val="28"/>
          <w:szCs w:val="28"/>
        </w:rPr>
        <w:t>,</w:t>
      </w:r>
      <w:proofErr w:type="gramEnd"/>
      <w:r w:rsidR="006F63FD" w:rsidRPr="00C52E56">
        <w:rPr>
          <w:sz w:val="28"/>
          <w:szCs w:val="28"/>
        </w:rPr>
        <w:t xml:space="preserve"> </w:t>
      </w:r>
      <w:r w:rsidR="00D60D9B">
        <w:rPr>
          <w:sz w:val="28"/>
          <w:szCs w:val="28"/>
        </w:rPr>
        <w:t>20</w:t>
      </w:r>
      <w:r w:rsidR="00954A5E">
        <w:rPr>
          <w:sz w:val="28"/>
          <w:szCs w:val="28"/>
        </w:rPr>
        <w:t>2</w:t>
      </w:r>
      <w:r w:rsidR="00334B42">
        <w:rPr>
          <w:sz w:val="28"/>
          <w:szCs w:val="28"/>
        </w:rPr>
        <w:t>3</w:t>
      </w:r>
      <w:r w:rsidR="000F7A7F" w:rsidRPr="00C52E56">
        <w:rPr>
          <w:sz w:val="28"/>
          <w:szCs w:val="28"/>
        </w:rPr>
        <w:t>.</w:t>
      </w:r>
    </w:p>
    <w:p w14:paraId="69581EED" w14:textId="77777777" w:rsidR="000F7A7F" w:rsidRPr="00C52E56" w:rsidRDefault="000F7A7F" w:rsidP="000C48A9">
      <w:pPr>
        <w:spacing w:line="240" w:lineRule="auto"/>
        <w:ind w:right="4572"/>
        <w:rPr>
          <w:sz w:val="28"/>
          <w:szCs w:val="28"/>
        </w:rPr>
      </w:pPr>
    </w:p>
    <w:p w14:paraId="74A74D4D" w14:textId="3DE9F415" w:rsidR="000C48A9" w:rsidRPr="00C52E56" w:rsidRDefault="000C48A9" w:rsidP="000C48A9">
      <w:pPr>
        <w:spacing w:line="240" w:lineRule="auto"/>
        <w:ind w:right="4572"/>
        <w:rPr>
          <w:sz w:val="28"/>
          <w:szCs w:val="28"/>
        </w:rPr>
      </w:pPr>
      <w:r w:rsidRPr="00C52E56">
        <w:rPr>
          <w:sz w:val="28"/>
          <w:szCs w:val="28"/>
        </w:rPr>
        <w:t xml:space="preserve">by: </w:t>
      </w:r>
      <w:r w:rsidR="00041408">
        <w:rPr>
          <w:sz w:val="28"/>
          <w:szCs w:val="28"/>
        </w:rPr>
        <w:t>P Seguin</w:t>
      </w: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1408"/>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NormalWeb">
    <w:name w:val="Normal (Web)"/>
    <w:basedOn w:val="Normal"/>
    <w:uiPriority w:val="99"/>
    <w:unhideWhenUsed/>
    <w:rsid w:val="00041408"/>
    <w:pPr>
      <w:spacing w:before="100" w:beforeAutospacing="1" w:after="100" w:afterAutospacing="1" w:line="240" w:lineRule="auto"/>
    </w:pPr>
    <w:rPr>
      <w:sz w:val="24"/>
      <w:szCs w:val="24"/>
    </w:rPr>
  </w:style>
  <w:style w:type="paragraph" w:customStyle="1" w:styleId="CaptionIndent">
    <w:name w:val="Caption Indent"/>
    <w:basedOn w:val="Normal"/>
    <w:link w:val="CaptionIndentChar"/>
    <w:uiPriority w:val="39"/>
    <w:rsid w:val="00041408"/>
    <w:pPr>
      <w:spacing w:line="230" w:lineRule="exact"/>
      <w:ind w:left="1845"/>
    </w:pPr>
    <w:rPr>
      <w:rFonts w:eastAsiaTheme="minorEastAsia"/>
      <w:sz w:val="26"/>
      <w:szCs w:val="32"/>
    </w:rPr>
  </w:style>
  <w:style w:type="character" w:customStyle="1" w:styleId="CaptionIndentChar">
    <w:name w:val="Caption Indent Char"/>
    <w:basedOn w:val="DefaultParagraphFont"/>
    <w:link w:val="CaptionIndent"/>
    <w:uiPriority w:val="39"/>
    <w:rsid w:val="00041408"/>
    <w:rPr>
      <w:rFonts w:eastAsiaTheme="minorEastAsia"/>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5</Pages>
  <Words>987</Words>
  <Characters>5271</Characters>
  <Application>Microsoft Office Word</Application>
  <DocSecurity>0</DocSecurity>
  <Lines>131</Lines>
  <Paragraphs>52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2023-05-02T04:15:00Z</dcterms:created>
  <dcterms:modified xsi:type="dcterms:W3CDTF">2023-05-02T04:15:00Z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