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167A0875"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Public Defense Svc.</w:t>
      </w:r>
      <w:r w:rsidRPr="00A00E0C">
        <w:rPr>
          <w:rFonts w:ascii="Times New Roman" w:hAnsi="Times New Roman"/>
          <w:sz w:val="28"/>
          <w:szCs w:val="28"/>
        </w:rPr>
        <w:tab/>
        <w:t>Mcpa. Cnty.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000000"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Legal Advocate</w:t>
      </w:r>
      <w:r w:rsidRPr="00A00E0C">
        <w:rPr>
          <w:rFonts w:ascii="Times New Roman" w:hAnsi="Times New Roman"/>
          <w:sz w:val="28"/>
          <w:szCs w:val="28"/>
        </w:rPr>
        <w:tab/>
        <w:t>Mcpa. Cnty.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000000"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Mcpa. Cnty.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000000"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49C5E35E"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 xml:space="preserve">In the </w:t>
            </w:r>
            <w:r w:rsidR="00336578">
              <w:rPr>
                <w:rFonts w:ascii="Times New Roman" w:hAnsi="Times New Roman"/>
                <w:sz w:val="28"/>
                <w:szCs w:val="28"/>
              </w:rPr>
              <w:t>M</w:t>
            </w:r>
            <w:r w:rsidRPr="00B67F38">
              <w:rPr>
                <w:rFonts w:ascii="Times New Roman" w:hAnsi="Times New Roman"/>
                <w:sz w:val="28"/>
                <w:szCs w:val="28"/>
              </w:rPr>
              <w:t>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32E499A1" w:rsidR="00A00E0C" w:rsidRPr="00B67F38" w:rsidRDefault="00336578" w:rsidP="00C22D59">
            <w:pPr>
              <w:widowControl/>
              <w:rPr>
                <w:rFonts w:ascii="Times New Roman" w:hAnsi="Times New Roman"/>
                <w:sz w:val="28"/>
                <w:szCs w:val="28"/>
              </w:rPr>
            </w:pPr>
            <w:r>
              <w:rPr>
                <w:rFonts w:ascii="Times New Roman" w:hAnsi="Times New Roman"/>
                <w:sz w:val="28"/>
                <w:szCs w:val="28"/>
              </w:rPr>
              <w:t xml:space="preserve">PETITION TO AMEND </w:t>
            </w:r>
            <w:r w:rsidR="005D2E63">
              <w:rPr>
                <w:rFonts w:ascii="Times New Roman" w:hAnsi="Times New Roman"/>
                <w:sz w:val="28"/>
                <w:szCs w:val="28"/>
              </w:rPr>
              <w:t>ARIZONA RULE OF EVIDENCE 615</w:t>
            </w:r>
          </w:p>
        </w:tc>
        <w:tc>
          <w:tcPr>
            <w:tcW w:w="5058" w:type="dxa"/>
            <w:tcBorders>
              <w:top w:val="nil"/>
              <w:bottom w:val="nil"/>
              <w:right w:val="nil"/>
            </w:tcBorders>
          </w:tcPr>
          <w:p w14:paraId="7AF7F5C3" w14:textId="406D21AF"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w:t>
            </w:r>
            <w:r w:rsidR="005D2E63">
              <w:rPr>
                <w:rFonts w:ascii="Times New Roman" w:hAnsi="Times New Roman"/>
                <w:sz w:val="28"/>
                <w:szCs w:val="28"/>
              </w:rPr>
              <w:t>3-0003</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4E21A599"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 xml:space="preserve">Joint Comment by the Directors of the Maricopa County Indigent Defense Agencies </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40C1AE14" w14:textId="77777777" w:rsidR="00A00E0C" w:rsidRDefault="00A00E0C" w:rsidP="00A00E0C">
      <w:pPr>
        <w:widowControl/>
        <w:jc w:val="both"/>
        <w:rPr>
          <w:rFonts w:ascii="Times New Roman" w:hAnsi="Times New Roman"/>
          <w:sz w:val="26"/>
          <w:szCs w:val="26"/>
        </w:rPr>
      </w:pPr>
    </w:p>
    <w:p w14:paraId="61400BE2" w14:textId="0F5BBA4F" w:rsidR="00A00E0C" w:rsidRDefault="00A00E0C" w:rsidP="003848A8">
      <w:pPr>
        <w:widowControl/>
        <w:jc w:val="both"/>
        <w:rPr>
          <w:rFonts w:ascii="Times New Roman" w:hAnsi="Times New Roman"/>
          <w:sz w:val="26"/>
          <w:szCs w:val="26"/>
        </w:rPr>
      </w:pPr>
    </w:p>
    <w:p w14:paraId="4D0711FC" w14:textId="77777777" w:rsidR="005D2E63" w:rsidRDefault="005D2E63" w:rsidP="003848A8">
      <w:pPr>
        <w:widowControl/>
        <w:jc w:val="both"/>
        <w:rPr>
          <w:rFonts w:ascii="Times New Roman" w:hAnsi="Times New Roman"/>
          <w:sz w:val="26"/>
          <w:szCs w:val="26"/>
        </w:rPr>
      </w:pPr>
    </w:p>
    <w:p w14:paraId="1C31DD8D" w14:textId="77777777" w:rsidR="005D2E63" w:rsidRPr="005D2E63" w:rsidRDefault="005D2E63" w:rsidP="005D2E63">
      <w:pPr>
        <w:spacing w:line="480" w:lineRule="auto"/>
        <w:ind w:firstLine="720"/>
        <w:jc w:val="both"/>
        <w:rPr>
          <w:rFonts w:ascii="Times New Roman" w:hAnsi="Times New Roman" w:cs="Times New Roman"/>
          <w:sz w:val="26"/>
          <w:szCs w:val="26"/>
        </w:rPr>
      </w:pPr>
      <w:r w:rsidRPr="005D2E63">
        <w:rPr>
          <w:rFonts w:ascii="Times New Roman" w:hAnsi="Times New Roman" w:cs="Times New Roman"/>
          <w:sz w:val="26"/>
          <w:szCs w:val="26"/>
        </w:rPr>
        <w:t xml:space="preserve">We are the directors of the public defender agencies that handle most indigent felony cases filed in Maricopa County.  Pursuant to Rule 28(e) of the Arizona Supreme Court </w:t>
      </w:r>
      <w:r w:rsidRPr="005D2E63">
        <w:rPr>
          <w:rFonts w:ascii="Times New Roman" w:hAnsi="Times New Roman" w:cs="Times New Roman"/>
          <w:sz w:val="26"/>
          <w:szCs w:val="26"/>
        </w:rPr>
        <w:lastRenderedPageBreak/>
        <w:t xml:space="preserve">Rules, we submit this comment in opposition of the proposal to amend Arizona Rule of Evidence 615. </w:t>
      </w:r>
    </w:p>
    <w:p w14:paraId="400D2C9C" w14:textId="77777777" w:rsidR="005D2E63" w:rsidRPr="005D2E63" w:rsidRDefault="005D2E63" w:rsidP="005D2E63">
      <w:pPr>
        <w:spacing w:line="480" w:lineRule="auto"/>
        <w:ind w:firstLine="720"/>
        <w:jc w:val="both"/>
        <w:rPr>
          <w:rFonts w:ascii="Times New Roman" w:hAnsi="Times New Roman" w:cs="Times New Roman"/>
          <w:sz w:val="26"/>
          <w:szCs w:val="26"/>
        </w:rPr>
      </w:pPr>
      <w:r w:rsidRPr="005D2E63">
        <w:rPr>
          <w:rFonts w:ascii="Times New Roman" w:hAnsi="Times New Roman" w:cs="Times New Roman"/>
          <w:sz w:val="26"/>
          <w:szCs w:val="26"/>
        </w:rPr>
        <w:t xml:space="preserve">We agree with the court that Arizona need not always adopt amendments to the Federal Rules of Evidence. As the Petitioners note, unlike our federal counterparts, Arizona courts have not struggled with interpreting Rule 615, and our caselaw supports its purpose: “to prevent witnesses from ‘tailoring’ their testimony to that of earlier witnesses and to aid in detecting testimony that is less than candid.” </w:t>
      </w:r>
      <w:r w:rsidRPr="005D2E63">
        <w:rPr>
          <w:rFonts w:ascii="Times New Roman" w:hAnsi="Times New Roman" w:cs="Times New Roman"/>
          <w:i/>
          <w:iCs/>
          <w:sz w:val="26"/>
          <w:szCs w:val="26"/>
        </w:rPr>
        <w:t xml:space="preserve">See Spring v. Bradford, </w:t>
      </w:r>
      <w:r w:rsidRPr="005D2E63">
        <w:rPr>
          <w:rFonts w:ascii="Times New Roman" w:hAnsi="Times New Roman" w:cs="Times New Roman"/>
          <w:sz w:val="26"/>
          <w:szCs w:val="26"/>
        </w:rPr>
        <w:t>243 Ariz. 167.</w:t>
      </w:r>
    </w:p>
    <w:p w14:paraId="547533F6" w14:textId="77777777" w:rsidR="005D2E63" w:rsidRPr="005D2E63" w:rsidRDefault="005D2E63" w:rsidP="005D2E63">
      <w:pPr>
        <w:spacing w:line="480" w:lineRule="auto"/>
        <w:ind w:firstLine="720"/>
        <w:jc w:val="both"/>
        <w:rPr>
          <w:rFonts w:ascii="Times New Roman" w:hAnsi="Times New Roman" w:cs="Times New Roman"/>
          <w:sz w:val="26"/>
          <w:szCs w:val="26"/>
        </w:rPr>
      </w:pPr>
      <w:r w:rsidRPr="005D2E63">
        <w:rPr>
          <w:rFonts w:ascii="Times New Roman" w:hAnsi="Times New Roman" w:cs="Times New Roman"/>
          <w:sz w:val="26"/>
          <w:szCs w:val="26"/>
        </w:rPr>
        <w:t xml:space="preserve"> In addition, we are fortunate that in criminal trials, the court bulwarks against potential juror taint by reading criminal jury instructions, including an explanation of “The Rule of Exclusion of Witnesses” and an “Admonition” against obtaining information outside the courtroom. </w:t>
      </w:r>
      <w:r w:rsidRPr="005D2E63">
        <w:rPr>
          <w:rFonts w:ascii="Times New Roman" w:hAnsi="Times New Roman" w:cs="Times New Roman"/>
          <w:i/>
          <w:iCs/>
          <w:sz w:val="26"/>
          <w:szCs w:val="26"/>
        </w:rPr>
        <w:t>See</w:t>
      </w:r>
      <w:r w:rsidRPr="005D2E63">
        <w:rPr>
          <w:rFonts w:ascii="Times New Roman" w:hAnsi="Times New Roman" w:cs="Times New Roman"/>
          <w:sz w:val="26"/>
          <w:szCs w:val="26"/>
        </w:rPr>
        <w:t xml:space="preserve"> Revised Arizona Jury Instructions—Criminal 5. In our opinion, the Petition’s addition of subsection (b), “Additional Orders to Prevent Disclosing and Accessing Testimony,” subverts those protections and defeats the purpose of mandatory sequestration.  We believe that the court should stay the course with the mandatory requirements of Rule 615. In our opinion, the addition of subsection (b) will create disparate rulings regarding previously sequestered witnesses disclosing or accessing witness testimony, which is the opposite of what the proposed rule seeks to avoid.</w:t>
      </w:r>
    </w:p>
    <w:p w14:paraId="2F5755A9" w14:textId="77777777" w:rsidR="005D2E63" w:rsidRPr="005D2E63" w:rsidRDefault="005D2E63" w:rsidP="005D2E63">
      <w:pPr>
        <w:spacing w:line="480" w:lineRule="auto"/>
        <w:ind w:firstLine="720"/>
        <w:jc w:val="both"/>
        <w:rPr>
          <w:rFonts w:ascii="Times New Roman" w:hAnsi="Times New Roman" w:cs="Times New Roman"/>
          <w:sz w:val="26"/>
          <w:szCs w:val="26"/>
        </w:rPr>
      </w:pPr>
      <w:r w:rsidRPr="005D2E63">
        <w:rPr>
          <w:rFonts w:ascii="Times New Roman" w:hAnsi="Times New Roman" w:cs="Times New Roman"/>
          <w:sz w:val="26"/>
          <w:szCs w:val="26"/>
        </w:rPr>
        <w:t xml:space="preserve">From our perspective, there is always the potential that a judge will fail to exercise discretion in prohibiting a witness from disclosing and accessing testimony. This becomes a perilous situation for our clients, especially ones facing the death penalty, because such a failure could result in witnesses engineering their testimony to align with a previously testifying witness, and/or conforming their testimony with evidence that has been presented </w:t>
      </w:r>
      <w:r w:rsidRPr="005D2E63">
        <w:rPr>
          <w:rFonts w:ascii="Times New Roman" w:hAnsi="Times New Roman" w:cs="Times New Roman"/>
          <w:sz w:val="26"/>
          <w:szCs w:val="26"/>
        </w:rPr>
        <w:lastRenderedPageBreak/>
        <w:t xml:space="preserve">(or excluded) during trial. </w:t>
      </w:r>
    </w:p>
    <w:p w14:paraId="30E3FD44" w14:textId="749C217A" w:rsidR="005D2E63" w:rsidRPr="005D2E63" w:rsidRDefault="005D2E63" w:rsidP="00891C88">
      <w:pPr>
        <w:spacing w:line="480" w:lineRule="auto"/>
        <w:ind w:firstLine="720"/>
        <w:jc w:val="both"/>
        <w:rPr>
          <w:rFonts w:ascii="Times New Roman" w:hAnsi="Times New Roman" w:cs="Times New Roman"/>
          <w:sz w:val="26"/>
          <w:szCs w:val="26"/>
        </w:rPr>
      </w:pPr>
      <w:r w:rsidRPr="005D2E63">
        <w:rPr>
          <w:rFonts w:ascii="Times New Roman" w:hAnsi="Times New Roman" w:cs="Times New Roman"/>
          <w:sz w:val="26"/>
          <w:szCs w:val="26"/>
        </w:rPr>
        <w:t xml:space="preserve">While we understand why the Petition seeks to “codify” the Court’s authority to enter orders concerning sequestered witnesses’ access to previous testimony, we agree that as written, an objection is necessary. However, we understand that it would be unfair of us to make such an objection without a solution. </w:t>
      </w:r>
      <w:r w:rsidR="00891C88">
        <w:rPr>
          <w:rFonts w:ascii="Times New Roman" w:hAnsi="Times New Roman" w:cs="Times New Roman"/>
          <w:sz w:val="26"/>
          <w:szCs w:val="26"/>
        </w:rPr>
        <w:t xml:space="preserve">We believe the </w:t>
      </w:r>
      <w:r w:rsidR="00D6202E">
        <w:rPr>
          <w:rFonts w:ascii="Times New Roman" w:hAnsi="Times New Roman" w:cs="Times New Roman"/>
          <w:sz w:val="26"/>
          <w:szCs w:val="26"/>
        </w:rPr>
        <w:t>court should adopt the following proposal</w:t>
      </w:r>
      <w:r w:rsidR="00891C88">
        <w:rPr>
          <w:rFonts w:ascii="Times New Roman" w:hAnsi="Times New Roman" w:cs="Times New Roman"/>
          <w:sz w:val="26"/>
          <w:szCs w:val="26"/>
        </w:rPr>
        <w:t>:</w:t>
      </w:r>
    </w:p>
    <w:p w14:paraId="3577EA1A" w14:textId="77777777" w:rsidR="005D2E63" w:rsidRPr="005D2E63" w:rsidRDefault="005D2E63" w:rsidP="005D2E63">
      <w:pPr>
        <w:pBdr>
          <w:top w:val="nil"/>
          <w:left w:val="nil"/>
          <w:bottom w:val="nil"/>
          <w:right w:val="nil"/>
          <w:between w:val="nil"/>
        </w:pBdr>
        <w:spacing w:line="480" w:lineRule="auto"/>
        <w:ind w:left="1350" w:right="720"/>
        <w:rPr>
          <w:rFonts w:ascii="Times New Roman" w:hAnsi="Times New Roman" w:cs="Times New Roman"/>
          <w:color w:val="000000"/>
          <w:sz w:val="26"/>
          <w:szCs w:val="26"/>
        </w:rPr>
      </w:pPr>
      <w:r w:rsidRPr="005D2E63">
        <w:rPr>
          <w:rFonts w:ascii="Times New Roman" w:eastAsia="Times New Roman" w:hAnsi="Times New Roman" w:cs="Times New Roman"/>
          <w:color w:val="000000"/>
          <w:sz w:val="26"/>
          <w:szCs w:val="26"/>
        </w:rPr>
        <w:tab/>
      </w:r>
      <w:r w:rsidRPr="005D2E63">
        <w:rPr>
          <w:rFonts w:ascii="Times New Roman" w:eastAsia="Times New Roman" w:hAnsi="Times New Roman" w:cs="Times New Roman"/>
          <w:b/>
          <w:color w:val="000000"/>
          <w:sz w:val="26"/>
          <w:szCs w:val="26"/>
          <w:u w:val="single"/>
        </w:rPr>
        <w:t>(b)</w:t>
      </w:r>
      <w:r w:rsidRPr="005D2E63">
        <w:rPr>
          <w:rFonts w:ascii="Times New Roman" w:eastAsia="Times New Roman" w:hAnsi="Times New Roman" w:cs="Times New Roman"/>
          <w:color w:val="000000"/>
          <w:sz w:val="26"/>
          <w:szCs w:val="26"/>
          <w:u w:val="single"/>
        </w:rPr>
        <w:t xml:space="preserve"> </w:t>
      </w:r>
      <w:r w:rsidRPr="005D2E63">
        <w:rPr>
          <w:rFonts w:ascii="Times New Roman" w:eastAsia="Times New Roman" w:hAnsi="Times New Roman" w:cs="Times New Roman"/>
          <w:color w:val="000000"/>
          <w:sz w:val="26"/>
          <w:szCs w:val="26"/>
          <w:u w:val="single"/>
        </w:rPr>
        <w:tab/>
      </w:r>
      <w:r w:rsidRPr="005D2E63">
        <w:rPr>
          <w:rFonts w:ascii="Times New Roman" w:eastAsia="Times New Roman" w:hAnsi="Times New Roman" w:cs="Times New Roman"/>
          <w:b/>
          <w:color w:val="000000"/>
          <w:sz w:val="26"/>
          <w:szCs w:val="26"/>
          <w:u w:val="single"/>
        </w:rPr>
        <w:t xml:space="preserve">Additional Orders to Prevent Disclosing and Accessing Testimony. </w:t>
      </w:r>
      <w:r w:rsidRPr="005D2E63">
        <w:rPr>
          <w:rFonts w:ascii="Times New Roman" w:eastAsia="Times New Roman" w:hAnsi="Times New Roman" w:cs="Times New Roman"/>
          <w:strike/>
          <w:color w:val="000000"/>
          <w:sz w:val="26"/>
          <w:szCs w:val="26"/>
          <w:u w:val="single"/>
        </w:rPr>
        <w:t>An order under (a) operates only to exclude witnesses from the courtroom. But</w:t>
      </w:r>
      <w:r w:rsidRPr="005D2E63">
        <w:rPr>
          <w:rFonts w:ascii="Times New Roman" w:eastAsia="Times New Roman" w:hAnsi="Times New Roman" w:cs="Times New Roman"/>
          <w:color w:val="000000"/>
          <w:sz w:val="26"/>
          <w:szCs w:val="26"/>
          <w:u w:val="single"/>
        </w:rPr>
        <w:t xml:space="preserve"> </w:t>
      </w:r>
      <w:proofErr w:type="gramStart"/>
      <w:r w:rsidRPr="005D2E63">
        <w:rPr>
          <w:rFonts w:ascii="Times New Roman" w:eastAsia="Times New Roman" w:hAnsi="Times New Roman" w:cs="Times New Roman"/>
          <w:color w:val="FF0000"/>
          <w:sz w:val="26"/>
          <w:szCs w:val="26"/>
          <w:u w:val="single"/>
        </w:rPr>
        <w:t>Upon</w:t>
      </w:r>
      <w:proofErr w:type="gramEnd"/>
      <w:r w:rsidRPr="005D2E63">
        <w:rPr>
          <w:rFonts w:ascii="Times New Roman" w:eastAsia="Times New Roman" w:hAnsi="Times New Roman" w:cs="Times New Roman"/>
          <w:color w:val="FF0000"/>
          <w:sz w:val="26"/>
          <w:szCs w:val="26"/>
          <w:u w:val="single"/>
        </w:rPr>
        <w:t xml:space="preserve"> ordering the exclusion of a witness from the courtroom</w:t>
      </w:r>
      <w:r w:rsidRPr="005D2E63">
        <w:rPr>
          <w:rFonts w:ascii="Times New Roman" w:eastAsia="Times New Roman" w:hAnsi="Times New Roman" w:cs="Times New Roman"/>
          <w:color w:val="000000"/>
          <w:sz w:val="26"/>
          <w:szCs w:val="26"/>
          <w:u w:val="single"/>
        </w:rPr>
        <w:t xml:space="preserve">, the court </w:t>
      </w:r>
      <w:r w:rsidRPr="005D2E63">
        <w:rPr>
          <w:rFonts w:ascii="Times New Roman" w:eastAsia="Times New Roman" w:hAnsi="Times New Roman" w:cs="Times New Roman"/>
          <w:strike/>
          <w:color w:val="000000"/>
          <w:sz w:val="26"/>
          <w:szCs w:val="26"/>
          <w:u w:val="single"/>
        </w:rPr>
        <w:t xml:space="preserve">may </w:t>
      </w:r>
      <w:r w:rsidRPr="005D2E63">
        <w:rPr>
          <w:rFonts w:ascii="Times New Roman" w:eastAsia="Times New Roman" w:hAnsi="Times New Roman" w:cs="Times New Roman"/>
          <w:color w:val="FF0000"/>
          <w:sz w:val="26"/>
          <w:szCs w:val="26"/>
          <w:u w:val="single"/>
        </w:rPr>
        <w:t>must</w:t>
      </w:r>
      <w:r w:rsidRPr="005D2E63">
        <w:rPr>
          <w:rFonts w:ascii="Times New Roman" w:eastAsia="Times New Roman" w:hAnsi="Times New Roman" w:cs="Times New Roman"/>
          <w:color w:val="000000"/>
          <w:sz w:val="26"/>
          <w:szCs w:val="26"/>
          <w:u w:val="single"/>
        </w:rPr>
        <w:t xml:space="preserve"> also, by order:</w:t>
      </w:r>
    </w:p>
    <w:p w14:paraId="545CBD76" w14:textId="77777777" w:rsidR="005D2E63" w:rsidRPr="005D2E63" w:rsidRDefault="005D2E63" w:rsidP="005D2E63">
      <w:pPr>
        <w:pBdr>
          <w:top w:val="nil"/>
          <w:left w:val="nil"/>
          <w:bottom w:val="nil"/>
          <w:right w:val="nil"/>
          <w:between w:val="nil"/>
        </w:pBdr>
        <w:spacing w:line="480" w:lineRule="auto"/>
        <w:ind w:left="1350" w:right="720"/>
        <w:rPr>
          <w:rFonts w:ascii="Times New Roman" w:hAnsi="Times New Roman" w:cs="Times New Roman"/>
          <w:color w:val="000000"/>
          <w:sz w:val="26"/>
          <w:szCs w:val="26"/>
        </w:rPr>
      </w:pPr>
      <w:r w:rsidRPr="005D2E63">
        <w:rPr>
          <w:rFonts w:ascii="Times New Roman" w:eastAsia="Times New Roman" w:hAnsi="Times New Roman" w:cs="Times New Roman"/>
          <w:color w:val="000000"/>
          <w:sz w:val="26"/>
          <w:szCs w:val="26"/>
          <w:u w:val="single"/>
        </w:rPr>
        <w:t xml:space="preserve">(1) </w:t>
      </w:r>
      <w:r w:rsidRPr="005D2E63">
        <w:rPr>
          <w:rFonts w:ascii="Times New Roman" w:eastAsia="Times New Roman" w:hAnsi="Times New Roman" w:cs="Times New Roman"/>
          <w:color w:val="000000"/>
          <w:sz w:val="26"/>
          <w:szCs w:val="26"/>
          <w:u w:val="single"/>
        </w:rPr>
        <w:tab/>
        <w:t>prohibit disclosure of trial testimony to witnesses who are excluded from the courtroom; and </w:t>
      </w:r>
    </w:p>
    <w:p w14:paraId="04DD45CA" w14:textId="77777777" w:rsidR="005D2E63" w:rsidRPr="005D2E63" w:rsidRDefault="005D2E63" w:rsidP="005D2E63">
      <w:pPr>
        <w:pBdr>
          <w:top w:val="nil"/>
          <w:left w:val="nil"/>
          <w:bottom w:val="nil"/>
          <w:right w:val="nil"/>
          <w:between w:val="nil"/>
        </w:pBdr>
        <w:spacing w:line="480" w:lineRule="auto"/>
        <w:ind w:left="1350" w:right="720"/>
        <w:rPr>
          <w:rFonts w:ascii="Times New Roman" w:eastAsia="Times New Roman" w:hAnsi="Times New Roman" w:cs="Times New Roman"/>
          <w:color w:val="000000"/>
          <w:sz w:val="26"/>
          <w:szCs w:val="26"/>
          <w:u w:val="single"/>
        </w:rPr>
      </w:pPr>
      <w:r w:rsidRPr="005D2E63">
        <w:rPr>
          <w:rFonts w:ascii="Times New Roman" w:eastAsia="Times New Roman" w:hAnsi="Times New Roman" w:cs="Times New Roman"/>
          <w:color w:val="000000"/>
          <w:sz w:val="26"/>
          <w:szCs w:val="26"/>
          <w:u w:val="single"/>
        </w:rPr>
        <w:t xml:space="preserve">(2) </w:t>
      </w:r>
      <w:r w:rsidRPr="005D2E63">
        <w:rPr>
          <w:rFonts w:ascii="Times New Roman" w:eastAsia="Times New Roman" w:hAnsi="Times New Roman" w:cs="Times New Roman"/>
          <w:color w:val="000000"/>
          <w:sz w:val="26"/>
          <w:szCs w:val="26"/>
          <w:u w:val="single"/>
        </w:rPr>
        <w:tab/>
        <w:t>prohibit excluded witnesses from accessing trial testimony.”</w:t>
      </w:r>
    </w:p>
    <w:p w14:paraId="2C79AC28" w14:textId="2D62FD8C" w:rsidR="00336578" w:rsidRDefault="00336578" w:rsidP="005D2E63">
      <w:pPr>
        <w:widowControl/>
        <w:spacing w:line="480" w:lineRule="auto"/>
        <w:jc w:val="both"/>
        <w:rPr>
          <w:rFonts w:ascii="Times New Roman" w:hAnsi="Times New Roman"/>
          <w:sz w:val="26"/>
          <w:szCs w:val="26"/>
        </w:rPr>
      </w:pPr>
      <w:r>
        <w:rPr>
          <w:rFonts w:ascii="Times New Roman" w:hAnsi="Times New Roman"/>
          <w:sz w:val="26"/>
          <w:szCs w:val="26"/>
        </w:rPr>
        <w:tab/>
      </w:r>
    </w:p>
    <w:p w14:paraId="49A5A100" w14:textId="721E5F3A" w:rsidR="005D2E63" w:rsidRDefault="005D2E63" w:rsidP="005D2E63">
      <w:pPr>
        <w:widowControl/>
        <w:spacing w:line="480" w:lineRule="auto"/>
        <w:jc w:val="both"/>
        <w:rPr>
          <w:rFonts w:ascii="Times New Roman" w:hAnsi="Times New Roman"/>
          <w:sz w:val="26"/>
          <w:szCs w:val="26"/>
        </w:rPr>
      </w:pPr>
    </w:p>
    <w:p w14:paraId="1238394C" w14:textId="11FACA97" w:rsidR="005D2E63" w:rsidRDefault="005D2E63" w:rsidP="005D2E63">
      <w:pPr>
        <w:widowControl/>
        <w:spacing w:line="480" w:lineRule="auto"/>
        <w:jc w:val="both"/>
        <w:rPr>
          <w:rFonts w:ascii="Times New Roman" w:hAnsi="Times New Roman"/>
          <w:sz w:val="26"/>
          <w:szCs w:val="26"/>
        </w:rPr>
      </w:pPr>
    </w:p>
    <w:p w14:paraId="5D3ABC40" w14:textId="3154C256" w:rsidR="005D2E63" w:rsidRDefault="005D2E63" w:rsidP="005D2E63">
      <w:pPr>
        <w:widowControl/>
        <w:spacing w:line="480" w:lineRule="auto"/>
        <w:jc w:val="both"/>
        <w:rPr>
          <w:rFonts w:ascii="Times New Roman" w:hAnsi="Times New Roman"/>
          <w:sz w:val="26"/>
          <w:szCs w:val="26"/>
        </w:rPr>
      </w:pPr>
    </w:p>
    <w:p w14:paraId="1BB023FA" w14:textId="4F60F347" w:rsidR="005D2E63" w:rsidRDefault="005D2E63" w:rsidP="005D2E63">
      <w:pPr>
        <w:widowControl/>
        <w:spacing w:line="480" w:lineRule="auto"/>
        <w:jc w:val="both"/>
        <w:rPr>
          <w:rFonts w:ascii="Times New Roman" w:hAnsi="Times New Roman"/>
          <w:sz w:val="26"/>
          <w:szCs w:val="26"/>
        </w:rPr>
      </w:pPr>
    </w:p>
    <w:p w14:paraId="5561D33E" w14:textId="488E021E" w:rsidR="005D2E63" w:rsidRDefault="005D2E63" w:rsidP="005D2E63">
      <w:pPr>
        <w:widowControl/>
        <w:spacing w:line="480" w:lineRule="auto"/>
        <w:jc w:val="both"/>
        <w:rPr>
          <w:rFonts w:ascii="Times New Roman" w:hAnsi="Times New Roman"/>
          <w:sz w:val="26"/>
          <w:szCs w:val="26"/>
        </w:rPr>
      </w:pPr>
    </w:p>
    <w:p w14:paraId="0AF405D1" w14:textId="77777777" w:rsidR="00891C88" w:rsidRDefault="00891C88" w:rsidP="005D2E63">
      <w:pPr>
        <w:widowControl/>
        <w:spacing w:line="480" w:lineRule="auto"/>
        <w:jc w:val="both"/>
        <w:rPr>
          <w:rFonts w:ascii="Times New Roman" w:hAnsi="Times New Roman"/>
          <w:sz w:val="26"/>
          <w:szCs w:val="26"/>
        </w:rPr>
      </w:pPr>
    </w:p>
    <w:p w14:paraId="6C4432BF" w14:textId="77777777" w:rsidR="005D2E63" w:rsidRPr="00BF4611" w:rsidRDefault="005D2E63" w:rsidP="005D2E63">
      <w:pPr>
        <w:widowControl/>
        <w:spacing w:line="480" w:lineRule="auto"/>
        <w:jc w:val="both"/>
        <w:rPr>
          <w:rFonts w:ascii="Times New Roman" w:hAnsi="Times New Roman" w:cs="Times New Roman"/>
          <w:sz w:val="26"/>
          <w:szCs w:val="26"/>
        </w:rPr>
      </w:pPr>
    </w:p>
    <w:p w14:paraId="4EA617D8" w14:textId="77777777" w:rsidR="00336578" w:rsidRDefault="00336578" w:rsidP="003848A8">
      <w:pPr>
        <w:widowControl/>
        <w:jc w:val="both"/>
        <w:rPr>
          <w:rFonts w:ascii="Times New Roman" w:hAnsi="Times New Roman"/>
          <w:sz w:val="28"/>
          <w:szCs w:val="28"/>
        </w:rPr>
      </w:pPr>
    </w:p>
    <w:p w14:paraId="2ABA1376" w14:textId="3C6BBAA9" w:rsidR="00517872" w:rsidRPr="00BF4611" w:rsidRDefault="00517872" w:rsidP="00517872">
      <w:pPr>
        <w:widowControl/>
        <w:ind w:firstLine="720"/>
        <w:jc w:val="both"/>
        <w:rPr>
          <w:rFonts w:ascii="Times New Roman" w:hAnsi="Times New Roman"/>
          <w:sz w:val="26"/>
          <w:szCs w:val="26"/>
        </w:rPr>
      </w:pPr>
      <w:r w:rsidRPr="00BF4611">
        <w:rPr>
          <w:rFonts w:ascii="Times New Roman" w:hAnsi="Times New Roman"/>
          <w:sz w:val="26"/>
          <w:szCs w:val="26"/>
        </w:rPr>
        <w:lastRenderedPageBreak/>
        <w:t xml:space="preserve">Respectfully submitted </w:t>
      </w:r>
      <w:r w:rsidR="00336578" w:rsidRPr="00BF4611">
        <w:rPr>
          <w:rFonts w:ascii="Times New Roman" w:hAnsi="Times New Roman"/>
          <w:sz w:val="26"/>
          <w:szCs w:val="26"/>
        </w:rPr>
        <w:t>this 30</w:t>
      </w:r>
      <w:r w:rsidR="00336578" w:rsidRPr="00BF4611">
        <w:rPr>
          <w:rFonts w:ascii="Times New Roman" w:hAnsi="Times New Roman"/>
          <w:sz w:val="26"/>
          <w:szCs w:val="26"/>
          <w:vertAlign w:val="superscript"/>
        </w:rPr>
        <w:t>th</w:t>
      </w:r>
      <w:r w:rsidR="00336578" w:rsidRPr="00BF4611">
        <w:rPr>
          <w:rFonts w:ascii="Times New Roman" w:hAnsi="Times New Roman"/>
          <w:sz w:val="26"/>
          <w:szCs w:val="26"/>
        </w:rPr>
        <w:t xml:space="preserve"> day of April</w:t>
      </w:r>
      <w:r w:rsidRPr="00BF4611">
        <w:rPr>
          <w:rFonts w:ascii="Times New Roman" w:hAnsi="Times New Roman"/>
          <w:sz w:val="26"/>
          <w:szCs w:val="26"/>
        </w:rPr>
        <w:t>, 202</w:t>
      </w:r>
      <w:r w:rsidR="00296B1E" w:rsidRPr="00BF4611">
        <w:rPr>
          <w:rFonts w:ascii="Times New Roman" w:hAnsi="Times New Roman"/>
          <w:sz w:val="26"/>
          <w:szCs w:val="26"/>
        </w:rPr>
        <w:t>3</w:t>
      </w:r>
      <w:r w:rsidRPr="00BF4611">
        <w:rPr>
          <w:rFonts w:ascii="Times New Roman" w:hAnsi="Times New Roman"/>
          <w:sz w:val="26"/>
          <w:szCs w:val="26"/>
        </w:rPr>
        <w:t>.</w:t>
      </w:r>
    </w:p>
    <w:p w14:paraId="3F894C91" w14:textId="77777777" w:rsidR="00517872" w:rsidRPr="00BF4611" w:rsidRDefault="00517872" w:rsidP="00517872">
      <w:pPr>
        <w:widowControl/>
        <w:jc w:val="both"/>
        <w:rPr>
          <w:rFonts w:ascii="Times New Roman" w:hAnsi="Times New Roman"/>
          <w:sz w:val="26"/>
          <w:szCs w:val="26"/>
        </w:rPr>
      </w:pPr>
    </w:p>
    <w:p w14:paraId="114B2115" w14:textId="77777777" w:rsidR="00517872" w:rsidRPr="00BF4611" w:rsidRDefault="00517872" w:rsidP="00517872">
      <w:pPr>
        <w:widowControl/>
        <w:jc w:val="both"/>
        <w:rPr>
          <w:rFonts w:ascii="Times New Roman" w:hAnsi="Times New Roman"/>
          <w:sz w:val="26"/>
          <w:szCs w:val="26"/>
        </w:rPr>
      </w:pPr>
    </w:p>
    <w:p w14:paraId="0A40E445" w14:textId="755B8226"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Rosemarie Pena-Lynch</w:t>
      </w:r>
      <w:r w:rsidRPr="00BF4611">
        <w:rPr>
          <w:rFonts w:ascii="Times New Roman" w:hAnsi="Times New Roman"/>
          <w:sz w:val="26"/>
          <w:szCs w:val="26"/>
          <w:u w:val="single"/>
        </w:rPr>
        <w:tab/>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Gary Kula</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6FEFC468" w14:textId="2B32B89C" w:rsidR="00517872" w:rsidRPr="00BF4611" w:rsidRDefault="00517872" w:rsidP="005B2963">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Rosemarie Pena-Lynch</w:t>
      </w:r>
      <w:r w:rsidR="005B2963" w:rsidRPr="00BF4611">
        <w:rPr>
          <w:rFonts w:ascii="Times New Roman" w:hAnsi="Times New Roman"/>
          <w:sz w:val="26"/>
          <w:szCs w:val="26"/>
        </w:rPr>
        <w:t>, Director</w:t>
      </w:r>
      <w:r w:rsidRPr="00BF4611">
        <w:rPr>
          <w:rFonts w:ascii="Times New Roman" w:hAnsi="Times New Roman"/>
          <w:sz w:val="26"/>
          <w:szCs w:val="26"/>
        </w:rPr>
        <w:tab/>
        <w:t>Gary Kula</w:t>
      </w:r>
      <w:r w:rsidR="005B2963" w:rsidRPr="00BF4611">
        <w:rPr>
          <w:rFonts w:ascii="Times New Roman" w:hAnsi="Times New Roman"/>
          <w:sz w:val="26"/>
          <w:szCs w:val="26"/>
        </w:rPr>
        <w:t>, Director</w:t>
      </w:r>
    </w:p>
    <w:p w14:paraId="530CB84C" w14:textId="7864D18F" w:rsidR="00517872" w:rsidRPr="00BF4611" w:rsidRDefault="00517872" w:rsidP="008C6960">
      <w:pPr>
        <w:widowControl/>
        <w:tabs>
          <w:tab w:val="left" w:pos="5400"/>
        </w:tabs>
        <w:ind w:firstLine="360"/>
        <w:jc w:val="both"/>
        <w:rPr>
          <w:rFonts w:ascii="Times New Roman" w:hAnsi="Times New Roman"/>
          <w:sz w:val="26"/>
          <w:szCs w:val="26"/>
        </w:rPr>
      </w:pPr>
      <w:r w:rsidRPr="00BF4611">
        <w:rPr>
          <w:rFonts w:ascii="Times New Roman" w:hAnsi="Times New Roman"/>
          <w:sz w:val="26"/>
          <w:szCs w:val="26"/>
        </w:rPr>
        <w:t>Mcpa. Cnty. Ofc. of Public Defense Svc.</w:t>
      </w:r>
      <w:r w:rsidRPr="00BF4611">
        <w:rPr>
          <w:rFonts w:ascii="Times New Roman" w:hAnsi="Times New Roman"/>
          <w:sz w:val="26"/>
          <w:szCs w:val="26"/>
        </w:rPr>
        <w:tab/>
        <w:t>Mcpa. Cnty. Public Defenders</w:t>
      </w:r>
      <w:r w:rsidR="008C6960" w:rsidRPr="00BF4611">
        <w:rPr>
          <w:rFonts w:ascii="Times New Roman" w:hAnsi="Times New Roman"/>
          <w:sz w:val="26"/>
          <w:szCs w:val="26"/>
        </w:rPr>
        <w:t xml:space="preserve"> Ofc.</w:t>
      </w:r>
    </w:p>
    <w:p w14:paraId="2A0718F9" w14:textId="77777777" w:rsidR="00517872" w:rsidRPr="00BF4611" w:rsidRDefault="00517872" w:rsidP="00517872">
      <w:pPr>
        <w:widowControl/>
        <w:jc w:val="both"/>
        <w:rPr>
          <w:rFonts w:ascii="Times New Roman" w:hAnsi="Times New Roman"/>
          <w:sz w:val="26"/>
          <w:szCs w:val="26"/>
        </w:rPr>
      </w:pPr>
    </w:p>
    <w:p w14:paraId="6D55C85E" w14:textId="77777777" w:rsidR="00517872" w:rsidRPr="00BF4611" w:rsidRDefault="00517872" w:rsidP="00517872">
      <w:pPr>
        <w:widowControl/>
        <w:jc w:val="both"/>
        <w:rPr>
          <w:rFonts w:ascii="Times New Roman" w:hAnsi="Times New Roman"/>
          <w:sz w:val="26"/>
          <w:szCs w:val="26"/>
        </w:rPr>
      </w:pPr>
    </w:p>
    <w:p w14:paraId="0EF4BC08"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Steve Koestner</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rPr>
        <w:tab/>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Shannon Burns</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04C60272" w14:textId="3DD29583" w:rsidR="00CD0B1E" w:rsidRPr="00BF4611" w:rsidRDefault="00517872" w:rsidP="00517872">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Steve Koestner</w:t>
      </w:r>
      <w:r w:rsidR="005B2963" w:rsidRPr="00BF4611">
        <w:rPr>
          <w:rFonts w:ascii="Times New Roman" w:hAnsi="Times New Roman"/>
          <w:sz w:val="26"/>
          <w:szCs w:val="26"/>
        </w:rPr>
        <w:t>, Director</w:t>
      </w:r>
      <w:r w:rsidRPr="00BF4611">
        <w:rPr>
          <w:rFonts w:ascii="Times New Roman" w:hAnsi="Times New Roman"/>
          <w:sz w:val="26"/>
          <w:szCs w:val="26"/>
        </w:rPr>
        <w:tab/>
        <w:t>Shannon Burns</w:t>
      </w:r>
      <w:r w:rsidR="005B2963" w:rsidRPr="00BF4611">
        <w:rPr>
          <w:rFonts w:ascii="Times New Roman" w:hAnsi="Times New Roman"/>
          <w:sz w:val="26"/>
          <w:szCs w:val="26"/>
        </w:rPr>
        <w:t>, Director</w:t>
      </w:r>
    </w:p>
    <w:p w14:paraId="697FD7BC" w14:textId="7F017110" w:rsidR="00517872" w:rsidRPr="00BF4611" w:rsidRDefault="00517872" w:rsidP="008C6960">
      <w:pPr>
        <w:widowControl/>
        <w:tabs>
          <w:tab w:val="left" w:pos="5400"/>
        </w:tabs>
        <w:ind w:left="4320" w:right="-1350" w:hanging="3960"/>
        <w:jc w:val="both"/>
        <w:rPr>
          <w:rFonts w:ascii="Times New Roman" w:hAnsi="Times New Roman"/>
          <w:sz w:val="26"/>
          <w:szCs w:val="26"/>
        </w:rPr>
      </w:pPr>
      <w:r w:rsidRPr="00BF4611">
        <w:rPr>
          <w:rFonts w:ascii="Times New Roman" w:hAnsi="Times New Roman"/>
          <w:sz w:val="26"/>
          <w:szCs w:val="26"/>
        </w:rPr>
        <w:t>Mcpa. Cnty. Ofc. of Legal Advocate</w:t>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Mcpa. Cnty. Ofc. of Public</w:t>
      </w:r>
      <w:r w:rsidR="008C6960" w:rsidRPr="00BF4611">
        <w:rPr>
          <w:rFonts w:ascii="Times New Roman" w:hAnsi="Times New Roman"/>
          <w:sz w:val="26"/>
          <w:szCs w:val="26"/>
        </w:rPr>
        <w:t xml:space="preserve"> Advocate</w:t>
      </w:r>
      <w:r w:rsidRPr="00BF4611">
        <w:rPr>
          <w:rFonts w:ascii="Times New Roman" w:hAnsi="Times New Roman"/>
          <w:sz w:val="26"/>
          <w:szCs w:val="26"/>
        </w:rPr>
        <w:t xml:space="preserve"> </w:t>
      </w:r>
    </w:p>
    <w:p w14:paraId="68842C39" w14:textId="77777777" w:rsidR="00517872" w:rsidRPr="00BF4611" w:rsidRDefault="00517872" w:rsidP="00517872">
      <w:pPr>
        <w:widowControl/>
        <w:jc w:val="both"/>
        <w:rPr>
          <w:rFonts w:ascii="Times New Roman" w:hAnsi="Times New Roman"/>
          <w:sz w:val="26"/>
          <w:szCs w:val="26"/>
        </w:rPr>
      </w:pPr>
    </w:p>
    <w:p w14:paraId="31A17A3F" w14:textId="77777777" w:rsidR="00517872" w:rsidRPr="00BF4611" w:rsidRDefault="00517872" w:rsidP="00517872">
      <w:pPr>
        <w:widowControl/>
        <w:jc w:val="both"/>
        <w:rPr>
          <w:rFonts w:ascii="Times New Roman" w:hAnsi="Times New Roman"/>
          <w:sz w:val="26"/>
          <w:szCs w:val="26"/>
        </w:rPr>
      </w:pPr>
    </w:p>
    <w:p w14:paraId="1ADBA02D"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Sherri McGuire Lawson</w:t>
      </w:r>
      <w:r w:rsidRPr="00BF4611">
        <w:rPr>
          <w:rFonts w:ascii="Times New Roman" w:hAnsi="Times New Roman"/>
          <w:sz w:val="26"/>
          <w:szCs w:val="26"/>
          <w:u w:val="single"/>
        </w:rPr>
        <w:tab/>
      </w:r>
    </w:p>
    <w:p w14:paraId="769C974A" w14:textId="7334DCCC"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Sherri McGuire Lawson</w:t>
      </w:r>
      <w:r w:rsidR="005B2963" w:rsidRPr="00BF4611">
        <w:rPr>
          <w:rFonts w:ascii="Times New Roman" w:hAnsi="Times New Roman"/>
          <w:sz w:val="26"/>
          <w:szCs w:val="26"/>
        </w:rPr>
        <w:t>, Director</w:t>
      </w:r>
    </w:p>
    <w:p w14:paraId="6BED04A2" w14:textId="77777777"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Mcpa. Cnty. Ofc.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206B" w14:textId="77777777" w:rsidR="00B37A16" w:rsidRDefault="00B37A16" w:rsidP="00517872">
      <w:r>
        <w:separator/>
      </w:r>
    </w:p>
  </w:endnote>
  <w:endnote w:type="continuationSeparator" w:id="0">
    <w:p w14:paraId="79C0EA28" w14:textId="77777777" w:rsidR="00B37A16" w:rsidRDefault="00B37A16"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noProof/>
      </w:rPr>
    </w:sdtEndPr>
    <w:sdtContent>
      <w:p w14:paraId="33BCCFC8" w14:textId="4916F461" w:rsidR="002A25AC" w:rsidRDefault="002A25AC">
        <w:pPr>
          <w:pStyle w:val="Footer"/>
          <w:jc w:val="center"/>
        </w:pPr>
        <w:r w:rsidRPr="00336578">
          <w:rPr>
            <w:rFonts w:ascii="Times New Roman" w:hAnsi="Times New Roman" w:cs="Times New Roman"/>
          </w:rPr>
          <w:fldChar w:fldCharType="begin"/>
        </w:r>
        <w:r w:rsidRPr="00336578">
          <w:rPr>
            <w:rFonts w:ascii="Times New Roman" w:hAnsi="Times New Roman" w:cs="Times New Roman"/>
          </w:rPr>
          <w:instrText xml:space="preserve"> PAGE   \* MERGEFORMAT </w:instrText>
        </w:r>
        <w:r w:rsidRPr="00336578">
          <w:rPr>
            <w:rFonts w:ascii="Times New Roman" w:hAnsi="Times New Roman" w:cs="Times New Roman"/>
          </w:rPr>
          <w:fldChar w:fldCharType="separate"/>
        </w:r>
        <w:r w:rsidRPr="00336578">
          <w:rPr>
            <w:rFonts w:ascii="Times New Roman" w:hAnsi="Times New Roman" w:cs="Times New Roman"/>
            <w:noProof/>
          </w:rPr>
          <w:t>2</w:t>
        </w:r>
        <w:r w:rsidRPr="00336578">
          <w:rPr>
            <w:rFonts w:ascii="Times New Roman" w:hAnsi="Times New Roman" w:cs="Times New Roman"/>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FFF9" w14:textId="77777777" w:rsidR="00B37A16" w:rsidRDefault="00B37A16" w:rsidP="00517872">
      <w:r>
        <w:separator/>
      </w:r>
    </w:p>
  </w:footnote>
  <w:footnote w:type="continuationSeparator" w:id="0">
    <w:p w14:paraId="4E5F2189" w14:textId="77777777" w:rsidR="00B37A16" w:rsidRDefault="00B37A16" w:rsidP="0051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176E34"/>
    <w:multiLevelType w:val="hybridMultilevel"/>
    <w:tmpl w:val="84B69C58"/>
    <w:lvl w:ilvl="0" w:tplc="2D86D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243652">
    <w:abstractNumId w:val="1"/>
  </w:num>
  <w:num w:numId="2" w16cid:durableId="2052993522">
    <w:abstractNumId w:val="0"/>
  </w:num>
  <w:num w:numId="3" w16cid:durableId="257564656">
    <w:abstractNumId w:val="3"/>
  </w:num>
  <w:num w:numId="4" w16cid:durableId="159620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34715"/>
    <w:rsid w:val="000444F5"/>
    <w:rsid w:val="00054132"/>
    <w:rsid w:val="0008409D"/>
    <w:rsid w:val="000926B8"/>
    <w:rsid w:val="000D0CB5"/>
    <w:rsid w:val="0010481C"/>
    <w:rsid w:val="0019728E"/>
    <w:rsid w:val="001A588D"/>
    <w:rsid w:val="001A7E73"/>
    <w:rsid w:val="001B4244"/>
    <w:rsid w:val="001C5E96"/>
    <w:rsid w:val="001D6B69"/>
    <w:rsid w:val="001E072E"/>
    <w:rsid w:val="00203B97"/>
    <w:rsid w:val="00204182"/>
    <w:rsid w:val="00207B3E"/>
    <w:rsid w:val="002170A9"/>
    <w:rsid w:val="00230BFC"/>
    <w:rsid w:val="00282FB2"/>
    <w:rsid w:val="00285E75"/>
    <w:rsid w:val="00287AC6"/>
    <w:rsid w:val="00296B1E"/>
    <w:rsid w:val="002A25AC"/>
    <w:rsid w:val="002C77B0"/>
    <w:rsid w:val="002C7D23"/>
    <w:rsid w:val="0031043B"/>
    <w:rsid w:val="00336578"/>
    <w:rsid w:val="00361ECA"/>
    <w:rsid w:val="003848A8"/>
    <w:rsid w:val="003D666F"/>
    <w:rsid w:val="003E5721"/>
    <w:rsid w:val="00410529"/>
    <w:rsid w:val="00455190"/>
    <w:rsid w:val="004979F8"/>
    <w:rsid w:val="004A0709"/>
    <w:rsid w:val="004C0BB5"/>
    <w:rsid w:val="004C1DBC"/>
    <w:rsid w:val="004D31D2"/>
    <w:rsid w:val="004D7478"/>
    <w:rsid w:val="0050719E"/>
    <w:rsid w:val="00517872"/>
    <w:rsid w:val="0053659E"/>
    <w:rsid w:val="005414ED"/>
    <w:rsid w:val="005444FE"/>
    <w:rsid w:val="005462C0"/>
    <w:rsid w:val="00552C6A"/>
    <w:rsid w:val="005B0DD3"/>
    <w:rsid w:val="005B2963"/>
    <w:rsid w:val="005D022F"/>
    <w:rsid w:val="005D2E63"/>
    <w:rsid w:val="005D4A93"/>
    <w:rsid w:val="005E03CC"/>
    <w:rsid w:val="005F3AD7"/>
    <w:rsid w:val="00614985"/>
    <w:rsid w:val="00644083"/>
    <w:rsid w:val="0064456B"/>
    <w:rsid w:val="006B75E0"/>
    <w:rsid w:val="006D01B5"/>
    <w:rsid w:val="007057E1"/>
    <w:rsid w:val="0071157B"/>
    <w:rsid w:val="0071774D"/>
    <w:rsid w:val="00721CE8"/>
    <w:rsid w:val="00744EFD"/>
    <w:rsid w:val="0076484F"/>
    <w:rsid w:val="00765850"/>
    <w:rsid w:val="0077605C"/>
    <w:rsid w:val="007D6F26"/>
    <w:rsid w:val="007E2205"/>
    <w:rsid w:val="007F3B31"/>
    <w:rsid w:val="0083399A"/>
    <w:rsid w:val="00891C88"/>
    <w:rsid w:val="008C6960"/>
    <w:rsid w:val="008D17C1"/>
    <w:rsid w:val="008D26AC"/>
    <w:rsid w:val="00910F99"/>
    <w:rsid w:val="009517F1"/>
    <w:rsid w:val="009A49F1"/>
    <w:rsid w:val="009B3C4D"/>
    <w:rsid w:val="00A0011D"/>
    <w:rsid w:val="00A00E0C"/>
    <w:rsid w:val="00A25ADC"/>
    <w:rsid w:val="00A4307D"/>
    <w:rsid w:val="00A578B4"/>
    <w:rsid w:val="00A75F89"/>
    <w:rsid w:val="00AC125A"/>
    <w:rsid w:val="00AF291B"/>
    <w:rsid w:val="00B32944"/>
    <w:rsid w:val="00B37A16"/>
    <w:rsid w:val="00B45D2E"/>
    <w:rsid w:val="00BB31F7"/>
    <w:rsid w:val="00BE6519"/>
    <w:rsid w:val="00BF4611"/>
    <w:rsid w:val="00C35B5E"/>
    <w:rsid w:val="00C6355C"/>
    <w:rsid w:val="00CA253C"/>
    <w:rsid w:val="00CB2A87"/>
    <w:rsid w:val="00CB71BA"/>
    <w:rsid w:val="00CD0B1E"/>
    <w:rsid w:val="00CD2D1F"/>
    <w:rsid w:val="00D001CA"/>
    <w:rsid w:val="00D02A89"/>
    <w:rsid w:val="00D32EB6"/>
    <w:rsid w:val="00D550AB"/>
    <w:rsid w:val="00D575CD"/>
    <w:rsid w:val="00D6202E"/>
    <w:rsid w:val="00D8593D"/>
    <w:rsid w:val="00DB2440"/>
    <w:rsid w:val="00DD5E3A"/>
    <w:rsid w:val="00E25729"/>
    <w:rsid w:val="00E62663"/>
    <w:rsid w:val="00E70894"/>
    <w:rsid w:val="00EA24E2"/>
    <w:rsid w:val="00EE33FE"/>
    <w:rsid w:val="00F04614"/>
    <w:rsid w:val="00F055FC"/>
    <w:rsid w:val="00F8181F"/>
    <w:rsid w:val="00F81C9B"/>
    <w:rsid w:val="00F917B2"/>
    <w:rsid w:val="00F91871"/>
    <w:rsid w:val="00FB79E9"/>
    <w:rsid w:val="00FC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5</cp:revision>
  <dcterms:created xsi:type="dcterms:W3CDTF">2023-05-01T02:36:00Z</dcterms:created>
  <dcterms:modified xsi:type="dcterms:W3CDTF">2023-05-01T20:44:00Z</dcterms:modified>
</cp:coreProperties>
</file>