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E3F71" w:rsidRDefault="00F70F56">
      <w:pPr>
        <w:rPr>
          <w:sz w:val="28"/>
          <w:szCs w:val="28"/>
          <w:vertAlign w:val="baseline"/>
        </w:rPr>
      </w:pPr>
      <w:r>
        <w:rPr>
          <w:sz w:val="28"/>
          <w:szCs w:val="28"/>
          <w:vertAlign w:val="baseline"/>
        </w:rPr>
        <w:t>Kate Milewski</w:t>
      </w:r>
    </w:p>
    <w:p w14:paraId="1C901F16" w14:textId="77777777" w:rsidR="004077A2" w:rsidRPr="00C47D6F" w:rsidRDefault="00F70F56" w:rsidP="004077A2">
      <w:pPr>
        <w:rPr>
          <w:sz w:val="28"/>
          <w:szCs w:val="28"/>
          <w:vertAlign w:val="baseline"/>
        </w:rPr>
      </w:pPr>
      <w:r>
        <w:rPr>
          <w:sz w:val="28"/>
          <w:szCs w:val="28"/>
          <w:vertAlign w:val="baseline"/>
        </w:rPr>
        <w:t>Arizona State Bar #</w:t>
      </w:r>
      <w:r w:rsidR="004077A2">
        <w:rPr>
          <w:sz w:val="28"/>
          <w:szCs w:val="28"/>
          <w:vertAlign w:val="baseline"/>
        </w:rPr>
        <w:t xml:space="preserve"> </w:t>
      </w:r>
      <w:r w:rsidR="004077A2" w:rsidRPr="00C47D6F">
        <w:rPr>
          <w:color w:val="222222"/>
          <w:sz w:val="28"/>
          <w:szCs w:val="28"/>
          <w:shd w:val="clear" w:color="auto" w:fill="FFFFFF"/>
          <w:vertAlign w:val="baseline"/>
        </w:rPr>
        <w:t>024877</w:t>
      </w:r>
    </w:p>
    <w:p w14:paraId="00000003" w14:textId="77777777" w:rsidR="00AE3F71" w:rsidRDefault="00F70F56">
      <w:pPr>
        <w:rPr>
          <w:sz w:val="28"/>
          <w:szCs w:val="28"/>
          <w:vertAlign w:val="baseline"/>
        </w:rPr>
      </w:pPr>
      <w:r>
        <w:rPr>
          <w:sz w:val="28"/>
          <w:szCs w:val="28"/>
          <w:vertAlign w:val="baseline"/>
        </w:rPr>
        <w:t xml:space="preserve">Pinal County Public Defender </w:t>
      </w:r>
    </w:p>
    <w:p w14:paraId="00000004" w14:textId="77777777" w:rsidR="00AE3F71" w:rsidRDefault="00F70F56">
      <w:pPr>
        <w:rPr>
          <w:sz w:val="28"/>
          <w:szCs w:val="28"/>
          <w:vertAlign w:val="baseline"/>
        </w:rPr>
      </w:pPr>
      <w:bookmarkStart w:id="0" w:name="_heading=h.gjdgxs" w:colFirst="0" w:colLast="0"/>
      <w:bookmarkEnd w:id="0"/>
      <w:r>
        <w:rPr>
          <w:sz w:val="28"/>
          <w:szCs w:val="28"/>
          <w:vertAlign w:val="baseline"/>
        </w:rPr>
        <w:t>P.O. Box 2457</w:t>
      </w:r>
    </w:p>
    <w:p w14:paraId="00000005" w14:textId="77777777" w:rsidR="00AE3F71" w:rsidRDefault="00F70F56">
      <w:pPr>
        <w:rPr>
          <w:sz w:val="28"/>
          <w:szCs w:val="28"/>
          <w:vertAlign w:val="baseline"/>
        </w:rPr>
      </w:pPr>
      <w:r>
        <w:rPr>
          <w:sz w:val="28"/>
          <w:szCs w:val="28"/>
          <w:vertAlign w:val="baseline"/>
        </w:rPr>
        <w:t>Florence, AZ 85132</w:t>
      </w:r>
    </w:p>
    <w:p w14:paraId="00000006" w14:textId="77777777" w:rsidR="00AE3F71" w:rsidRDefault="00F70F56">
      <w:pPr>
        <w:rPr>
          <w:sz w:val="28"/>
          <w:szCs w:val="28"/>
          <w:vertAlign w:val="baseline"/>
        </w:rPr>
      </w:pPr>
      <w:r>
        <w:rPr>
          <w:sz w:val="28"/>
          <w:szCs w:val="28"/>
          <w:vertAlign w:val="baseline"/>
        </w:rPr>
        <w:t>(520) 866-7199</w:t>
      </w:r>
    </w:p>
    <w:p w14:paraId="00000007" w14:textId="77777777" w:rsidR="00AE3F71" w:rsidRDefault="00F70F56">
      <w:pPr>
        <w:rPr>
          <w:sz w:val="28"/>
          <w:szCs w:val="28"/>
          <w:vertAlign w:val="baseline"/>
        </w:rPr>
      </w:pPr>
      <w:r>
        <w:rPr>
          <w:sz w:val="28"/>
          <w:szCs w:val="28"/>
          <w:vertAlign w:val="baseline"/>
        </w:rPr>
        <w:t>Kate.Milewski@Pinal.gov</w:t>
      </w:r>
    </w:p>
    <w:p w14:paraId="00000008" w14:textId="77777777" w:rsidR="00AE3F71" w:rsidRDefault="00AE3F71">
      <w:pPr>
        <w:keepNext/>
        <w:jc w:val="center"/>
        <w:rPr>
          <w:b/>
          <w:sz w:val="28"/>
          <w:szCs w:val="28"/>
          <w:vertAlign w:val="baseline"/>
        </w:rPr>
      </w:pPr>
    </w:p>
    <w:p w14:paraId="00000009" w14:textId="77777777" w:rsidR="00AE3F71" w:rsidRDefault="00AE3F71">
      <w:pPr>
        <w:keepNext/>
        <w:jc w:val="center"/>
        <w:rPr>
          <w:b/>
          <w:sz w:val="28"/>
          <w:szCs w:val="28"/>
          <w:vertAlign w:val="baseline"/>
        </w:rPr>
      </w:pPr>
    </w:p>
    <w:p w14:paraId="0000000A" w14:textId="77777777" w:rsidR="00AE3F71" w:rsidRDefault="00F70F56">
      <w:pPr>
        <w:keepNext/>
        <w:jc w:val="center"/>
        <w:rPr>
          <w:b/>
          <w:sz w:val="28"/>
          <w:szCs w:val="28"/>
          <w:vertAlign w:val="baseline"/>
        </w:rPr>
      </w:pPr>
      <w:r>
        <w:rPr>
          <w:b/>
          <w:sz w:val="28"/>
          <w:szCs w:val="28"/>
          <w:vertAlign w:val="baseline"/>
        </w:rPr>
        <w:t>IN THE SUPREME COURT</w:t>
      </w:r>
    </w:p>
    <w:p w14:paraId="0000000B" w14:textId="77777777" w:rsidR="00AE3F71" w:rsidRDefault="00F70F56">
      <w:pPr>
        <w:keepNext/>
        <w:jc w:val="center"/>
        <w:rPr>
          <w:b/>
          <w:sz w:val="28"/>
          <w:szCs w:val="28"/>
          <w:vertAlign w:val="baseline"/>
        </w:rPr>
      </w:pPr>
      <w:r>
        <w:rPr>
          <w:b/>
          <w:sz w:val="28"/>
          <w:szCs w:val="28"/>
          <w:vertAlign w:val="baseline"/>
        </w:rPr>
        <w:t>IN AND FOR THE STATE OF ARIZONA</w:t>
      </w:r>
    </w:p>
    <w:p w14:paraId="0000000C" w14:textId="77777777" w:rsidR="00AE3F71" w:rsidRDefault="00AE3F71">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AE3F71" w14:paraId="0D40C940" w14:textId="77777777">
        <w:trPr>
          <w:trHeight w:val="2655"/>
        </w:trPr>
        <w:tc>
          <w:tcPr>
            <w:tcW w:w="4767" w:type="dxa"/>
            <w:tcBorders>
              <w:bottom w:val="single" w:sz="4" w:space="0" w:color="000000"/>
            </w:tcBorders>
          </w:tcPr>
          <w:p w14:paraId="0000000D" w14:textId="77777777" w:rsidR="00AE3F71" w:rsidRDefault="00F70F56">
            <w:pPr>
              <w:spacing w:after="120"/>
              <w:ind w:right="87"/>
              <w:rPr>
                <w:sz w:val="28"/>
                <w:szCs w:val="28"/>
                <w:vertAlign w:val="baseline"/>
              </w:rPr>
            </w:pPr>
            <w:bookmarkStart w:id="1" w:name="bookmark=id.gjdgxs" w:colFirst="0" w:colLast="0"/>
            <w:bookmarkEnd w:id="1"/>
            <w:r>
              <w:rPr>
                <w:sz w:val="28"/>
                <w:szCs w:val="28"/>
                <w:vertAlign w:val="baseline"/>
              </w:rPr>
              <w:t>In the matter of:</w:t>
            </w:r>
          </w:p>
          <w:p w14:paraId="0000000E" w14:textId="77777777" w:rsidR="00AE3F71" w:rsidRDefault="00AE3F71">
            <w:pPr>
              <w:spacing w:after="120"/>
              <w:ind w:right="87"/>
              <w:rPr>
                <w:sz w:val="28"/>
                <w:szCs w:val="28"/>
                <w:vertAlign w:val="baseline"/>
              </w:rPr>
            </w:pPr>
          </w:p>
          <w:p w14:paraId="0000000F" w14:textId="77777777" w:rsidR="00AE3F71" w:rsidRDefault="00F70F56">
            <w:pPr>
              <w:spacing w:after="120"/>
              <w:ind w:right="87"/>
              <w:rPr>
                <w:sz w:val="28"/>
                <w:szCs w:val="28"/>
                <w:vertAlign w:val="baseline"/>
              </w:rPr>
            </w:pPr>
            <w:r>
              <w:rPr>
                <w:sz w:val="28"/>
                <w:szCs w:val="28"/>
                <w:vertAlign w:val="baseline"/>
              </w:rPr>
              <w:t xml:space="preserve">Petition to Amend </w:t>
            </w:r>
            <w:bookmarkStart w:id="2" w:name="bookmark=id.1fob9te" w:colFirst="0" w:colLast="0"/>
            <w:bookmarkEnd w:id="2"/>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 Arizona Rules of Evidence</w:t>
            </w:r>
            <w:r>
              <w:rPr>
                <w:color w:val="0563C1"/>
                <w:sz w:val="28"/>
                <w:szCs w:val="28"/>
                <w:vertAlign w:val="baseline"/>
              </w:rPr>
              <w:fldChar w:fldCharType="end"/>
            </w:r>
            <w:bookmarkStart w:id="3" w:name="bookmark=id.3znysh7" w:colFirst="0" w:colLast="0"/>
            <w:bookmarkEnd w:id="3"/>
            <w:r>
              <w:rPr>
                <w:sz w:val="28"/>
                <w:szCs w:val="28"/>
                <w:vertAlign w:val="baseline"/>
              </w:rPr>
              <w:t xml:space="preserve"> </w:t>
            </w:r>
          </w:p>
        </w:tc>
        <w:tc>
          <w:tcPr>
            <w:tcW w:w="25" w:type="dxa"/>
            <w:tcBorders>
              <w:right w:val="single" w:sz="4" w:space="0" w:color="000000"/>
            </w:tcBorders>
          </w:tcPr>
          <w:p w14:paraId="00000010" w14:textId="77777777" w:rsidR="00AE3F71" w:rsidRDefault="00F70F56">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14:paraId="00000011" w14:textId="77777777" w:rsidR="00AE3F71" w:rsidRDefault="00F70F56">
            <w:pPr>
              <w:spacing w:line="254" w:lineRule="auto"/>
              <w:ind w:right="-40"/>
              <w:rPr>
                <w:sz w:val="28"/>
                <w:szCs w:val="28"/>
                <w:vertAlign w:val="baseline"/>
              </w:rPr>
            </w:pPr>
            <w:bookmarkStart w:id="4" w:name="bookmark=id.30j0zll" w:colFirst="0" w:colLast="0"/>
            <w:bookmarkStart w:id="5" w:name="_heading=h.1fob9te" w:colFirst="0" w:colLast="0"/>
            <w:bookmarkEnd w:id="4"/>
            <w:bookmarkEnd w:id="5"/>
            <w:r>
              <w:rPr>
                <w:sz w:val="28"/>
                <w:szCs w:val="28"/>
                <w:vertAlign w:val="baseline"/>
              </w:rPr>
              <w:t xml:space="preserve">    Arizona Supreme Court </w:t>
            </w:r>
          </w:p>
          <w:p w14:paraId="00000012" w14:textId="77777777" w:rsidR="00AE3F71" w:rsidRDefault="00F70F56">
            <w:pPr>
              <w:spacing w:line="254" w:lineRule="auto"/>
              <w:ind w:right="-40"/>
              <w:rPr>
                <w:b/>
                <w:sz w:val="28"/>
                <w:szCs w:val="28"/>
                <w:vertAlign w:val="baseline"/>
              </w:rPr>
            </w:pPr>
            <w:r>
              <w:rPr>
                <w:sz w:val="28"/>
                <w:szCs w:val="28"/>
                <w:vertAlign w:val="baseline"/>
              </w:rPr>
              <w:t xml:space="preserve">    No. R-23-0004</w:t>
            </w:r>
          </w:p>
          <w:p w14:paraId="00000013" w14:textId="77777777" w:rsidR="00AE3F71" w:rsidRDefault="00AE3F71">
            <w:pPr>
              <w:spacing w:line="254" w:lineRule="auto"/>
              <w:ind w:right="-40"/>
              <w:rPr>
                <w:b/>
                <w:sz w:val="28"/>
                <w:szCs w:val="28"/>
                <w:vertAlign w:val="baseline"/>
              </w:rPr>
            </w:pPr>
          </w:p>
          <w:p w14:paraId="00000014" w14:textId="77777777" w:rsidR="00AE3F71" w:rsidRDefault="00F70F56">
            <w:pPr>
              <w:ind w:left="248" w:right="-40"/>
              <w:rPr>
                <w:b/>
                <w:sz w:val="28"/>
                <w:szCs w:val="28"/>
                <w:vertAlign w:val="baseline"/>
              </w:rPr>
            </w:pPr>
            <w:r>
              <w:rPr>
                <w:sz w:val="28"/>
                <w:szCs w:val="28"/>
                <w:vertAlign w:val="baseline"/>
              </w:rPr>
              <w:t xml:space="preserve">Pinal County Public Defender Comment in Support of Petition to Amend to </w:t>
            </w:r>
            <w:bookmarkStart w:id="6" w:name="bookmark=id.2et92p0" w:colFirst="0" w:colLast="0"/>
            <w:bookmarkEnd w:id="6"/>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Ariz. R. Evid. 702</w:t>
            </w:r>
            <w:r>
              <w:rPr>
                <w:color w:val="0563C1"/>
                <w:sz w:val="28"/>
                <w:szCs w:val="28"/>
                <w:vertAlign w:val="baseline"/>
              </w:rPr>
              <w:fldChar w:fldCharType="end"/>
            </w:r>
            <w:bookmarkStart w:id="7" w:name="bookmark=id.tyjcwt" w:colFirst="0" w:colLast="0"/>
            <w:bookmarkEnd w:id="7"/>
          </w:p>
        </w:tc>
      </w:tr>
    </w:tbl>
    <w:p w14:paraId="00000015" w14:textId="77777777" w:rsidR="00AE3F71" w:rsidRDefault="00AE3F71">
      <w:pPr>
        <w:spacing w:line="480" w:lineRule="auto"/>
        <w:ind w:right="58"/>
        <w:jc w:val="both"/>
        <w:rPr>
          <w:sz w:val="28"/>
          <w:szCs w:val="28"/>
          <w:vertAlign w:val="baseline"/>
        </w:rPr>
      </w:pPr>
    </w:p>
    <w:p w14:paraId="00000016" w14:textId="0B0630E8" w:rsidR="00AE3F71" w:rsidRDefault="00F70F56">
      <w:pPr>
        <w:spacing w:line="480" w:lineRule="auto"/>
        <w:ind w:firstLine="720"/>
        <w:jc w:val="both"/>
        <w:rPr>
          <w:sz w:val="28"/>
          <w:szCs w:val="28"/>
          <w:vertAlign w:val="baseline"/>
        </w:rPr>
      </w:pPr>
      <w:r>
        <w:rPr>
          <w:sz w:val="28"/>
          <w:szCs w:val="28"/>
          <w:vertAlign w:val="baseline"/>
        </w:rPr>
        <w:t xml:space="preserve">Pursuant to </w:t>
      </w:r>
      <w:bookmarkStart w:id="8" w:name="bookmark=id.3dy6vkm" w:colFirst="0" w:colLast="0"/>
      <w:bookmarkEnd w:id="8"/>
      <w:r>
        <w:fldChar w:fldCharType="begin"/>
      </w:r>
      <w:r>
        <w:instrText xml:space="preserve"> HYPERLINK "https://www.westlaw.com/Document/NFC04BF0066DC11DCA632B52023A193A9/View/FullText.html?transitionType=Default&amp;contextData=(sc.Default)&amp;VR=3.0&amp;RS=da3.0" \h </w:instrText>
      </w:r>
      <w:r>
        <w:fldChar w:fldCharType="separate"/>
      </w:r>
      <w:r>
        <w:rPr>
          <w:color w:val="0563C1"/>
          <w:sz w:val="28"/>
          <w:szCs w:val="28"/>
          <w:vertAlign w:val="baseline"/>
        </w:rPr>
        <w:t>Rule 28(e) of the Arizona Supreme Court Rules</w:t>
      </w:r>
      <w:r>
        <w:rPr>
          <w:color w:val="0563C1"/>
          <w:sz w:val="28"/>
          <w:szCs w:val="28"/>
          <w:vertAlign w:val="baseline"/>
        </w:rPr>
        <w:fldChar w:fldCharType="end"/>
      </w:r>
      <w:bookmarkStart w:id="9" w:name="bookmark=id.1t3h5sf" w:colFirst="0" w:colLast="0"/>
      <w:bookmarkEnd w:id="9"/>
      <w:r>
        <w:rPr>
          <w:sz w:val="28"/>
          <w:szCs w:val="28"/>
          <w:vertAlign w:val="baseline"/>
        </w:rPr>
        <w:t xml:space="preserve">, the Pinal County Public Defender respectfully submits this comment supporting the adoption of the proposed amendment to </w:t>
      </w:r>
      <w:bookmarkStart w:id="10" w:name="bookmark=id.4d34og8" w:colFirst="0" w:colLast="0"/>
      <w:bookmarkEnd w:id="10"/>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 of the Arizona Rules of Evidence</w:t>
      </w:r>
      <w:r>
        <w:rPr>
          <w:color w:val="0563C1"/>
          <w:sz w:val="28"/>
          <w:szCs w:val="28"/>
          <w:vertAlign w:val="baseline"/>
        </w:rPr>
        <w:fldChar w:fldCharType="end"/>
      </w:r>
      <w:bookmarkStart w:id="11" w:name="bookmark=id.2s8eyo1" w:colFirst="0" w:colLast="0"/>
      <w:bookmarkEnd w:id="11"/>
      <w:r>
        <w:rPr>
          <w:sz w:val="28"/>
          <w:szCs w:val="28"/>
          <w:vertAlign w:val="baseline"/>
        </w:rPr>
        <w:t xml:space="preserve"> as written. Unreliable expert testimony is a top cause for wrongful convictions. </w:t>
      </w:r>
      <w:bookmarkStart w:id="12" w:name="bookmark=id.17dp8vu" w:colFirst="0" w:colLast="0"/>
      <w:bookmarkEnd w:id="12"/>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13" w:name="bookmark=id.3rdcrjn" w:colFirst="0" w:colLast="0"/>
      <w:bookmarkEnd w:id="13"/>
      <w:r>
        <w:rPr>
          <w:sz w:val="28"/>
          <w:szCs w:val="28"/>
          <w:vertAlign w:val="baseline"/>
        </w:rPr>
        <w:t xml:space="preserve"> is intended to require the preclusion of unreliable testimony. The proposed amendment clarifies the important gatekeeping function trial courts must play to ensure that unreliable expert witness testimony does no</w:t>
      </w:r>
      <w:r w:rsidR="00204092">
        <w:rPr>
          <w:sz w:val="28"/>
          <w:szCs w:val="28"/>
          <w:vertAlign w:val="baseline"/>
        </w:rPr>
        <w:t xml:space="preserve">t lead to unreliable verdicts. </w:t>
      </w:r>
      <w:r>
        <w:rPr>
          <w:sz w:val="28"/>
          <w:szCs w:val="28"/>
          <w:vertAlign w:val="baseline"/>
        </w:rPr>
        <w:t>This Court should embrace the proposal.</w:t>
      </w:r>
    </w:p>
    <w:p w14:paraId="00000017" w14:textId="77777777" w:rsidR="00AE3F71" w:rsidRDefault="00AE3F71">
      <w:pPr>
        <w:spacing w:line="480" w:lineRule="auto"/>
        <w:ind w:firstLine="720"/>
        <w:jc w:val="both"/>
        <w:rPr>
          <w:sz w:val="28"/>
          <w:szCs w:val="28"/>
          <w:vertAlign w:val="baseline"/>
        </w:rPr>
      </w:pPr>
    </w:p>
    <w:p w14:paraId="00000018" w14:textId="77777777" w:rsidR="00AE3F71" w:rsidRDefault="00F70F56">
      <w:pPr>
        <w:numPr>
          <w:ilvl w:val="0"/>
          <w:numId w:val="2"/>
        </w:numPr>
        <w:pBdr>
          <w:top w:val="nil"/>
          <w:left w:val="nil"/>
          <w:bottom w:val="nil"/>
          <w:right w:val="nil"/>
          <w:between w:val="nil"/>
        </w:pBdr>
        <w:spacing w:line="480" w:lineRule="auto"/>
        <w:jc w:val="both"/>
        <w:rPr>
          <w:b/>
          <w:color w:val="000000"/>
          <w:sz w:val="28"/>
          <w:szCs w:val="28"/>
          <w:vertAlign w:val="baseline"/>
        </w:rPr>
      </w:pPr>
      <w:r>
        <w:rPr>
          <w:b/>
          <w:color w:val="000000"/>
          <w:sz w:val="28"/>
          <w:szCs w:val="28"/>
          <w:vertAlign w:val="baseline"/>
        </w:rPr>
        <w:lastRenderedPageBreak/>
        <w:t>Pinal County Public Defender Interest Statement</w:t>
      </w:r>
    </w:p>
    <w:p w14:paraId="00000019" w14:textId="77777777" w:rsidR="00AE3F71" w:rsidRDefault="00F70F56">
      <w:pPr>
        <w:spacing w:before="240" w:after="240" w:line="480" w:lineRule="auto"/>
        <w:ind w:firstLine="720"/>
        <w:contextualSpacing/>
        <w:jc w:val="both"/>
        <w:rPr>
          <w:sz w:val="28"/>
          <w:szCs w:val="28"/>
          <w:vertAlign w:val="baseline"/>
        </w:rPr>
      </w:pPr>
      <w:r>
        <w:rPr>
          <w:sz w:val="28"/>
          <w:szCs w:val="28"/>
          <w:vertAlign w:val="baseline"/>
        </w:rPr>
        <w:t>The Pinal County Public Defender provides legal defense services to indigent adults and juveniles facing criminal charges and/or mental health commitments when appointed by the Pinal County Superior Court or a Justice Court within Pinal County. Our goal is to provide superior legal representation, safeguard fundamental individual rights, and ensure equal access to the protections afforded by the United States Constitution, the Arizona Constitution, and the laws of Arizona.</w:t>
      </w:r>
    </w:p>
    <w:p w14:paraId="0000001A" w14:textId="77777777" w:rsidR="00AE3F71" w:rsidRDefault="00F70F56">
      <w:pPr>
        <w:pBdr>
          <w:top w:val="nil"/>
          <w:left w:val="nil"/>
          <w:bottom w:val="nil"/>
          <w:right w:val="nil"/>
          <w:between w:val="nil"/>
        </w:pBdr>
        <w:spacing w:line="480" w:lineRule="auto"/>
        <w:jc w:val="both"/>
        <w:rPr>
          <w:sz w:val="28"/>
          <w:szCs w:val="28"/>
          <w:vertAlign w:val="baseline"/>
        </w:rPr>
      </w:pPr>
      <w:r>
        <w:rPr>
          <w:b/>
          <w:sz w:val="28"/>
          <w:szCs w:val="28"/>
          <w:vertAlign w:val="baseline"/>
        </w:rPr>
        <w:tab/>
      </w:r>
      <w:r>
        <w:rPr>
          <w:sz w:val="28"/>
          <w:szCs w:val="28"/>
          <w:vertAlign w:val="baseline"/>
        </w:rPr>
        <w:t xml:space="preserve">The Pinal County Public Defender supports the proposed amendments to </w:t>
      </w:r>
      <w:bookmarkStart w:id="14" w:name="bookmark=id.26in1rg" w:colFirst="0" w:colLast="0"/>
      <w:bookmarkEnd w:id="14"/>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15" w:name="bookmark=id.lnxbz9" w:colFirst="0" w:colLast="0"/>
      <w:bookmarkEnd w:id="15"/>
      <w:r>
        <w:rPr>
          <w:sz w:val="28"/>
          <w:szCs w:val="28"/>
          <w:vertAlign w:val="baseline"/>
        </w:rPr>
        <w:t xml:space="preserve"> because unreliable and misleading forensic expert testimony is a leading cause of wrongful criminal convictions. The proposed amendments clarify existing law that requires trial judges to carry out a gatekeeping function to keep unreliable expert testimony from reaching the jury. By clarifying the burden of proof the proponent bears and the requirement that expert opinions be conveyed in an accurate and reliable manner to the jury, the amendments will promote confidence in the criminal justice system and reduce the likelihood of wrongful convictions. </w:t>
      </w:r>
    </w:p>
    <w:p w14:paraId="4B0B38A3" w14:textId="77777777" w:rsidR="004077A2" w:rsidRDefault="004077A2">
      <w:pPr>
        <w:pBdr>
          <w:top w:val="nil"/>
          <w:left w:val="nil"/>
          <w:bottom w:val="nil"/>
          <w:right w:val="nil"/>
          <w:between w:val="nil"/>
        </w:pBdr>
        <w:spacing w:line="480" w:lineRule="auto"/>
        <w:jc w:val="both"/>
        <w:rPr>
          <w:sz w:val="28"/>
          <w:szCs w:val="28"/>
          <w:vertAlign w:val="baseline"/>
        </w:rPr>
      </w:pPr>
    </w:p>
    <w:p w14:paraId="0000001E" w14:textId="77777777" w:rsidR="00AE3F71" w:rsidRDefault="00F70F56">
      <w:pPr>
        <w:numPr>
          <w:ilvl w:val="0"/>
          <w:numId w:val="2"/>
        </w:numPr>
        <w:pBdr>
          <w:top w:val="nil"/>
          <w:left w:val="nil"/>
          <w:bottom w:val="nil"/>
          <w:right w:val="nil"/>
          <w:between w:val="nil"/>
        </w:pBdr>
        <w:jc w:val="both"/>
        <w:rPr>
          <w:b/>
          <w:color w:val="000000"/>
          <w:sz w:val="28"/>
          <w:szCs w:val="28"/>
          <w:vertAlign w:val="baseline"/>
        </w:rPr>
      </w:pPr>
      <w:r>
        <w:rPr>
          <w:b/>
          <w:sz w:val="28"/>
          <w:szCs w:val="28"/>
          <w:vertAlign w:val="baseline"/>
        </w:rPr>
        <w:t>The proposed amendment will encourage trial courts to more carefully carry out their gatekeeping function in assessing the admissibility of expert testimony.</w:t>
      </w:r>
    </w:p>
    <w:p w14:paraId="0000001F" w14:textId="77777777" w:rsidR="00AE3F71" w:rsidRDefault="00AE3F71">
      <w:pPr>
        <w:pBdr>
          <w:top w:val="nil"/>
          <w:left w:val="nil"/>
          <w:bottom w:val="nil"/>
          <w:right w:val="nil"/>
          <w:between w:val="nil"/>
        </w:pBdr>
        <w:ind w:left="1080"/>
        <w:jc w:val="both"/>
        <w:rPr>
          <w:b/>
          <w:sz w:val="28"/>
          <w:szCs w:val="28"/>
          <w:vertAlign w:val="baseline"/>
        </w:rPr>
      </w:pPr>
    </w:p>
    <w:p w14:paraId="00000020" w14:textId="77777777" w:rsidR="00AE3F71" w:rsidRDefault="00F70F56">
      <w:pPr>
        <w:pBdr>
          <w:top w:val="nil"/>
          <w:left w:val="nil"/>
          <w:bottom w:val="nil"/>
          <w:right w:val="nil"/>
          <w:between w:val="nil"/>
        </w:pBdr>
        <w:spacing w:line="480" w:lineRule="auto"/>
        <w:ind w:firstLine="720"/>
        <w:jc w:val="both"/>
        <w:rPr>
          <w:sz w:val="28"/>
          <w:szCs w:val="28"/>
          <w:vertAlign w:val="baseline"/>
        </w:rPr>
      </w:pPr>
      <w:r>
        <w:rPr>
          <w:sz w:val="28"/>
          <w:szCs w:val="28"/>
          <w:vertAlign w:val="baseline"/>
        </w:rPr>
        <w:t xml:space="preserve">The Petition aptly demonstrates that </w:t>
      </w:r>
      <w:bookmarkStart w:id="16" w:name="bookmark=id.35nkun2" w:colFirst="0" w:colLast="0"/>
      <w:bookmarkEnd w:id="16"/>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17" w:name="bookmark=id.1ksv4uv" w:colFirst="0" w:colLast="0"/>
      <w:bookmarkEnd w:id="17"/>
      <w:r>
        <w:rPr>
          <w:sz w:val="28"/>
          <w:szCs w:val="28"/>
          <w:vertAlign w:val="baseline"/>
        </w:rPr>
        <w:t xml:space="preserve"> needs restyled to ensure that trial judges carefully assert their gatekeeping function to preclude unreliable expert </w:t>
      </w:r>
      <w:r>
        <w:rPr>
          <w:sz w:val="28"/>
          <w:szCs w:val="28"/>
          <w:vertAlign w:val="baseline"/>
        </w:rPr>
        <w:lastRenderedPageBreak/>
        <w:t xml:space="preserve">testimony. The admission of unreliable expert testimony in criminal cases has dire consequences. Unreliable expert testimony—forensic expert testimony especially— is a leading cause of wrongful convictions. </w:t>
      </w:r>
    </w:p>
    <w:p w14:paraId="00000021" w14:textId="77777777" w:rsidR="00AE3F71" w:rsidRDefault="00F70F56">
      <w:pPr>
        <w:pBdr>
          <w:top w:val="nil"/>
          <w:left w:val="nil"/>
          <w:bottom w:val="nil"/>
          <w:right w:val="nil"/>
          <w:between w:val="nil"/>
        </w:pBdr>
        <w:spacing w:line="480" w:lineRule="auto"/>
        <w:ind w:firstLine="720"/>
        <w:jc w:val="both"/>
        <w:rPr>
          <w:sz w:val="28"/>
          <w:szCs w:val="28"/>
          <w:vertAlign w:val="baseline"/>
        </w:rPr>
      </w:pPr>
      <w:r>
        <w:rPr>
          <w:sz w:val="28"/>
          <w:szCs w:val="28"/>
          <w:vertAlign w:val="baseline"/>
        </w:rPr>
        <w:t xml:space="preserve">Unfortunately, the federal trend of judges deeming unreliable expert testimony admissible but subject to weighing considerations by juries also exists in Arizona state courts. The result is that </w:t>
      </w:r>
      <w:bookmarkStart w:id="18" w:name="bookmark=id.44sinio" w:colFirst="0" w:colLast="0"/>
      <w:bookmarkEnd w:id="18"/>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19" w:name="bookmark=id.2jxsxqh" w:colFirst="0" w:colLast="0"/>
      <w:bookmarkEnd w:id="19"/>
      <w:r>
        <w:rPr>
          <w:sz w:val="28"/>
          <w:szCs w:val="28"/>
          <w:vertAlign w:val="baseline"/>
        </w:rPr>
        <w:t>’s “exacting standards of reliability”</w:t>
      </w:r>
      <w:r>
        <w:rPr>
          <w:sz w:val="28"/>
          <w:szCs w:val="28"/>
        </w:rPr>
        <w:footnoteReference w:id="1"/>
      </w:r>
      <w:r>
        <w:rPr>
          <w:sz w:val="28"/>
          <w:szCs w:val="28"/>
          <w:vertAlign w:val="baseline"/>
        </w:rPr>
        <w:t xml:space="preserve"> are not uniformly implemented. </w:t>
      </w:r>
    </w:p>
    <w:p w14:paraId="00000022" w14:textId="77777777" w:rsidR="00AE3F71" w:rsidRDefault="00F70F56">
      <w:pPr>
        <w:pBdr>
          <w:top w:val="nil"/>
          <w:left w:val="nil"/>
          <w:bottom w:val="nil"/>
          <w:right w:val="nil"/>
          <w:between w:val="nil"/>
        </w:pBdr>
        <w:spacing w:line="480" w:lineRule="auto"/>
        <w:ind w:firstLine="720"/>
        <w:jc w:val="both"/>
        <w:rPr>
          <w:sz w:val="28"/>
          <w:szCs w:val="28"/>
          <w:vertAlign w:val="baseline"/>
        </w:rPr>
      </w:pPr>
      <w:r>
        <w:rPr>
          <w:sz w:val="28"/>
          <w:szCs w:val="28"/>
          <w:vertAlign w:val="baseline"/>
        </w:rPr>
        <w:t xml:space="preserve">This Court should take the corrective action outlined in the Petition and adopt the proposal as written. </w:t>
      </w:r>
    </w:p>
    <w:p w14:paraId="00000023" w14:textId="77777777" w:rsidR="00AE3F71" w:rsidRDefault="00F70F56">
      <w:pPr>
        <w:numPr>
          <w:ilvl w:val="0"/>
          <w:numId w:val="3"/>
        </w:numPr>
        <w:pBdr>
          <w:top w:val="nil"/>
          <w:left w:val="nil"/>
          <w:bottom w:val="nil"/>
          <w:right w:val="nil"/>
          <w:between w:val="nil"/>
        </w:pBdr>
        <w:jc w:val="both"/>
        <w:rPr>
          <w:b/>
          <w:sz w:val="28"/>
          <w:szCs w:val="28"/>
          <w:vertAlign w:val="baseline"/>
        </w:rPr>
      </w:pPr>
      <w:r>
        <w:rPr>
          <w:b/>
          <w:sz w:val="28"/>
          <w:szCs w:val="28"/>
          <w:vertAlign w:val="baseline"/>
        </w:rPr>
        <w:t xml:space="preserve">Unreliable forensic expert testimony leads to wrongful convictions. </w:t>
      </w:r>
    </w:p>
    <w:p w14:paraId="00000024" w14:textId="77777777" w:rsidR="00AE3F71" w:rsidRDefault="00AE3F71">
      <w:pPr>
        <w:pBdr>
          <w:top w:val="nil"/>
          <w:left w:val="nil"/>
          <w:bottom w:val="nil"/>
          <w:right w:val="nil"/>
          <w:between w:val="nil"/>
        </w:pBdr>
        <w:jc w:val="both"/>
        <w:rPr>
          <w:b/>
          <w:sz w:val="28"/>
          <w:szCs w:val="28"/>
          <w:vertAlign w:val="baseline"/>
        </w:rPr>
      </w:pPr>
    </w:p>
    <w:p w14:paraId="00000025" w14:textId="7B3AD418" w:rsidR="00AE3F71" w:rsidRPr="00204092" w:rsidRDefault="00F70F56">
      <w:pPr>
        <w:spacing w:line="480" w:lineRule="auto"/>
        <w:ind w:firstLine="720"/>
        <w:jc w:val="both"/>
        <w:rPr>
          <w:sz w:val="28"/>
          <w:szCs w:val="28"/>
          <w:highlight w:val="white"/>
          <w:vertAlign w:val="baseline"/>
        </w:rPr>
      </w:pPr>
      <w:r>
        <w:rPr>
          <w:sz w:val="28"/>
          <w:szCs w:val="28"/>
          <w:vertAlign w:val="baseline"/>
        </w:rPr>
        <w:t xml:space="preserve">It is well established that unreliable forensic expert testimony leads to wrongful criminal convictions. </w:t>
      </w:r>
      <w:r>
        <w:rPr>
          <w:i/>
          <w:sz w:val="28"/>
          <w:szCs w:val="28"/>
          <w:vertAlign w:val="baseline"/>
        </w:rPr>
        <w:t>See</w:t>
      </w:r>
      <w:r>
        <w:rPr>
          <w:sz w:val="28"/>
          <w:szCs w:val="28"/>
          <w:vertAlign w:val="baseline"/>
        </w:rPr>
        <w:t xml:space="preserve"> Jim Hilbert, </w:t>
      </w:r>
      <w:bookmarkStart w:id="22" w:name="bookmark=id.z337ya" w:colFirst="0" w:colLast="0"/>
      <w:bookmarkEnd w:id="22"/>
      <w:r>
        <w:fldChar w:fldCharType="begin"/>
      </w:r>
      <w:r>
        <w:instrText xml:space="preserve"> HYPERLINK "https://www.westlaw.com/Document/I65b1522730f911e99687ad62ac048e9b/View/FullText.html?transitionType=Default&amp;contextData=(sc.Default)&amp;VR=3.0&amp;RS=da3.0&amp;fragmentIdentifier=co_pp_sp_1218_762" \h </w:instrText>
      </w:r>
      <w:r>
        <w:fldChar w:fldCharType="separate"/>
      </w:r>
      <w:r>
        <w:rPr>
          <w:i/>
          <w:color w:val="0563C1"/>
          <w:sz w:val="28"/>
          <w:szCs w:val="28"/>
          <w:vertAlign w:val="baseline"/>
        </w:rPr>
        <w:t>The Disappointing History of Science in the Courtroom: Frye, Daubert, and the Ongoing Crisis of "Junk Science" in Criminal Trials</w:t>
      </w:r>
      <w:r>
        <w:rPr>
          <w:i/>
          <w:color w:val="0563C1"/>
          <w:sz w:val="28"/>
          <w:szCs w:val="28"/>
          <w:vertAlign w:val="baseline"/>
        </w:rPr>
        <w:fldChar w:fldCharType="end"/>
      </w:r>
      <w:hyperlink r:id="rId8">
        <w:r>
          <w:rPr>
            <w:color w:val="0563C1"/>
            <w:sz w:val="28"/>
            <w:szCs w:val="28"/>
            <w:vertAlign w:val="baseline"/>
          </w:rPr>
          <w:t>, 71 Okla. L. Rev. 759, 762 (2019)</w:t>
        </w:r>
      </w:hyperlink>
      <w:bookmarkStart w:id="23" w:name="bookmark=id.3j2qqm3" w:colFirst="0" w:colLast="0"/>
      <w:bookmarkEnd w:id="23"/>
      <w:r>
        <w:rPr>
          <w:sz w:val="28"/>
          <w:szCs w:val="28"/>
          <w:vertAlign w:val="baseline"/>
        </w:rPr>
        <w:t xml:space="preserve">; </w:t>
      </w:r>
      <w:r>
        <w:rPr>
          <w:sz w:val="28"/>
          <w:szCs w:val="28"/>
          <w:highlight w:val="white"/>
          <w:vertAlign w:val="baseline"/>
        </w:rPr>
        <w:t>Cynthia E. Jones, </w:t>
      </w:r>
      <w:bookmarkStart w:id="24" w:name="bookmark=id.1y810tw" w:colFirst="0" w:colLast="0"/>
      <w:bookmarkEnd w:id="24"/>
      <w:r>
        <w:fldChar w:fldCharType="begin"/>
      </w:r>
      <w:r>
        <w:instrText xml:space="preserve"> HYPERLINK "https://www.westlaw.com/Document/Ia1db9fb40de011e89bf099c0ee06c731/View/FullText.html?transitionType=Default&amp;contextData=(sc.Default)&amp;VR=3.0&amp;RS=da3.0&amp;fragmentIdentifier=co_pp_sp_1160_118" \h </w:instrText>
      </w:r>
      <w:r>
        <w:fldChar w:fldCharType="separate"/>
      </w:r>
      <w:r>
        <w:rPr>
          <w:i/>
          <w:color w:val="0563C1"/>
          <w:sz w:val="28"/>
          <w:szCs w:val="28"/>
          <w:highlight w:val="white"/>
          <w:vertAlign w:val="baseline"/>
        </w:rPr>
        <w:t>Here Comes the Judge: A Model for Judicial Oversight and Regulations of the Brady Disclosure Duty</w:t>
      </w:r>
      <w:r>
        <w:rPr>
          <w:i/>
          <w:color w:val="0563C1"/>
          <w:sz w:val="28"/>
          <w:szCs w:val="28"/>
          <w:highlight w:val="white"/>
          <w:vertAlign w:val="baseline"/>
        </w:rPr>
        <w:fldChar w:fldCharType="end"/>
      </w:r>
      <w:hyperlink r:id="rId9">
        <w:r>
          <w:rPr>
            <w:color w:val="0563C1"/>
            <w:sz w:val="28"/>
            <w:szCs w:val="28"/>
            <w:highlight w:val="white"/>
            <w:vertAlign w:val="baseline"/>
          </w:rPr>
          <w:t>, 46 Hofstra L. Rev. 87, 118 (2017)</w:t>
        </w:r>
      </w:hyperlink>
      <w:bookmarkStart w:id="25" w:name="bookmark=id.4i7ojhp" w:colFirst="0" w:colLast="0"/>
      <w:bookmarkEnd w:id="25"/>
      <w:r>
        <w:rPr>
          <w:sz w:val="28"/>
          <w:szCs w:val="28"/>
          <w:highlight w:val="white"/>
          <w:vertAlign w:val="baseline"/>
        </w:rPr>
        <w:t xml:space="preserve"> (“Nearly 50% of the first 300 DNA-based exonerations of the Innocence Project involved inaccurate forensic science </w:t>
      </w:r>
      <w:r>
        <w:rPr>
          <w:sz w:val="28"/>
          <w:szCs w:val="28"/>
          <w:highlight w:val="white"/>
          <w:vertAlign w:val="baseline"/>
        </w:rPr>
        <w:lastRenderedPageBreak/>
        <w:t>testimony.”) (citing Paul C. Giannelli, </w:t>
      </w:r>
      <w:hyperlink r:id="rId10" w:history="1">
        <w:r w:rsidRPr="00204092">
          <w:rPr>
            <w:rStyle w:val="Hyperlink"/>
            <w:i/>
            <w:sz w:val="28"/>
            <w:szCs w:val="28"/>
            <w:highlight w:val="white"/>
            <w:u w:val="none"/>
            <w:vertAlign w:val="baseline"/>
          </w:rPr>
          <w:t>Wrongful Convictions and Forensic Science: The Need to Regulate Crime Labs</w:t>
        </w:r>
        <w:r w:rsidRPr="00204092">
          <w:rPr>
            <w:rStyle w:val="Hyperlink"/>
            <w:sz w:val="28"/>
            <w:szCs w:val="28"/>
            <w:highlight w:val="white"/>
            <w:u w:val="none"/>
            <w:vertAlign w:val="baseline"/>
          </w:rPr>
          <w:t>, 86 </w:t>
        </w:r>
        <w:r w:rsidR="00204092" w:rsidRPr="00204092">
          <w:rPr>
            <w:rStyle w:val="Hyperlink"/>
            <w:sz w:val="28"/>
            <w:szCs w:val="28"/>
            <w:highlight w:val="white"/>
            <w:u w:val="none"/>
            <w:vertAlign w:val="baseline"/>
          </w:rPr>
          <w:t xml:space="preserve">NCLR </w:t>
        </w:r>
        <w:r w:rsidRPr="00204092">
          <w:rPr>
            <w:rStyle w:val="Hyperlink"/>
            <w:sz w:val="28"/>
            <w:szCs w:val="28"/>
            <w:highlight w:val="white"/>
            <w:u w:val="none"/>
            <w:vertAlign w:val="baseline"/>
          </w:rPr>
          <w:t>163, 172-96 (2007).</w:t>
        </w:r>
      </w:hyperlink>
      <w:r w:rsidRPr="00204092">
        <w:rPr>
          <w:sz w:val="28"/>
          <w:szCs w:val="28"/>
          <w:highlight w:val="white"/>
          <w:vertAlign w:val="baseline"/>
        </w:rPr>
        <w:t xml:space="preserve"> </w:t>
      </w:r>
    </w:p>
    <w:p w14:paraId="00000026" w14:textId="77777777" w:rsidR="00AE3F71" w:rsidRDefault="00F70F56">
      <w:pPr>
        <w:spacing w:line="480" w:lineRule="auto"/>
        <w:ind w:firstLine="720"/>
        <w:jc w:val="both"/>
        <w:rPr>
          <w:sz w:val="28"/>
          <w:szCs w:val="28"/>
          <w:highlight w:val="white"/>
          <w:vertAlign w:val="baseline"/>
        </w:rPr>
      </w:pPr>
      <w:r>
        <w:rPr>
          <w:sz w:val="28"/>
          <w:szCs w:val="28"/>
          <w:highlight w:val="white"/>
          <w:vertAlign w:val="baseline"/>
        </w:rPr>
        <w:t xml:space="preserve">More than a decade has passed since the National Academy of Sciences issued a report calling into question the reliability of all forensic expert testimony unrelated to DNA science. </w:t>
      </w:r>
      <w:r>
        <w:rPr>
          <w:i/>
          <w:sz w:val="28"/>
          <w:szCs w:val="28"/>
          <w:highlight w:val="white"/>
          <w:vertAlign w:val="baseline"/>
        </w:rPr>
        <w:t xml:space="preserve">See </w:t>
      </w:r>
      <w:hyperlink r:id="rId11">
        <w:r>
          <w:rPr>
            <w:color w:val="4472C4"/>
            <w:sz w:val="28"/>
            <w:szCs w:val="28"/>
            <w:highlight w:val="white"/>
            <w:vertAlign w:val="baseline"/>
          </w:rPr>
          <w:t>Strengthening Forensic Science in the United States: A Path Forward, Commission on Identifying the Needs of the Forensic Science Community, National Research Council at 7 (2009).</w:t>
        </w:r>
      </w:hyperlink>
      <w:r>
        <w:rPr>
          <w:color w:val="4472C4"/>
          <w:sz w:val="28"/>
          <w:szCs w:val="28"/>
          <w:highlight w:val="white"/>
          <w:vertAlign w:val="baseline"/>
        </w:rPr>
        <w:t xml:space="preserve"> </w:t>
      </w:r>
      <w:r>
        <w:rPr>
          <w:sz w:val="28"/>
          <w:szCs w:val="28"/>
          <w:highlight w:val="white"/>
          <w:vertAlign w:val="baseline"/>
        </w:rPr>
        <w:t xml:space="preserve">Despite the unreliability of much of forensic science, the same report noted that judges routinely admit the evidence without requiring the prosecution to establish that the expert evidence is reliable. </w:t>
      </w:r>
      <w:hyperlink r:id="rId12">
        <w:r>
          <w:rPr>
            <w:i/>
            <w:color w:val="0563C1"/>
            <w:sz w:val="28"/>
            <w:szCs w:val="28"/>
            <w:highlight w:val="white"/>
            <w:vertAlign w:val="baseline"/>
          </w:rPr>
          <w:t>Id</w:t>
        </w:r>
      </w:hyperlink>
      <w:r>
        <w:rPr>
          <w:i/>
          <w:sz w:val="28"/>
          <w:szCs w:val="28"/>
          <w:highlight w:val="white"/>
          <w:vertAlign w:val="baseline"/>
        </w:rPr>
        <w:t>.</w:t>
      </w:r>
      <w:r>
        <w:rPr>
          <w:sz w:val="28"/>
          <w:szCs w:val="28"/>
          <w:highlight w:val="white"/>
          <w:vertAlign w:val="baseline"/>
        </w:rPr>
        <w:t xml:space="preserve"> at 11-12. </w:t>
      </w:r>
    </w:p>
    <w:p w14:paraId="00000027" w14:textId="77777777" w:rsidR="00AE3F71" w:rsidRDefault="00F70F56" w:rsidP="00204092">
      <w:pPr>
        <w:spacing w:line="480" w:lineRule="auto"/>
        <w:ind w:firstLine="720"/>
        <w:jc w:val="both"/>
        <w:rPr>
          <w:color w:val="000000"/>
          <w:sz w:val="28"/>
          <w:szCs w:val="28"/>
          <w:vertAlign w:val="baseline"/>
        </w:rPr>
      </w:pPr>
      <w:r>
        <w:rPr>
          <w:sz w:val="28"/>
          <w:szCs w:val="28"/>
          <w:highlight w:val="white"/>
          <w:vertAlign w:val="baseline"/>
        </w:rPr>
        <w:t xml:space="preserve">Even after the NAS Report exposed the unreliability of much of forensic science, courts are loathe to critically assess the reliability of forensic expert testimony before admitting it. </w:t>
      </w:r>
      <w:r>
        <w:rPr>
          <w:i/>
          <w:sz w:val="28"/>
          <w:szCs w:val="28"/>
          <w:highlight w:val="white"/>
          <w:vertAlign w:val="baseline"/>
        </w:rPr>
        <w:t>See</w:t>
      </w:r>
      <w:r>
        <w:rPr>
          <w:sz w:val="28"/>
          <w:szCs w:val="28"/>
          <w:highlight w:val="white"/>
          <w:vertAlign w:val="baseline"/>
        </w:rPr>
        <w:t xml:space="preserve"> </w:t>
      </w:r>
      <w:r>
        <w:rPr>
          <w:color w:val="000000"/>
          <w:sz w:val="28"/>
          <w:szCs w:val="28"/>
          <w:vertAlign w:val="baseline"/>
        </w:rPr>
        <w:t>Professor Jules Epstein, </w:t>
      </w:r>
      <w:bookmarkStart w:id="26" w:name="bookmark=id.2xcytpi" w:colFirst="0" w:colLast="0"/>
      <w:bookmarkEnd w:id="26"/>
      <w:r>
        <w:fldChar w:fldCharType="begin"/>
      </w:r>
      <w:r>
        <w:instrText xml:space="preserve"> HYPERLINK "https://www.westlaw.com/Document/Ib33c052dcc3311e398db8b09b4f043e0/View/FullText.html?transitionType=Default&amp;contextData=(sc.Default)&amp;VR=3.0&amp;RS=da3.0&amp;fragmentIdentifier=co_pp_sp_166570_101" \h </w:instrText>
      </w:r>
      <w:r>
        <w:fldChar w:fldCharType="separate"/>
      </w:r>
      <w:r>
        <w:rPr>
          <w:i/>
          <w:color w:val="0563C1"/>
          <w:sz w:val="28"/>
          <w:szCs w:val="28"/>
          <w:vertAlign w:val="baseline"/>
        </w:rPr>
        <w:t>Preferring the "Wise Man" to Science: The Failure of Courts and Non-Litigation Mechanisms to Demand Validity in Forensic Matching Testimony</w:t>
      </w:r>
      <w:r>
        <w:rPr>
          <w:i/>
          <w:color w:val="0563C1"/>
          <w:sz w:val="28"/>
          <w:szCs w:val="28"/>
          <w:vertAlign w:val="baseline"/>
        </w:rPr>
        <w:fldChar w:fldCharType="end"/>
      </w:r>
      <w:hyperlink r:id="rId13">
        <w:r>
          <w:rPr>
            <w:color w:val="0563C1"/>
            <w:sz w:val="28"/>
            <w:szCs w:val="28"/>
            <w:vertAlign w:val="baseline"/>
          </w:rPr>
          <w:t>, 20 Widener L. Rev. 81, 101 (2014)</w:t>
        </w:r>
      </w:hyperlink>
      <w:bookmarkStart w:id="27" w:name="bookmark=id.1ci93xb" w:colFirst="0" w:colLast="0"/>
      <w:bookmarkEnd w:id="27"/>
      <w:r>
        <w:rPr>
          <w:color w:val="000000"/>
          <w:sz w:val="28"/>
          <w:szCs w:val="28"/>
          <w:vertAlign w:val="baseline"/>
        </w:rPr>
        <w:t xml:space="preserve">. </w:t>
      </w:r>
    </w:p>
    <w:p w14:paraId="00000028" w14:textId="77777777" w:rsidR="00AE3F71" w:rsidRDefault="00F70F56">
      <w:pPr>
        <w:spacing w:line="480" w:lineRule="auto"/>
        <w:ind w:firstLine="720"/>
        <w:jc w:val="both"/>
        <w:rPr>
          <w:color w:val="000000"/>
          <w:sz w:val="28"/>
          <w:szCs w:val="28"/>
          <w:vertAlign w:val="baseline"/>
        </w:rPr>
      </w:pPr>
      <w:r>
        <w:rPr>
          <w:color w:val="000000"/>
          <w:sz w:val="28"/>
          <w:szCs w:val="28"/>
          <w:vertAlign w:val="baseline"/>
        </w:rPr>
        <w:t>The result is that the “</w:t>
      </w:r>
      <w:r>
        <w:rPr>
          <w:color w:val="000000"/>
          <w:sz w:val="28"/>
          <w:szCs w:val="28"/>
          <w:highlight w:val="white"/>
          <w:vertAlign w:val="baseline"/>
        </w:rPr>
        <w:t xml:space="preserve">current system is failing to protect defendants against false forensic testimony, because science is fundamentally irreconcilable with the bias inherent in partisan experts.” </w:t>
      </w:r>
      <w:r>
        <w:rPr>
          <w:color w:val="000000"/>
          <w:sz w:val="28"/>
          <w:szCs w:val="28"/>
          <w:vertAlign w:val="baseline"/>
        </w:rPr>
        <w:t>Kayla Marie Mannucci, </w:t>
      </w:r>
      <w:bookmarkStart w:id="28" w:name="bookmark=id.3whwml4" w:colFirst="0" w:colLast="0"/>
      <w:bookmarkEnd w:id="28"/>
      <w:r>
        <w:fldChar w:fldCharType="begin"/>
      </w:r>
      <w:r>
        <w:instrText xml:space="preserve"> HYPERLINK "https://www.westlaw.com/Document/I52510d4a80fb11e8a5b3e3d9e23d7429/View/FullText.html?transitionType=Default&amp;contextData=(sc.Default)&amp;VR=3.0&amp;RS=da3.0&amp;fragmentIdentifier=co_pp_sp_1441_1974" \h </w:instrText>
      </w:r>
      <w:r>
        <w:fldChar w:fldCharType="separate"/>
      </w:r>
      <w:r>
        <w:rPr>
          <w:i/>
          <w:color w:val="0563C1"/>
          <w:sz w:val="28"/>
          <w:szCs w:val="28"/>
          <w:vertAlign w:val="baseline"/>
        </w:rPr>
        <w:t>Framed by Forensics: Fulfilling Daubert's Gatekeeping Function by Segregating Science from the Adversarial Model</w:t>
      </w:r>
      <w:r>
        <w:rPr>
          <w:i/>
          <w:color w:val="0563C1"/>
          <w:sz w:val="28"/>
          <w:szCs w:val="28"/>
          <w:vertAlign w:val="baseline"/>
        </w:rPr>
        <w:fldChar w:fldCharType="end"/>
      </w:r>
      <w:hyperlink r:id="rId14">
        <w:r>
          <w:rPr>
            <w:color w:val="0563C1"/>
            <w:sz w:val="28"/>
            <w:szCs w:val="28"/>
            <w:vertAlign w:val="baseline"/>
          </w:rPr>
          <w:t>, 39 Cardozo L. Rev. 1947, 1974 (2018)</w:t>
        </w:r>
      </w:hyperlink>
      <w:bookmarkStart w:id="29" w:name="bookmark=id.2bn6wsx" w:colFirst="0" w:colLast="0"/>
      <w:bookmarkEnd w:id="29"/>
      <w:r>
        <w:rPr>
          <w:color w:val="000000"/>
          <w:sz w:val="28"/>
          <w:szCs w:val="28"/>
          <w:vertAlign w:val="baseline"/>
        </w:rPr>
        <w:t xml:space="preserve">. </w:t>
      </w:r>
    </w:p>
    <w:p w14:paraId="00000029" w14:textId="77777777" w:rsidR="00AE3F71" w:rsidRDefault="00F70F56">
      <w:pPr>
        <w:spacing w:line="480" w:lineRule="auto"/>
        <w:ind w:firstLine="720"/>
        <w:jc w:val="both"/>
        <w:rPr>
          <w:color w:val="000000"/>
          <w:sz w:val="28"/>
          <w:szCs w:val="28"/>
          <w:vertAlign w:val="baseline"/>
        </w:rPr>
      </w:pPr>
      <w:r>
        <w:rPr>
          <w:color w:val="000000"/>
          <w:sz w:val="28"/>
          <w:szCs w:val="28"/>
          <w:vertAlign w:val="baseline"/>
        </w:rPr>
        <w:lastRenderedPageBreak/>
        <w:t xml:space="preserve">The first and simplest step this Court can take to address this systemic problem is to restyle </w:t>
      </w:r>
      <w:bookmarkStart w:id="30" w:name="bookmark=id.qsh70q" w:colFirst="0" w:colLast="0"/>
      <w:bookmarkEnd w:id="30"/>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31" w:name="bookmark=id.3as4poj" w:colFirst="0" w:colLast="0"/>
      <w:bookmarkEnd w:id="31"/>
      <w:r>
        <w:rPr>
          <w:color w:val="000000"/>
          <w:sz w:val="28"/>
          <w:szCs w:val="28"/>
          <w:vertAlign w:val="baseline"/>
        </w:rPr>
        <w:t xml:space="preserve"> to encourage trial judges to perform their gatekeeping duty to preclude the admission of unreliable expert testimony. </w:t>
      </w:r>
      <w:r>
        <w:rPr>
          <w:i/>
          <w:color w:val="000000"/>
          <w:sz w:val="28"/>
          <w:szCs w:val="28"/>
          <w:vertAlign w:val="baseline"/>
        </w:rPr>
        <w:t>See</w:t>
      </w:r>
      <w:r>
        <w:rPr>
          <w:color w:val="000000"/>
          <w:sz w:val="28"/>
          <w:szCs w:val="28"/>
          <w:vertAlign w:val="baseline"/>
        </w:rPr>
        <w:t xml:space="preserve"> Stephanie L. Damon-Moore, </w:t>
      </w:r>
      <w:bookmarkStart w:id="32" w:name="bookmark=id.1pxezwc" w:colFirst="0" w:colLast="0"/>
      <w:bookmarkEnd w:id="32"/>
      <w:r>
        <w:fldChar w:fldCharType="begin"/>
      </w:r>
      <w:r>
        <w:instrText xml:space="preserve"> HYPERLINK "https://www.westlaw.com/Document/Ib3c06091d3c011e79bef99c0ee06c731/View/FullText.html?transitionType=Default&amp;contextData=(sc.Default)&amp;VR=3.0&amp;RS=da3.0&amp;fragmentIdentifier=co_pp_sp_1206_1567" \h </w:instrText>
      </w:r>
      <w:r>
        <w:fldChar w:fldCharType="separate"/>
      </w:r>
      <w:r>
        <w:rPr>
          <w:i/>
          <w:color w:val="0563C1"/>
          <w:sz w:val="28"/>
          <w:szCs w:val="28"/>
          <w:vertAlign w:val="baseline"/>
        </w:rPr>
        <w:t>Trial Judges and the Forensic Science Problem</w:t>
      </w:r>
      <w:r>
        <w:rPr>
          <w:i/>
          <w:color w:val="0563C1"/>
          <w:sz w:val="28"/>
          <w:szCs w:val="28"/>
          <w:vertAlign w:val="baseline"/>
        </w:rPr>
        <w:fldChar w:fldCharType="end"/>
      </w:r>
      <w:hyperlink r:id="rId15">
        <w:r>
          <w:rPr>
            <w:color w:val="0563C1"/>
            <w:sz w:val="28"/>
            <w:szCs w:val="28"/>
            <w:vertAlign w:val="baseline"/>
          </w:rPr>
          <w:t>, 92 N.Y.U.L. Rev. 1532, 1567-70 (2017)</w:t>
        </w:r>
      </w:hyperlink>
      <w:bookmarkStart w:id="33" w:name="bookmark=id.49x2ik5" w:colFirst="0" w:colLast="0"/>
      <w:bookmarkEnd w:id="33"/>
      <w:r>
        <w:rPr>
          <w:color w:val="000000"/>
          <w:sz w:val="28"/>
          <w:szCs w:val="28"/>
          <w:vertAlign w:val="baseline"/>
        </w:rPr>
        <w:t xml:space="preserve"> (explaining that a more rigorous application of </w:t>
      </w:r>
      <w:bookmarkStart w:id="34" w:name="bookmark=id.2p2csry" w:colFirst="0" w:colLast="0"/>
      <w:bookmarkEnd w:id="34"/>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35" w:name="bookmark=id.147n2zr" w:colFirst="0" w:colLast="0"/>
      <w:bookmarkEnd w:id="35"/>
      <w:r>
        <w:rPr>
          <w:color w:val="000000"/>
          <w:sz w:val="28"/>
          <w:szCs w:val="28"/>
          <w:vertAlign w:val="baseline"/>
        </w:rPr>
        <w:t xml:space="preserve"> would “staunch the flow of unreliable forensic evidence into court.”)</w:t>
      </w:r>
    </w:p>
    <w:p w14:paraId="0000002A" w14:textId="77777777" w:rsidR="00AE3F71" w:rsidRDefault="00F70F56">
      <w:pPr>
        <w:numPr>
          <w:ilvl w:val="0"/>
          <w:numId w:val="3"/>
        </w:numPr>
        <w:pBdr>
          <w:top w:val="nil"/>
          <w:left w:val="nil"/>
          <w:bottom w:val="nil"/>
          <w:right w:val="nil"/>
          <w:between w:val="nil"/>
        </w:pBdr>
        <w:jc w:val="both"/>
        <w:rPr>
          <w:b/>
          <w:sz w:val="28"/>
          <w:szCs w:val="28"/>
          <w:vertAlign w:val="baseline"/>
        </w:rPr>
      </w:pPr>
      <w:r>
        <w:rPr>
          <w:b/>
          <w:sz w:val="28"/>
          <w:szCs w:val="28"/>
          <w:vertAlign w:val="baseline"/>
        </w:rPr>
        <w:t>The proposal improves the status quo by ensuring that Arizona courts act as gatekeepers of unreliable expert testimony to ensure the reliability of verdicts.</w:t>
      </w:r>
    </w:p>
    <w:p w14:paraId="0000002B" w14:textId="77777777" w:rsidR="00AE3F71" w:rsidRDefault="00AE3F71">
      <w:pPr>
        <w:pBdr>
          <w:top w:val="nil"/>
          <w:left w:val="nil"/>
          <w:bottom w:val="nil"/>
          <w:right w:val="nil"/>
          <w:between w:val="nil"/>
        </w:pBdr>
        <w:jc w:val="both"/>
        <w:rPr>
          <w:b/>
          <w:sz w:val="28"/>
          <w:szCs w:val="28"/>
          <w:vertAlign w:val="baseline"/>
        </w:rPr>
      </w:pPr>
    </w:p>
    <w:p w14:paraId="0000002C" w14:textId="77777777" w:rsidR="00AE3F71" w:rsidRDefault="00F70F56">
      <w:pPr>
        <w:spacing w:line="480" w:lineRule="auto"/>
        <w:ind w:firstLine="720"/>
        <w:jc w:val="both"/>
        <w:rPr>
          <w:color w:val="000000"/>
          <w:sz w:val="28"/>
          <w:szCs w:val="28"/>
          <w:vertAlign w:val="baseline"/>
        </w:rPr>
      </w:pPr>
      <w:r>
        <w:rPr>
          <w:color w:val="000000"/>
          <w:sz w:val="28"/>
          <w:szCs w:val="28"/>
          <w:highlight w:val="white"/>
          <w:vertAlign w:val="baseline"/>
        </w:rPr>
        <w:t xml:space="preserve">This Court has already declared that the proponent of expert evidence bears the burden of proving its admissibility by the preponderance of the evidence under </w:t>
      </w:r>
      <w:bookmarkStart w:id="36" w:name="bookmark=id.3o7alnk" w:colFirst="0" w:colLast="0"/>
      <w:bookmarkEnd w:id="36"/>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highlight w:val="white"/>
          <w:vertAlign w:val="baseline"/>
        </w:rPr>
        <w:t>Rule 702</w:t>
      </w:r>
      <w:r>
        <w:rPr>
          <w:color w:val="0563C1"/>
          <w:sz w:val="28"/>
          <w:szCs w:val="28"/>
          <w:highlight w:val="white"/>
          <w:vertAlign w:val="baseline"/>
        </w:rPr>
        <w:fldChar w:fldCharType="end"/>
      </w:r>
      <w:bookmarkStart w:id="37" w:name="bookmark=id.23ckvvd" w:colFirst="0" w:colLast="0"/>
      <w:bookmarkEnd w:id="37"/>
      <w:r>
        <w:rPr>
          <w:color w:val="000000"/>
          <w:sz w:val="28"/>
          <w:szCs w:val="28"/>
          <w:highlight w:val="white"/>
          <w:vertAlign w:val="baseline"/>
        </w:rPr>
        <w:t xml:space="preserve">. </w:t>
      </w:r>
      <w:bookmarkStart w:id="38" w:name="bookmark=id.ihv636" w:colFirst="0" w:colLast="0"/>
      <w:bookmarkEnd w:id="38"/>
      <w:r>
        <w:fldChar w:fldCharType="begin"/>
      </w:r>
      <w:r>
        <w:instrText xml:space="preserve"> HYPERLINK "https://www.westlaw.com/Document/I1fdf8304ec6911e4a795ac035416da91/View/FullText.html?transitionType=Default&amp;contextData=(sc.Default)&amp;VR=3.0&amp;RS=da3.0&amp;fragmentIdentifier=co_pp_sp_156_228" \h </w:instrText>
      </w:r>
      <w:r>
        <w:fldChar w:fldCharType="separate"/>
      </w:r>
      <w:r>
        <w:rPr>
          <w:i/>
          <w:color w:val="0563C1"/>
          <w:sz w:val="28"/>
          <w:szCs w:val="28"/>
          <w:vertAlign w:val="baseline"/>
        </w:rPr>
        <w:t>State v. Bernstein</w:t>
      </w:r>
      <w:r>
        <w:rPr>
          <w:i/>
          <w:color w:val="0563C1"/>
          <w:sz w:val="28"/>
          <w:szCs w:val="28"/>
          <w:vertAlign w:val="baseline"/>
        </w:rPr>
        <w:fldChar w:fldCharType="end"/>
      </w:r>
      <w:hyperlink r:id="rId16">
        <w:r>
          <w:rPr>
            <w:color w:val="0563C1"/>
            <w:sz w:val="28"/>
            <w:szCs w:val="28"/>
            <w:vertAlign w:val="baseline"/>
          </w:rPr>
          <w:t>, 237 Ariz. 226, 228, ¶ 9 (2015)</w:t>
        </w:r>
      </w:hyperlink>
      <w:bookmarkStart w:id="39" w:name="bookmark=id.32hioqz" w:colFirst="0" w:colLast="0"/>
      <w:bookmarkEnd w:id="39"/>
      <w:r>
        <w:rPr>
          <w:color w:val="000000"/>
          <w:sz w:val="28"/>
          <w:szCs w:val="28"/>
          <w:vertAlign w:val="baseline"/>
        </w:rPr>
        <w:t xml:space="preserve">; </w:t>
      </w:r>
      <w:r>
        <w:rPr>
          <w:i/>
          <w:color w:val="000000"/>
          <w:sz w:val="28"/>
          <w:szCs w:val="28"/>
          <w:vertAlign w:val="baseline"/>
        </w:rPr>
        <w:t>see, also</w:t>
      </w:r>
      <w:r>
        <w:rPr>
          <w:color w:val="000000"/>
          <w:sz w:val="28"/>
          <w:szCs w:val="28"/>
          <w:vertAlign w:val="baseline"/>
        </w:rPr>
        <w:t xml:space="preserve"> </w:t>
      </w:r>
      <w:bookmarkStart w:id="40" w:name="bookmark=id.1hmsyys" w:colFirst="0" w:colLast="0"/>
      <w:bookmarkEnd w:id="40"/>
      <w:r>
        <w:fldChar w:fldCharType="begin"/>
      </w:r>
      <w:r>
        <w:instrText xml:space="preserve"> HYPERLINK "https://www.westlaw.com/Document/I7313dd59e7e711e39488c8f438320c70/View/FullText.html?transitionType=Default&amp;contextData=(sc.Default)&amp;VR=3.0&amp;RS=da3.0&amp;fragmentIdentifier=co_pp_sp_156_593" \h </w:instrText>
      </w:r>
      <w:r>
        <w:fldChar w:fldCharType="separate"/>
      </w:r>
      <w:r>
        <w:rPr>
          <w:i/>
          <w:color w:val="0563C1"/>
          <w:sz w:val="28"/>
          <w:szCs w:val="28"/>
          <w:vertAlign w:val="baseline"/>
        </w:rPr>
        <w:t>State v. Salazar-Mercado</w:t>
      </w:r>
      <w:r>
        <w:rPr>
          <w:i/>
          <w:color w:val="0563C1"/>
          <w:sz w:val="28"/>
          <w:szCs w:val="28"/>
          <w:vertAlign w:val="baseline"/>
        </w:rPr>
        <w:fldChar w:fldCharType="end"/>
      </w:r>
      <w:hyperlink r:id="rId17">
        <w:r>
          <w:rPr>
            <w:color w:val="0563C1"/>
            <w:sz w:val="28"/>
            <w:szCs w:val="28"/>
            <w:vertAlign w:val="baseline"/>
          </w:rPr>
          <w:t>, 234 Ariz. 590, 593, ¶ 13 (2014)</w:t>
        </w:r>
      </w:hyperlink>
      <w:bookmarkStart w:id="41" w:name="bookmark=id.41mghml" w:colFirst="0" w:colLast="0"/>
      <w:bookmarkEnd w:id="41"/>
      <w:r>
        <w:rPr>
          <w:color w:val="000000"/>
          <w:sz w:val="28"/>
          <w:szCs w:val="28"/>
          <w:vertAlign w:val="baseline"/>
        </w:rPr>
        <w:t xml:space="preserve">. Yet, this burden is absent from the text of the rule. </w:t>
      </w:r>
      <w:r>
        <w:rPr>
          <w:i/>
          <w:color w:val="000000"/>
          <w:sz w:val="28"/>
          <w:szCs w:val="28"/>
          <w:vertAlign w:val="baseline"/>
        </w:rPr>
        <w:t>See</w:t>
      </w:r>
      <w:r>
        <w:rPr>
          <w:color w:val="000000"/>
          <w:sz w:val="28"/>
          <w:szCs w:val="28"/>
          <w:vertAlign w:val="baseline"/>
        </w:rPr>
        <w:t xml:space="preserve"> </w:t>
      </w:r>
      <w:bookmarkStart w:id="42" w:name="bookmark=id.2grqrue" w:colFirst="0" w:colLast="0"/>
      <w:bookmarkEnd w:id="42"/>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Ariz. R. Evid. 702</w:t>
      </w:r>
      <w:r>
        <w:rPr>
          <w:color w:val="0563C1"/>
          <w:sz w:val="28"/>
          <w:szCs w:val="28"/>
          <w:vertAlign w:val="baseline"/>
        </w:rPr>
        <w:fldChar w:fldCharType="end"/>
      </w:r>
      <w:bookmarkStart w:id="43" w:name="bookmark=id.vx1227" w:colFirst="0" w:colLast="0"/>
      <w:bookmarkEnd w:id="43"/>
      <w:r>
        <w:rPr>
          <w:color w:val="000000"/>
          <w:sz w:val="28"/>
          <w:szCs w:val="28"/>
          <w:vertAlign w:val="baseline"/>
        </w:rPr>
        <w:t xml:space="preserve">. The result is that courts tend to skew toward admitting unreliable expert testimony rather than preclude it. </w:t>
      </w:r>
    </w:p>
    <w:p w14:paraId="0000002D" w14:textId="77777777" w:rsidR="00AE3F71" w:rsidRDefault="00F70F56">
      <w:pPr>
        <w:spacing w:line="480" w:lineRule="auto"/>
        <w:ind w:firstLine="720"/>
        <w:jc w:val="both"/>
        <w:rPr>
          <w:color w:val="000000"/>
          <w:sz w:val="28"/>
          <w:szCs w:val="28"/>
          <w:vertAlign w:val="baseline"/>
        </w:rPr>
      </w:pPr>
      <w:r>
        <w:rPr>
          <w:color w:val="000000"/>
          <w:sz w:val="28"/>
          <w:szCs w:val="28"/>
          <w:vertAlign w:val="baseline"/>
        </w:rPr>
        <w:t xml:space="preserve">Additionally, </w:t>
      </w:r>
      <w:bookmarkStart w:id="44" w:name="bookmark=id.3fwokq0" w:colFirst="0" w:colLast="0"/>
      <w:bookmarkEnd w:id="44"/>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45" w:name="bookmark=id.1v1yuxt" w:colFirst="0" w:colLast="0"/>
      <w:bookmarkEnd w:id="45"/>
      <w:r>
        <w:rPr>
          <w:color w:val="000000"/>
          <w:sz w:val="28"/>
          <w:szCs w:val="28"/>
          <w:vertAlign w:val="baseline"/>
        </w:rPr>
        <w:t xml:space="preserve"> as it is currently written does not expressly require that an expert’s opinion be conveyed to the jury in a reliable manner. </w:t>
      </w:r>
      <w:r>
        <w:rPr>
          <w:i/>
          <w:color w:val="000000"/>
          <w:sz w:val="28"/>
          <w:szCs w:val="28"/>
          <w:vertAlign w:val="baseline"/>
        </w:rPr>
        <w:t>See</w:t>
      </w:r>
      <w:r>
        <w:rPr>
          <w:color w:val="000000"/>
          <w:sz w:val="28"/>
          <w:szCs w:val="28"/>
          <w:vertAlign w:val="baseline"/>
        </w:rPr>
        <w:t xml:space="preserve"> </w:t>
      </w:r>
      <w:bookmarkStart w:id="46" w:name="bookmark=id.4f1mdlm" w:colFirst="0" w:colLast="0"/>
      <w:bookmarkEnd w:id="46"/>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Ariz. R. Evid. 702(d)</w:t>
      </w:r>
      <w:r>
        <w:rPr>
          <w:color w:val="0563C1"/>
          <w:sz w:val="28"/>
          <w:szCs w:val="28"/>
          <w:vertAlign w:val="baseline"/>
        </w:rPr>
        <w:fldChar w:fldCharType="end"/>
      </w:r>
      <w:bookmarkStart w:id="47" w:name="bookmark=id.2u6wntf" w:colFirst="0" w:colLast="0"/>
      <w:bookmarkEnd w:id="47"/>
      <w:r>
        <w:rPr>
          <w:color w:val="000000"/>
          <w:sz w:val="28"/>
          <w:szCs w:val="28"/>
          <w:vertAlign w:val="baseline"/>
        </w:rPr>
        <w:t xml:space="preserve">. However, the overstatement of an expert’s opinion to the jury is one of the leading causes of wrongful convictions. </w:t>
      </w:r>
    </w:p>
    <w:p w14:paraId="0000002E" w14:textId="77777777" w:rsidR="00AE3F71" w:rsidRDefault="00F70F56">
      <w:pPr>
        <w:spacing w:line="480" w:lineRule="auto"/>
        <w:ind w:firstLine="720"/>
        <w:jc w:val="both"/>
        <w:rPr>
          <w:color w:val="000000"/>
          <w:sz w:val="28"/>
          <w:szCs w:val="28"/>
          <w:vertAlign w:val="baseline"/>
        </w:rPr>
      </w:pPr>
      <w:r>
        <w:rPr>
          <w:color w:val="000000"/>
          <w:sz w:val="28"/>
          <w:szCs w:val="28"/>
          <w:vertAlign w:val="baseline"/>
        </w:rPr>
        <w:t xml:space="preserve">The Petition addresses both concerns. </w:t>
      </w:r>
    </w:p>
    <w:p w14:paraId="1AE798CE" w14:textId="77777777" w:rsidR="00204092" w:rsidRDefault="00204092">
      <w:pPr>
        <w:spacing w:line="480" w:lineRule="auto"/>
        <w:ind w:firstLine="720"/>
        <w:jc w:val="both"/>
        <w:rPr>
          <w:color w:val="000000"/>
          <w:sz w:val="28"/>
          <w:szCs w:val="28"/>
          <w:vertAlign w:val="baseline"/>
        </w:rPr>
      </w:pPr>
    </w:p>
    <w:p w14:paraId="0000002F" w14:textId="77777777" w:rsidR="00AE3F71" w:rsidRDefault="00F70F56">
      <w:pPr>
        <w:numPr>
          <w:ilvl w:val="0"/>
          <w:numId w:val="1"/>
        </w:numPr>
        <w:pBdr>
          <w:top w:val="nil"/>
          <w:left w:val="nil"/>
          <w:bottom w:val="nil"/>
          <w:right w:val="nil"/>
          <w:between w:val="nil"/>
        </w:pBdr>
        <w:spacing w:line="480" w:lineRule="auto"/>
        <w:jc w:val="both"/>
        <w:rPr>
          <w:b/>
          <w:color w:val="000000"/>
          <w:sz w:val="28"/>
          <w:szCs w:val="28"/>
          <w:vertAlign w:val="baseline"/>
        </w:rPr>
      </w:pPr>
      <w:r>
        <w:rPr>
          <w:b/>
          <w:color w:val="000000"/>
          <w:sz w:val="28"/>
          <w:szCs w:val="28"/>
          <w:vertAlign w:val="baseline"/>
        </w:rPr>
        <w:lastRenderedPageBreak/>
        <w:t xml:space="preserve">The text of the rule should contain the burden of admissibility. </w:t>
      </w:r>
    </w:p>
    <w:p w14:paraId="00000030" w14:textId="77777777" w:rsidR="00AE3F71" w:rsidRDefault="00F70F56">
      <w:pPr>
        <w:shd w:val="clear" w:color="auto" w:fill="FFFFFF"/>
        <w:spacing w:line="480" w:lineRule="auto"/>
        <w:ind w:firstLine="720"/>
        <w:jc w:val="both"/>
        <w:rPr>
          <w:color w:val="000000"/>
          <w:sz w:val="28"/>
          <w:szCs w:val="28"/>
          <w:vertAlign w:val="baseline"/>
        </w:rPr>
      </w:pPr>
      <w:r>
        <w:rPr>
          <w:color w:val="000000"/>
          <w:sz w:val="28"/>
          <w:szCs w:val="28"/>
          <w:vertAlign w:val="baseline"/>
        </w:rPr>
        <w:t>Lawyers and judges should be able to resolve legal issued governed by a rule or statute by relying “on the very words of the instrument.” Antonin Scalia &amp; Bryan A. Garner, Reading Law: The Interpretation of Legal Texts, 56 (2012) (explaining the “Supremacy-of-Text Principle”</w:t>
      </w:r>
      <w:r>
        <w:rPr>
          <w:sz w:val="28"/>
          <w:szCs w:val="28"/>
          <w:vertAlign w:val="baseline"/>
        </w:rPr>
        <w:t xml:space="preserve"> </w:t>
      </w:r>
      <w:r>
        <w:rPr>
          <w:color w:val="000000"/>
          <w:sz w:val="28"/>
          <w:szCs w:val="28"/>
          <w:vertAlign w:val="baseline"/>
        </w:rPr>
        <w:t xml:space="preserve">of statutory construction). The proposal that </w:t>
      </w:r>
      <w:bookmarkStart w:id="48" w:name="bookmark=id.19c6y18" w:colFirst="0" w:colLast="0"/>
      <w:bookmarkEnd w:id="48"/>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49" w:name="bookmark=id.3tbugp1" w:colFirst="0" w:colLast="0"/>
      <w:bookmarkEnd w:id="49"/>
      <w:r>
        <w:rPr>
          <w:color w:val="000000"/>
          <w:sz w:val="28"/>
          <w:szCs w:val="28"/>
          <w:vertAlign w:val="baseline"/>
        </w:rPr>
        <w:t xml:space="preserve"> be amended to explicitly provide that the proponent of expert evidence “demonstrates to the court that it is more likely than not that</w:t>
      </w:r>
      <w:r>
        <w:rPr>
          <w:sz w:val="28"/>
          <w:szCs w:val="28"/>
          <w:vertAlign w:val="baseline"/>
        </w:rPr>
        <w:t>'' the</w:t>
      </w:r>
      <w:r>
        <w:rPr>
          <w:color w:val="000000"/>
          <w:sz w:val="28"/>
          <w:szCs w:val="28"/>
          <w:vertAlign w:val="baseline"/>
        </w:rPr>
        <w:t xml:space="preserve"> requirements of </w:t>
      </w:r>
      <w:bookmarkStart w:id="50" w:name="bookmark=id.28h4qwu" w:colFirst="0" w:colLast="0"/>
      <w:bookmarkEnd w:id="50"/>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702(a)-(d)</w:t>
      </w:r>
      <w:r>
        <w:rPr>
          <w:color w:val="0563C1"/>
          <w:sz w:val="28"/>
          <w:szCs w:val="28"/>
          <w:vertAlign w:val="baseline"/>
        </w:rPr>
        <w:fldChar w:fldCharType="end"/>
      </w:r>
      <w:bookmarkStart w:id="51" w:name="bookmark=id.nmf14n" w:colFirst="0" w:colLast="0"/>
      <w:bookmarkEnd w:id="51"/>
      <w:r>
        <w:rPr>
          <w:color w:val="000000"/>
          <w:sz w:val="28"/>
          <w:szCs w:val="28"/>
          <w:vertAlign w:val="baseline"/>
        </w:rPr>
        <w:t xml:space="preserve"> are met will enable more efficient and fair resolution of admissibility issues. </w:t>
      </w:r>
    </w:p>
    <w:p w14:paraId="00000031" w14:textId="77777777" w:rsidR="00AE3F71" w:rsidRDefault="00F70F56">
      <w:pPr>
        <w:spacing w:line="480" w:lineRule="auto"/>
        <w:ind w:firstLine="720"/>
        <w:jc w:val="both"/>
        <w:rPr>
          <w:color w:val="000000"/>
          <w:sz w:val="28"/>
          <w:szCs w:val="28"/>
          <w:vertAlign w:val="baseline"/>
        </w:rPr>
      </w:pPr>
      <w:r>
        <w:rPr>
          <w:color w:val="000000"/>
          <w:sz w:val="28"/>
          <w:szCs w:val="28"/>
          <w:vertAlign w:val="baseline"/>
        </w:rPr>
        <w:t xml:space="preserve">Moreover, the inclusion of the burden will alleviate confusion potentially caused by contradictory language in the current comment to </w:t>
      </w:r>
      <w:bookmarkStart w:id="52" w:name="bookmark=id.37m2jsg" w:colFirst="0" w:colLast="0"/>
      <w:bookmarkEnd w:id="52"/>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53" w:name="bookmark=id.1mrcu09" w:colFirst="0" w:colLast="0"/>
      <w:bookmarkEnd w:id="53"/>
      <w:r>
        <w:rPr>
          <w:color w:val="000000"/>
          <w:sz w:val="28"/>
          <w:szCs w:val="28"/>
          <w:vertAlign w:val="baseline"/>
        </w:rPr>
        <w:t xml:space="preserve"> addressing “shaky but admissible evidence.” This Court has already held that the reliability of expert evidence must be proven by the proponent of expert evidence and that trial courts should preclude such evidence when it is unreliable. </w:t>
      </w:r>
      <w:bookmarkStart w:id="54" w:name="bookmark=id.46r0co2" w:colFirst="0" w:colLast="0"/>
      <w:bookmarkEnd w:id="54"/>
      <w:r>
        <w:fldChar w:fldCharType="begin"/>
      </w:r>
      <w:r>
        <w:instrText xml:space="preserve"> HYPERLINK "https://www.westlaw.com/Document/I1fdf8304ec6911e4a795ac035416da91/View/FullText.html?transitionType=Default&amp;contextData=(sc.Default)&amp;VR=3.0&amp;RS=da3.0&amp;fragmentIdentifier=co_pp_sp_156_230" \h </w:instrText>
      </w:r>
      <w:r>
        <w:fldChar w:fldCharType="separate"/>
      </w:r>
      <w:r>
        <w:rPr>
          <w:i/>
          <w:color w:val="0563C1"/>
          <w:sz w:val="28"/>
          <w:szCs w:val="28"/>
          <w:vertAlign w:val="baseline"/>
        </w:rPr>
        <w:t>Bernstein</w:t>
      </w:r>
      <w:r>
        <w:rPr>
          <w:i/>
          <w:color w:val="0563C1"/>
          <w:sz w:val="28"/>
          <w:szCs w:val="28"/>
          <w:vertAlign w:val="baseline"/>
        </w:rPr>
        <w:fldChar w:fldCharType="end"/>
      </w:r>
      <w:hyperlink r:id="rId18">
        <w:r>
          <w:rPr>
            <w:color w:val="0563C1"/>
            <w:sz w:val="28"/>
            <w:szCs w:val="28"/>
            <w:vertAlign w:val="baseline"/>
          </w:rPr>
          <w:t>, 237 Ariz. at 230 ¶17</w:t>
        </w:r>
      </w:hyperlink>
      <w:bookmarkStart w:id="55" w:name="bookmark=id.2lwamvv" w:colFirst="0" w:colLast="0"/>
      <w:bookmarkEnd w:id="55"/>
      <w:r>
        <w:rPr>
          <w:color w:val="000000"/>
          <w:sz w:val="28"/>
          <w:szCs w:val="28"/>
          <w:vertAlign w:val="baseline"/>
        </w:rPr>
        <w:t xml:space="preserve">. By putting the burden of admissibility in the text of </w:t>
      </w:r>
      <w:bookmarkStart w:id="56" w:name="bookmark=id.111kx3o" w:colFirst="0" w:colLast="0"/>
      <w:bookmarkEnd w:id="56"/>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57" w:name="bookmark=id.3l18frh" w:colFirst="0" w:colLast="0"/>
      <w:bookmarkEnd w:id="57"/>
      <w:r>
        <w:rPr>
          <w:color w:val="000000"/>
          <w:sz w:val="28"/>
          <w:szCs w:val="28"/>
          <w:vertAlign w:val="baseline"/>
        </w:rPr>
        <w:t xml:space="preserve">, this Court will alleviate confusion and ensure that the standard of admissibility is not ambiguous or that the standard is not supplanted by the 2012 comment. </w:t>
      </w:r>
      <w:r>
        <w:rPr>
          <w:i/>
          <w:color w:val="000000"/>
          <w:sz w:val="28"/>
          <w:szCs w:val="28"/>
          <w:vertAlign w:val="baseline"/>
        </w:rPr>
        <w:t>See</w:t>
      </w:r>
      <w:r>
        <w:rPr>
          <w:color w:val="000000"/>
          <w:sz w:val="28"/>
          <w:szCs w:val="28"/>
          <w:vertAlign w:val="baseline"/>
        </w:rPr>
        <w:t xml:space="preserve"> </w:t>
      </w:r>
      <w:bookmarkStart w:id="58" w:name="bookmark=id.206ipza" w:colFirst="0" w:colLast="0"/>
      <w:bookmarkEnd w:id="58"/>
      <w:r>
        <w:fldChar w:fldCharType="begin"/>
      </w:r>
      <w:r>
        <w:instrText xml:space="preserve"> HYPERLINK "https://www.westlaw.com/Document/I41a7a6f3f79e11d99439b076ef9ec4de/View/FullText.html?transitionType=Default&amp;contextData=(sc.Default)&amp;VR=3.0&amp;RS=da3.0&amp;fragmentIdentifier=co_pp_sp_156_48" \h </w:instrText>
      </w:r>
      <w:r>
        <w:fldChar w:fldCharType="separate"/>
      </w:r>
      <w:r>
        <w:rPr>
          <w:i/>
          <w:color w:val="0563C1"/>
          <w:sz w:val="28"/>
          <w:szCs w:val="28"/>
          <w:vertAlign w:val="baseline"/>
        </w:rPr>
        <w:t>State v. Aguilar</w:t>
      </w:r>
      <w:r>
        <w:rPr>
          <w:i/>
          <w:color w:val="0563C1"/>
          <w:sz w:val="28"/>
          <w:szCs w:val="28"/>
          <w:vertAlign w:val="baseline"/>
        </w:rPr>
        <w:fldChar w:fldCharType="end"/>
      </w:r>
      <w:hyperlink r:id="rId19">
        <w:r>
          <w:rPr>
            <w:color w:val="0563C1"/>
            <w:sz w:val="28"/>
            <w:szCs w:val="28"/>
            <w:vertAlign w:val="baseline"/>
          </w:rPr>
          <w:t>, 209 Ariz. 40, 48, ¶ 26 (2004)</w:t>
        </w:r>
      </w:hyperlink>
      <w:bookmarkStart w:id="59" w:name="bookmark=id.4k668n3" w:colFirst="0" w:colLast="0"/>
      <w:bookmarkEnd w:id="59"/>
      <w:r>
        <w:rPr>
          <w:color w:val="000000"/>
          <w:sz w:val="28"/>
          <w:szCs w:val="28"/>
          <w:vertAlign w:val="baseline"/>
        </w:rPr>
        <w:t xml:space="preserve"> (“Although a comment may clarify a rule's ambiguous language, a comment cannot otherwise alter the clear text of a rule.”)</w:t>
      </w:r>
    </w:p>
    <w:p w14:paraId="00000032" w14:textId="77777777" w:rsidR="00AE3F71" w:rsidRDefault="00F70F56">
      <w:pPr>
        <w:spacing w:line="480" w:lineRule="auto"/>
        <w:ind w:firstLine="720"/>
        <w:jc w:val="both"/>
        <w:rPr>
          <w:color w:val="000000"/>
          <w:sz w:val="28"/>
          <w:szCs w:val="28"/>
          <w:vertAlign w:val="baseline"/>
        </w:rPr>
      </w:pPr>
      <w:r>
        <w:rPr>
          <w:color w:val="000000"/>
          <w:sz w:val="28"/>
          <w:szCs w:val="28"/>
          <w:vertAlign w:val="baseline"/>
        </w:rPr>
        <w:lastRenderedPageBreak/>
        <w:t xml:space="preserve">More importantly, an amendment to </w:t>
      </w:r>
      <w:bookmarkStart w:id="60" w:name="bookmark=id.2zbgiuw" w:colFirst="0" w:colLast="0"/>
      <w:bookmarkEnd w:id="60"/>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61" w:name="bookmark=id.1egqt2p" w:colFirst="0" w:colLast="0"/>
      <w:bookmarkEnd w:id="61"/>
      <w:r>
        <w:rPr>
          <w:color w:val="000000"/>
          <w:sz w:val="28"/>
          <w:szCs w:val="28"/>
          <w:vertAlign w:val="baseline"/>
        </w:rPr>
        <w:t xml:space="preserve"> that expressly incorporates the preponderance standard of admissibility will reduce the likelihood that trial judges admit unreliable expert testimony based on junk science. </w:t>
      </w:r>
      <w:r>
        <w:rPr>
          <w:i/>
          <w:color w:val="000000"/>
          <w:sz w:val="28"/>
          <w:szCs w:val="28"/>
          <w:vertAlign w:val="baseline"/>
        </w:rPr>
        <w:t xml:space="preserve">See </w:t>
      </w:r>
      <w:r>
        <w:rPr>
          <w:color w:val="000000"/>
          <w:sz w:val="28"/>
          <w:szCs w:val="28"/>
          <w:vertAlign w:val="baseline"/>
        </w:rPr>
        <w:t>Edward J. Imwinkelried, </w:t>
      </w:r>
      <w:bookmarkStart w:id="62" w:name="bookmark=id.3ygebqi" w:colFirst="0" w:colLast="0"/>
      <w:bookmarkEnd w:id="62"/>
      <w:r>
        <w:fldChar w:fldCharType="begin"/>
      </w:r>
      <w:r>
        <w:instrText xml:space="preserve"> HYPERLINK "https://www.westlaw.com/Document/I4142e032858011e8a5b3e3d9e23d7429/View/FullText.html?transitionType=Default&amp;contextData=(sc.Default)&amp;VR=3.0&amp;RS=da3.0&amp;fragmentIdentifier=co_pp_sp_3105_861" \h </w:instrText>
      </w:r>
      <w:r>
        <w:fldChar w:fldCharType="separate"/>
      </w:r>
      <w:r>
        <w:rPr>
          <w:i/>
          <w:color w:val="0563C1"/>
          <w:sz w:val="28"/>
          <w:szCs w:val="28"/>
          <w:vertAlign w:val="baseline"/>
        </w:rPr>
        <w:t>The Best Insurance Against Miscarriages of Justice Caused by Junk Science: An Admissibility Test That Is Scientifically and Legally Sound</w:t>
      </w:r>
      <w:r>
        <w:rPr>
          <w:i/>
          <w:color w:val="0563C1"/>
          <w:sz w:val="28"/>
          <w:szCs w:val="28"/>
          <w:vertAlign w:val="baseline"/>
        </w:rPr>
        <w:fldChar w:fldCharType="end"/>
      </w:r>
      <w:hyperlink r:id="rId20">
        <w:r>
          <w:rPr>
            <w:color w:val="0563C1"/>
            <w:sz w:val="28"/>
            <w:szCs w:val="28"/>
            <w:vertAlign w:val="baseline"/>
          </w:rPr>
          <w:t>, 81 Alb. L. Rev. 851, 861 (2018)</w:t>
        </w:r>
      </w:hyperlink>
      <w:bookmarkStart w:id="63" w:name="bookmark=id.2dlolyb" w:colFirst="0" w:colLast="0"/>
      <w:bookmarkEnd w:id="63"/>
      <w:r>
        <w:rPr>
          <w:color w:val="000000"/>
          <w:sz w:val="28"/>
          <w:szCs w:val="28"/>
          <w:vertAlign w:val="baseline"/>
        </w:rPr>
        <w:t xml:space="preserve"> (embracing the preponderance standard). </w:t>
      </w:r>
    </w:p>
    <w:p w14:paraId="00000033" w14:textId="77777777" w:rsidR="00AE3F71" w:rsidRDefault="00F70F56">
      <w:pPr>
        <w:spacing w:line="480" w:lineRule="auto"/>
        <w:ind w:firstLine="720"/>
        <w:jc w:val="both"/>
        <w:rPr>
          <w:color w:val="000000"/>
          <w:sz w:val="28"/>
          <w:szCs w:val="28"/>
          <w:vertAlign w:val="baseline"/>
        </w:rPr>
      </w:pPr>
      <w:r>
        <w:rPr>
          <w:color w:val="000000"/>
          <w:sz w:val="28"/>
          <w:szCs w:val="28"/>
          <w:vertAlign w:val="baseline"/>
        </w:rPr>
        <w:t xml:space="preserve">An amendment which incorporates the existing burden of admissibility will improve </w:t>
      </w:r>
      <w:bookmarkStart w:id="64" w:name="bookmark=id.sqyw64" w:colFirst="0" w:colLast="0"/>
      <w:bookmarkEnd w:id="64"/>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65" w:name="bookmark=id.3cqmetx" w:colFirst="0" w:colLast="0"/>
      <w:bookmarkEnd w:id="65"/>
      <w:r>
        <w:rPr>
          <w:color w:val="000000"/>
          <w:sz w:val="28"/>
          <w:szCs w:val="28"/>
          <w:vertAlign w:val="baseline"/>
        </w:rPr>
        <w:t>.</w:t>
      </w:r>
    </w:p>
    <w:p w14:paraId="00000034" w14:textId="77777777" w:rsidR="00AE3F71" w:rsidRDefault="00F70F56">
      <w:pPr>
        <w:numPr>
          <w:ilvl w:val="0"/>
          <w:numId w:val="1"/>
        </w:numPr>
        <w:pBdr>
          <w:top w:val="nil"/>
          <w:left w:val="nil"/>
          <w:bottom w:val="nil"/>
          <w:right w:val="nil"/>
          <w:between w:val="nil"/>
        </w:pBdr>
        <w:jc w:val="both"/>
        <w:rPr>
          <w:color w:val="000000"/>
          <w:sz w:val="28"/>
          <w:szCs w:val="28"/>
          <w:vertAlign w:val="baseline"/>
        </w:rPr>
      </w:pPr>
      <w:r>
        <w:rPr>
          <w:b/>
          <w:color w:val="000000"/>
          <w:sz w:val="28"/>
          <w:szCs w:val="28"/>
          <w:vertAlign w:val="baseline"/>
        </w:rPr>
        <w:t>The text of the rule should more clearly prohibit experts from overstating an opinion in a manner that renders it unreliable</w:t>
      </w:r>
      <w:r>
        <w:rPr>
          <w:color w:val="000000"/>
          <w:sz w:val="28"/>
          <w:szCs w:val="28"/>
          <w:vertAlign w:val="baseline"/>
        </w:rPr>
        <w:t xml:space="preserve">. </w:t>
      </w:r>
    </w:p>
    <w:p w14:paraId="00000035" w14:textId="77777777" w:rsidR="00AE3F71" w:rsidRDefault="00AE3F71">
      <w:pPr>
        <w:ind w:firstLine="720"/>
        <w:jc w:val="both"/>
        <w:rPr>
          <w:b/>
          <w:color w:val="000000"/>
          <w:sz w:val="28"/>
          <w:szCs w:val="28"/>
          <w:vertAlign w:val="baseline"/>
        </w:rPr>
      </w:pPr>
    </w:p>
    <w:p w14:paraId="00000036" w14:textId="10FEC7E9" w:rsidR="00AE3F71" w:rsidRDefault="00F70F56">
      <w:pPr>
        <w:spacing w:line="480" w:lineRule="auto"/>
        <w:ind w:firstLine="720"/>
        <w:jc w:val="both"/>
        <w:rPr>
          <w:color w:val="000000"/>
          <w:sz w:val="28"/>
          <w:szCs w:val="28"/>
          <w:vertAlign w:val="baseline"/>
        </w:rPr>
      </w:pPr>
      <w:r>
        <w:rPr>
          <w:color w:val="000000"/>
          <w:sz w:val="28"/>
          <w:szCs w:val="28"/>
          <w:vertAlign w:val="baseline"/>
        </w:rPr>
        <w:t xml:space="preserve">A prominent factor in wrongful convictions is “misleading forensic evidence” that is “diagnostically overstated” at trial. Heather Murphy, </w:t>
      </w:r>
      <w:r>
        <w:rPr>
          <w:i/>
          <w:sz w:val="28"/>
          <w:szCs w:val="28"/>
          <w:vertAlign w:val="baseline"/>
        </w:rPr>
        <w:t>A Leading Cause for Wrongful Convictions: Experts Overstating Forensic Results</w:t>
      </w:r>
      <w:r>
        <w:rPr>
          <w:sz w:val="28"/>
          <w:szCs w:val="28"/>
          <w:vertAlign w:val="baseline"/>
        </w:rPr>
        <w:t xml:space="preserve">, New York Times (Apr. 20, 1999) (available at </w:t>
      </w:r>
      <w:hyperlink r:id="rId21">
        <w:r>
          <w:rPr>
            <w:color w:val="0563C1"/>
            <w:sz w:val="28"/>
            <w:szCs w:val="28"/>
            <w:u w:val="single"/>
            <w:vertAlign w:val="baseline"/>
          </w:rPr>
          <w:t>https://www.nytimes.com/2019/04/20/us/wrongful-convictions-forensic-results.html</w:t>
        </w:r>
      </w:hyperlink>
      <w:r>
        <w:rPr>
          <w:sz w:val="28"/>
          <w:szCs w:val="28"/>
          <w:vertAlign w:val="baseline"/>
        </w:rPr>
        <w:t xml:space="preserve">) (last accessed Apr. 12, 2023); </w:t>
      </w:r>
      <w:r>
        <w:rPr>
          <w:i/>
          <w:sz w:val="28"/>
          <w:szCs w:val="28"/>
          <w:vertAlign w:val="baseline"/>
        </w:rPr>
        <w:t xml:space="preserve">see, also </w:t>
      </w:r>
      <w:r>
        <w:rPr>
          <w:sz w:val="28"/>
          <w:szCs w:val="28"/>
          <w:vertAlign w:val="baseline"/>
        </w:rPr>
        <w:t xml:space="preserve">M. Chris Fabricant &amp; Tucker Carrington, </w:t>
      </w:r>
      <w:bookmarkStart w:id="66" w:name="bookmark=id.1rvwp1q" w:colFirst="0" w:colLast="0"/>
      <w:bookmarkEnd w:id="66"/>
      <w:r>
        <w:fldChar w:fldCharType="begin"/>
      </w:r>
      <w:r>
        <w:instrText xml:space="preserve"> HYPERLINK "https://www.westlaw.com/Document/Ifc522198014911e698dc8b09b4f043e0/View/FullText.html?transitionType=Default&amp;contextData=(sc.Default)&amp;VR=3.0&amp;RS=da3.0&amp;fragmentIdentifier=co_pp_sp_221101_104" \h </w:instrText>
      </w:r>
      <w:r>
        <w:fldChar w:fldCharType="separate"/>
      </w:r>
      <w:r>
        <w:rPr>
          <w:i/>
          <w:color w:val="0563C1"/>
          <w:sz w:val="28"/>
          <w:szCs w:val="28"/>
          <w:vertAlign w:val="baseline"/>
        </w:rPr>
        <w:t>The Shifted Paradigm: Forensic Science's Overdue Evolution from Magic to Law,</w:t>
      </w:r>
      <w:r>
        <w:rPr>
          <w:i/>
          <w:color w:val="0563C1"/>
          <w:sz w:val="28"/>
          <w:szCs w:val="28"/>
          <w:vertAlign w:val="baseline"/>
        </w:rPr>
        <w:fldChar w:fldCharType="end"/>
      </w:r>
      <w:hyperlink r:id="rId22">
        <w:r>
          <w:rPr>
            <w:color w:val="0563C1"/>
            <w:sz w:val="28"/>
            <w:szCs w:val="28"/>
            <w:vertAlign w:val="baseline"/>
          </w:rPr>
          <w:t xml:space="preserve"> 4 Va. J. Crim. L. 1, 104 (2016)</w:t>
        </w:r>
      </w:hyperlink>
      <w:bookmarkStart w:id="67" w:name="bookmark=id.4bvk7pj" w:colFirst="0" w:colLast="0"/>
      <w:bookmarkEnd w:id="67"/>
      <w:r>
        <w:rPr>
          <w:sz w:val="28"/>
          <w:szCs w:val="28"/>
          <w:vertAlign w:val="baseline"/>
        </w:rPr>
        <w:t xml:space="preserve"> (discussing convictions identified by the Department of Justice attributable to the overs</w:t>
      </w:r>
      <w:r w:rsidR="00204092">
        <w:rPr>
          <w:sz w:val="28"/>
          <w:szCs w:val="28"/>
          <w:vertAlign w:val="baseline"/>
        </w:rPr>
        <w:t>tatement of forensic evidence).</w:t>
      </w:r>
      <w:r>
        <w:rPr>
          <w:sz w:val="28"/>
          <w:szCs w:val="28"/>
          <w:vertAlign w:val="baseline"/>
        </w:rPr>
        <w:t xml:space="preserve"> </w:t>
      </w:r>
    </w:p>
    <w:p w14:paraId="00000037" w14:textId="77777777" w:rsidR="00AE3F71" w:rsidRDefault="00F70F56">
      <w:pPr>
        <w:shd w:val="clear" w:color="auto" w:fill="FFFFFF"/>
        <w:spacing w:line="480" w:lineRule="auto"/>
        <w:jc w:val="both"/>
        <w:rPr>
          <w:color w:val="000000"/>
          <w:sz w:val="28"/>
          <w:szCs w:val="28"/>
          <w:vertAlign w:val="baseline"/>
        </w:rPr>
      </w:pPr>
      <w:r>
        <w:rPr>
          <w:color w:val="000000"/>
          <w:sz w:val="28"/>
          <w:szCs w:val="28"/>
          <w:vertAlign w:val="baseline"/>
        </w:rPr>
        <w:tab/>
        <w:t xml:space="preserve">After the National Academy of Sciences 2009 report was released, the Obama Administration formed the President’s Council of Advisors on Science and </w:t>
      </w:r>
      <w:r>
        <w:rPr>
          <w:color w:val="000000"/>
          <w:sz w:val="28"/>
          <w:szCs w:val="28"/>
          <w:vertAlign w:val="baseline"/>
        </w:rPr>
        <w:lastRenderedPageBreak/>
        <w:t xml:space="preserve">Technology (PCAST), which published a report in 2016 echoing the NAS Report’s conclusions that the accuracy of forensic sciences has been seriously overstated. </w:t>
      </w:r>
      <w:r>
        <w:rPr>
          <w:i/>
          <w:color w:val="000000"/>
          <w:sz w:val="28"/>
          <w:szCs w:val="28"/>
          <w:vertAlign w:val="baseline"/>
        </w:rPr>
        <w:t>See</w:t>
      </w:r>
      <w:r>
        <w:rPr>
          <w:color w:val="000000"/>
          <w:sz w:val="28"/>
          <w:szCs w:val="28"/>
          <w:vertAlign w:val="baseline"/>
        </w:rPr>
        <w:t xml:space="preserve"> Eric S. Lander, </w:t>
      </w:r>
      <w:bookmarkStart w:id="68" w:name="bookmark=id.2r0uhxc" w:colFirst="0" w:colLast="0"/>
      <w:bookmarkEnd w:id="68"/>
      <w:r>
        <w:fldChar w:fldCharType="begin"/>
      </w:r>
      <w:r>
        <w:instrText xml:space="preserve"> HYPERLINK "https://www.westlaw.com/Document/I95afedc53a1111e89bf099c0ee06c731/View/FullText.html?transitionType=Default&amp;contextData=(sc.Default)&amp;VR=3.0&amp;RS=da3.0&amp;fragmentIdentifier=co_pp_sp_1142_1663" \h </w:instrText>
      </w:r>
      <w:r>
        <w:fldChar w:fldCharType="separate"/>
      </w:r>
      <w:r>
        <w:rPr>
          <w:i/>
          <w:color w:val="0563C1"/>
          <w:sz w:val="28"/>
          <w:szCs w:val="28"/>
          <w:vertAlign w:val="baseline"/>
        </w:rPr>
        <w:t>Fixing Rule 702: The PCAST Report and Steps to Ensure the Reliability of Forensic Feature-Comparison Methods in the Criminal Courts</w:t>
      </w:r>
      <w:r>
        <w:rPr>
          <w:i/>
          <w:color w:val="0563C1"/>
          <w:sz w:val="28"/>
          <w:szCs w:val="28"/>
          <w:vertAlign w:val="baseline"/>
        </w:rPr>
        <w:fldChar w:fldCharType="end"/>
      </w:r>
      <w:hyperlink r:id="rId23">
        <w:r>
          <w:rPr>
            <w:color w:val="0563C1"/>
            <w:sz w:val="28"/>
            <w:szCs w:val="28"/>
            <w:vertAlign w:val="baseline"/>
          </w:rPr>
          <w:t>, 86 Fordham L. Rev. 1661, 1663–66 (2018)</w:t>
        </w:r>
      </w:hyperlink>
      <w:bookmarkStart w:id="69" w:name="bookmark=id.1664s55" w:colFirst="0" w:colLast="0"/>
      <w:bookmarkEnd w:id="69"/>
      <w:r>
        <w:rPr>
          <w:color w:val="000000"/>
          <w:sz w:val="28"/>
          <w:szCs w:val="28"/>
          <w:vertAlign w:val="baseline"/>
        </w:rPr>
        <w:t xml:space="preserve">. </w:t>
      </w:r>
    </w:p>
    <w:p w14:paraId="00000038" w14:textId="77777777" w:rsidR="00AE3F71" w:rsidRDefault="00F70F56">
      <w:pPr>
        <w:spacing w:line="480" w:lineRule="auto"/>
        <w:jc w:val="both"/>
        <w:rPr>
          <w:color w:val="000000"/>
          <w:sz w:val="28"/>
          <w:szCs w:val="28"/>
          <w:vertAlign w:val="baseline"/>
        </w:rPr>
      </w:pPr>
      <w:r>
        <w:rPr>
          <w:color w:val="000000"/>
          <w:sz w:val="28"/>
          <w:szCs w:val="28"/>
          <w:vertAlign w:val="baseline"/>
        </w:rPr>
        <w:tab/>
        <w:t xml:space="preserve">PCAST made several recommendations to the federal Standing Advisory Committee on Evidence Rules “to propose a path forward with respect to </w:t>
      </w:r>
      <w:bookmarkStart w:id="70" w:name="bookmark=id.3q5sasy" w:colFirst="0" w:colLast="0"/>
      <w:bookmarkEnd w:id="70"/>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71" w:name="bookmark=id.25b2l0r" w:colFirst="0" w:colLast="0"/>
      <w:bookmarkEnd w:id="71"/>
      <w:r>
        <w:rPr>
          <w:color w:val="000000"/>
          <w:sz w:val="28"/>
          <w:szCs w:val="28"/>
          <w:vertAlign w:val="baseline"/>
        </w:rPr>
        <w:t xml:space="preserve">.” </w:t>
      </w:r>
      <w:hyperlink r:id="rId24" w:anchor="co_pp_sp_1142_1663">
        <w:r>
          <w:rPr>
            <w:i/>
            <w:color w:val="0563C1"/>
            <w:sz w:val="28"/>
            <w:szCs w:val="28"/>
            <w:vertAlign w:val="baseline"/>
          </w:rPr>
          <w:t>Id</w:t>
        </w:r>
      </w:hyperlink>
      <w:r>
        <w:rPr>
          <w:color w:val="000000"/>
          <w:sz w:val="28"/>
          <w:szCs w:val="28"/>
          <w:vertAlign w:val="baseline"/>
        </w:rPr>
        <w:t xml:space="preserve">. at 1665. PCAST’s recommendations addressed problems with the admission of forensic feature-comparison methods that are routinely admitted with “a claim to be able to identify the source of a sample with a high accuracy—even when the reliability of the methods have never been tested or when the methods have been tested and found to be unreliable.” </w:t>
      </w:r>
      <w:hyperlink r:id="rId25" w:anchor="co_pp_sp_1142_1663">
        <w:r>
          <w:rPr>
            <w:i/>
            <w:color w:val="0563C1"/>
            <w:sz w:val="28"/>
            <w:szCs w:val="28"/>
            <w:vertAlign w:val="baseline"/>
          </w:rPr>
          <w:t>Id</w:t>
        </w:r>
      </w:hyperlink>
      <w:r>
        <w:rPr>
          <w:color w:val="000000"/>
          <w:sz w:val="28"/>
          <w:szCs w:val="28"/>
          <w:vertAlign w:val="baseline"/>
        </w:rPr>
        <w:t>. at 1676. Relevant here is PCAST’s recommendation that “</w:t>
      </w:r>
      <w:r>
        <w:rPr>
          <w:color w:val="000000"/>
          <w:sz w:val="28"/>
          <w:szCs w:val="28"/>
          <w:highlight w:val="white"/>
          <w:vertAlign w:val="baseline"/>
        </w:rPr>
        <w:t xml:space="preserve">the witness accurately states the probative value of the meaning of any similarity or match between the samples.” </w:t>
      </w:r>
      <w:hyperlink r:id="rId26" w:anchor="co_pp_sp_1142_1663">
        <w:r>
          <w:rPr>
            <w:i/>
            <w:color w:val="0563C1"/>
            <w:sz w:val="28"/>
            <w:szCs w:val="28"/>
            <w:highlight w:val="white"/>
            <w:vertAlign w:val="baseline"/>
          </w:rPr>
          <w:t>Id</w:t>
        </w:r>
      </w:hyperlink>
      <w:r>
        <w:rPr>
          <w:color w:val="000000"/>
          <w:sz w:val="28"/>
          <w:szCs w:val="28"/>
          <w:highlight w:val="white"/>
          <w:vertAlign w:val="baseline"/>
        </w:rPr>
        <w:t xml:space="preserve">. at 1678. </w:t>
      </w:r>
    </w:p>
    <w:p w14:paraId="00000039" w14:textId="6F8CCEFA" w:rsidR="00AE3F71" w:rsidRDefault="00F70F56">
      <w:pPr>
        <w:spacing w:line="480" w:lineRule="auto"/>
        <w:jc w:val="both"/>
        <w:rPr>
          <w:color w:val="000000"/>
          <w:sz w:val="28"/>
          <w:szCs w:val="28"/>
          <w:vertAlign w:val="baseline"/>
        </w:rPr>
      </w:pPr>
      <w:r>
        <w:rPr>
          <w:color w:val="000000"/>
          <w:sz w:val="28"/>
          <w:szCs w:val="28"/>
          <w:highlight w:val="white"/>
          <w:vertAlign w:val="baseline"/>
        </w:rPr>
        <w:tab/>
        <w:t xml:space="preserve">Fair, accurate, and reliable testimony concerning DNA comparisons is particularly important in criminal trials. Expert testimony involving the comparison of DNA samples is often misunderstood by jurors and overstated by witnesses and their proponents. </w:t>
      </w:r>
      <w:r>
        <w:rPr>
          <w:i/>
          <w:color w:val="000000"/>
          <w:sz w:val="28"/>
          <w:szCs w:val="28"/>
          <w:highlight w:val="white"/>
          <w:vertAlign w:val="baseline"/>
        </w:rPr>
        <w:t>See</w:t>
      </w:r>
      <w:r>
        <w:rPr>
          <w:color w:val="000000"/>
          <w:sz w:val="28"/>
          <w:szCs w:val="28"/>
          <w:highlight w:val="white"/>
          <w:vertAlign w:val="baseline"/>
        </w:rPr>
        <w:t xml:space="preserve"> </w:t>
      </w:r>
      <w:r>
        <w:rPr>
          <w:color w:val="000000"/>
          <w:sz w:val="28"/>
          <w:szCs w:val="28"/>
          <w:vertAlign w:val="baseline"/>
        </w:rPr>
        <w:t xml:space="preserve">§ 60:20. </w:t>
      </w:r>
      <w:r w:rsidRPr="004077A2">
        <w:rPr>
          <w:i/>
          <w:color w:val="000000"/>
          <w:sz w:val="28"/>
          <w:szCs w:val="28"/>
          <w:vertAlign w:val="baseline"/>
        </w:rPr>
        <w:t>In general</w:t>
      </w:r>
      <w:r w:rsidR="004077A2">
        <w:rPr>
          <w:i/>
          <w:color w:val="000000"/>
          <w:sz w:val="28"/>
          <w:szCs w:val="28"/>
          <w:vertAlign w:val="baseline"/>
        </w:rPr>
        <w:t xml:space="preserve"> </w:t>
      </w:r>
      <w:r w:rsidR="004077A2">
        <w:rPr>
          <w:color w:val="000000"/>
          <w:sz w:val="28"/>
          <w:szCs w:val="28"/>
          <w:vertAlign w:val="baseline"/>
        </w:rPr>
        <w:t>[regarding the admissibility of DNA evidence]</w:t>
      </w:r>
      <w:r>
        <w:rPr>
          <w:color w:val="000000"/>
          <w:sz w:val="28"/>
          <w:szCs w:val="28"/>
          <w:vertAlign w:val="baseline"/>
        </w:rPr>
        <w:t xml:space="preserve">, </w:t>
      </w:r>
      <w:bookmarkStart w:id="72" w:name="bookmark=id.kgcv8k" w:colFirst="0" w:colLast="0"/>
      <w:bookmarkEnd w:id="72"/>
      <w:r>
        <w:fldChar w:fldCharType="begin"/>
      </w:r>
      <w:r>
        <w:instrText xml:space="preserve"> HYPERLINK "https://www.westlaw.com/Document/I0ca5010ab56711e9ad1394fd5bf17aa4/View/FullText.html?transitionType=Default&amp;contextData=(sc.Default)&amp;VR=3.0&amp;RS=da3.0" \h </w:instrText>
      </w:r>
      <w:r>
        <w:fldChar w:fldCharType="separate"/>
      </w:r>
      <w:r>
        <w:rPr>
          <w:color w:val="0563C1"/>
          <w:sz w:val="28"/>
          <w:szCs w:val="28"/>
          <w:vertAlign w:val="baseline"/>
        </w:rPr>
        <w:t>7 Jones on Evidence § 60:20 (7th ed.)</w:t>
      </w:r>
      <w:r>
        <w:rPr>
          <w:color w:val="0563C1"/>
          <w:sz w:val="28"/>
          <w:szCs w:val="28"/>
          <w:vertAlign w:val="baseline"/>
        </w:rPr>
        <w:fldChar w:fldCharType="end"/>
      </w:r>
      <w:bookmarkStart w:id="73" w:name="bookmark=id.34g0dwd" w:colFirst="0" w:colLast="0"/>
      <w:bookmarkEnd w:id="73"/>
      <w:r>
        <w:rPr>
          <w:color w:val="000000"/>
          <w:sz w:val="28"/>
          <w:szCs w:val="28"/>
          <w:vertAlign w:val="baseline"/>
        </w:rPr>
        <w:t xml:space="preserve"> (discussing “the various ways” the </w:t>
      </w:r>
      <w:r>
        <w:rPr>
          <w:color w:val="000000"/>
          <w:sz w:val="28"/>
          <w:szCs w:val="28"/>
          <w:vertAlign w:val="baseline"/>
        </w:rPr>
        <w:lastRenderedPageBreak/>
        <w:t xml:space="preserve">explanations of the significance of DNA evidence should or should not be offered to the jury.) </w:t>
      </w:r>
    </w:p>
    <w:p w14:paraId="0000003A" w14:textId="0BBE8BF9" w:rsidR="00AE3F71" w:rsidRPr="004077A2" w:rsidRDefault="00F70F56">
      <w:pPr>
        <w:spacing w:line="480" w:lineRule="auto"/>
        <w:ind w:firstLine="720"/>
        <w:jc w:val="both"/>
        <w:rPr>
          <w:sz w:val="28"/>
          <w:szCs w:val="28"/>
          <w:highlight w:val="white"/>
          <w:vertAlign w:val="baseline"/>
        </w:rPr>
      </w:pPr>
      <w:r>
        <w:rPr>
          <w:color w:val="000000"/>
          <w:sz w:val="28"/>
          <w:szCs w:val="28"/>
          <w:vertAlign w:val="baseline"/>
        </w:rPr>
        <w:t xml:space="preserve">A prominent error involving the presentation of DNA evidence is known as the “prosecutor’s fallacy” where </w:t>
      </w:r>
      <w:r>
        <w:rPr>
          <w:color w:val="000000"/>
          <w:sz w:val="28"/>
          <w:szCs w:val="28"/>
          <w:highlight w:val="white"/>
          <w:vertAlign w:val="baseline"/>
        </w:rPr>
        <w:t xml:space="preserve">there is an “assumption that the random match probability is the same as the probability that the defendant was not the source of the DNA sample.” </w:t>
      </w:r>
      <w:bookmarkStart w:id="74" w:name="bookmark=id.1jlao46" w:colFirst="0" w:colLast="0"/>
      <w:bookmarkEnd w:id="74"/>
      <w:r>
        <w:fldChar w:fldCharType="begin"/>
      </w:r>
      <w:r>
        <w:instrText xml:space="preserve"> HYPERLINK "https://www.westlaw.com/Document/I17c00aabfeb911dea7e0c40c26bf1b92/View/FullText.html?transitionType=Default&amp;contextData=(sc.Default)&amp;VR=3.0&amp;RS=da3.0&amp;fragmentIdentifier=co_pp_sp_780_128" \h </w:instrText>
      </w:r>
      <w:r>
        <w:fldChar w:fldCharType="separate"/>
      </w:r>
      <w:r>
        <w:rPr>
          <w:i/>
          <w:color w:val="0563C1"/>
          <w:sz w:val="28"/>
          <w:szCs w:val="28"/>
          <w:vertAlign w:val="baseline"/>
        </w:rPr>
        <w:t>McDaniel v. Brown</w:t>
      </w:r>
      <w:r>
        <w:rPr>
          <w:i/>
          <w:color w:val="0563C1"/>
          <w:sz w:val="28"/>
          <w:szCs w:val="28"/>
          <w:vertAlign w:val="baseline"/>
        </w:rPr>
        <w:fldChar w:fldCharType="end"/>
      </w:r>
      <w:hyperlink r:id="rId27">
        <w:r>
          <w:rPr>
            <w:color w:val="0563C1"/>
            <w:sz w:val="28"/>
            <w:szCs w:val="28"/>
            <w:vertAlign w:val="baseline"/>
          </w:rPr>
          <w:t>, 558 U.S. 120, 128 (2010)</w:t>
        </w:r>
      </w:hyperlink>
      <w:bookmarkStart w:id="75" w:name="bookmark=id.43ky6rz" w:colFirst="0" w:colLast="0"/>
      <w:bookmarkEnd w:id="75"/>
      <w:r>
        <w:rPr>
          <w:color w:val="000000"/>
          <w:sz w:val="28"/>
          <w:szCs w:val="28"/>
          <w:vertAlign w:val="baseline"/>
        </w:rPr>
        <w:t>. “</w:t>
      </w:r>
      <w:r w:rsidRPr="004077A2">
        <w:rPr>
          <w:sz w:val="28"/>
          <w:szCs w:val="28"/>
          <w:highlight w:val="white"/>
          <w:vertAlign w:val="baseline"/>
        </w:rPr>
        <w:t xml:space="preserve">In other words, if a juror is told the probability a member of the general population would share the same DNA is </w:t>
      </w:r>
      <w:bookmarkStart w:id="76" w:name="bookmark=id.2iq8gzs" w:colFirst="0" w:colLast="0"/>
      <w:bookmarkEnd w:id="76"/>
      <w:r w:rsidRPr="004077A2">
        <w:rPr>
          <w:sz w:val="28"/>
          <w:szCs w:val="28"/>
          <w:highlight w:val="white"/>
          <w:vertAlign w:val="baseline"/>
        </w:rPr>
        <w:t>1 in 10,000 (random match probability)</w:t>
      </w:r>
      <w:bookmarkStart w:id="77" w:name="bookmark=id.xvir7l" w:colFirst="0" w:colLast="0"/>
      <w:bookmarkEnd w:id="77"/>
      <w:r w:rsidRPr="004077A2">
        <w:rPr>
          <w:sz w:val="28"/>
          <w:szCs w:val="28"/>
          <w:highlight w:val="white"/>
          <w:vertAlign w:val="baseline"/>
        </w:rPr>
        <w:t xml:space="preserve">, and he takes that to mean there is only a </w:t>
      </w:r>
      <w:bookmarkStart w:id="78" w:name="bookmark=id.3hv69ve" w:colFirst="0" w:colLast="0"/>
      <w:bookmarkEnd w:id="78"/>
      <w:r w:rsidRPr="004077A2">
        <w:rPr>
          <w:sz w:val="28"/>
          <w:szCs w:val="28"/>
          <w:highlight w:val="white"/>
          <w:vertAlign w:val="baseline"/>
        </w:rPr>
        <w:t>1 in 10,000</w:t>
      </w:r>
      <w:bookmarkStart w:id="79" w:name="bookmark=id.1x0gk37" w:colFirst="0" w:colLast="0"/>
      <w:bookmarkEnd w:id="79"/>
      <w:r w:rsidRPr="004077A2">
        <w:rPr>
          <w:sz w:val="28"/>
          <w:szCs w:val="28"/>
          <w:highlight w:val="white"/>
          <w:vertAlign w:val="baseline"/>
        </w:rPr>
        <w:t xml:space="preserve"> chance that someone other than the defendant is the source of the DNA found at the crime scene (source probability), then he has succumbed to the prosecutor's fallacy.” </w:t>
      </w:r>
      <w:hyperlink r:id="rId28" w:anchor="co_pp_sp_780_128">
        <w:r w:rsidRPr="004077A2">
          <w:rPr>
            <w:i/>
            <w:sz w:val="28"/>
            <w:szCs w:val="28"/>
            <w:highlight w:val="white"/>
            <w:vertAlign w:val="baseline"/>
          </w:rPr>
          <w:t>Id.</w:t>
        </w:r>
      </w:hyperlink>
      <w:r w:rsidRPr="004077A2">
        <w:rPr>
          <w:sz w:val="28"/>
          <w:szCs w:val="28"/>
          <w:highlight w:val="white"/>
          <w:vertAlign w:val="baseline"/>
        </w:rPr>
        <w:t xml:space="preserve"> Recognizing “persuasiveness of </w:t>
      </w:r>
      <w:sdt>
        <w:sdtPr>
          <w:tag w:val="goog_rdk_0"/>
          <w:id w:val="1932623020"/>
        </w:sdtPr>
        <w:sdtEndPr/>
        <w:sdtContent/>
      </w:sdt>
      <w:r w:rsidR="004077A2">
        <w:rPr>
          <w:sz w:val="28"/>
          <w:szCs w:val="28"/>
          <w:highlight w:val="white"/>
          <w:vertAlign w:val="baseline"/>
        </w:rPr>
        <w:t>[DNA]</w:t>
      </w:r>
      <w:r w:rsidRPr="004077A2">
        <w:rPr>
          <w:sz w:val="28"/>
          <w:szCs w:val="28"/>
          <w:highlight w:val="white"/>
          <w:vertAlign w:val="baseline"/>
        </w:rPr>
        <w:t xml:space="preserve"> evidence in the eyes of the jury,” the United States Supreme Court has emphasized that “it is important that it be presented in a fair and reliable manner.” </w:t>
      </w:r>
      <w:bookmarkStart w:id="80" w:name="bookmark=id.4h042r0" w:colFirst="0" w:colLast="0"/>
      <w:bookmarkEnd w:id="80"/>
      <w:r w:rsidRPr="004077A2">
        <w:fldChar w:fldCharType="begin"/>
      </w:r>
      <w:r w:rsidRPr="004077A2">
        <w:instrText xml:space="preserve"> HYPERLINK "https://www.westlaw.com/Document/I17c00aabfeb911dea7e0c40c26bf1b92/View/FullText.html?transitionType=Default&amp;contextData=(sc.Default)&amp;VR=3.0&amp;RS=da3.0&amp;fragmentIdentifier=co_pp_sp_780_136" \h </w:instrText>
      </w:r>
      <w:r w:rsidRPr="004077A2">
        <w:fldChar w:fldCharType="separate"/>
      </w:r>
      <w:r w:rsidRPr="004077A2">
        <w:rPr>
          <w:i/>
          <w:sz w:val="28"/>
          <w:szCs w:val="28"/>
          <w:highlight w:val="white"/>
          <w:vertAlign w:val="baseline"/>
        </w:rPr>
        <w:t>Id.</w:t>
      </w:r>
      <w:r w:rsidRPr="004077A2">
        <w:rPr>
          <w:i/>
          <w:sz w:val="28"/>
          <w:szCs w:val="28"/>
          <w:highlight w:val="white"/>
          <w:vertAlign w:val="baseline"/>
        </w:rPr>
        <w:fldChar w:fldCharType="end"/>
      </w:r>
      <w:hyperlink r:id="rId29">
        <w:r w:rsidRPr="004077A2">
          <w:rPr>
            <w:sz w:val="28"/>
            <w:szCs w:val="28"/>
            <w:highlight w:val="white"/>
            <w:vertAlign w:val="baseline"/>
          </w:rPr>
          <w:t xml:space="preserve"> at 136</w:t>
        </w:r>
      </w:hyperlink>
      <w:bookmarkStart w:id="81" w:name="bookmark=id.2w5ecyt" w:colFirst="0" w:colLast="0"/>
      <w:bookmarkEnd w:id="81"/>
      <w:r w:rsidRPr="004077A2">
        <w:rPr>
          <w:sz w:val="28"/>
          <w:szCs w:val="28"/>
          <w:highlight w:val="white"/>
          <w:vertAlign w:val="baseline"/>
        </w:rPr>
        <w:t xml:space="preserve">. </w:t>
      </w:r>
    </w:p>
    <w:p w14:paraId="0000003B" w14:textId="77777777" w:rsidR="00AE3F71" w:rsidRDefault="00F70F56">
      <w:pPr>
        <w:shd w:val="clear" w:color="auto" w:fill="FFFFFF"/>
        <w:spacing w:line="480" w:lineRule="auto"/>
        <w:jc w:val="both"/>
        <w:rPr>
          <w:color w:val="000000"/>
          <w:sz w:val="28"/>
          <w:szCs w:val="28"/>
          <w:vertAlign w:val="baseline"/>
        </w:rPr>
      </w:pPr>
      <w:r>
        <w:rPr>
          <w:color w:val="000000"/>
          <w:sz w:val="28"/>
          <w:szCs w:val="28"/>
          <w:vertAlign w:val="baseline"/>
        </w:rPr>
        <w:tab/>
        <w:t xml:space="preserve">By clarifying </w:t>
      </w:r>
      <w:bookmarkStart w:id="82" w:name="bookmark=id.1baon6m" w:colFirst="0" w:colLast="0"/>
      <w:bookmarkEnd w:id="82"/>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702(d)</w:t>
      </w:r>
      <w:r>
        <w:rPr>
          <w:color w:val="0563C1"/>
          <w:sz w:val="28"/>
          <w:szCs w:val="28"/>
          <w:vertAlign w:val="baseline"/>
        </w:rPr>
        <w:fldChar w:fldCharType="end"/>
      </w:r>
      <w:bookmarkStart w:id="83" w:name="bookmark=id.3vac5uf" w:colFirst="0" w:colLast="0"/>
      <w:bookmarkEnd w:id="83"/>
      <w:r>
        <w:rPr>
          <w:color w:val="000000"/>
          <w:sz w:val="28"/>
          <w:szCs w:val="28"/>
          <w:vertAlign w:val="baseline"/>
        </w:rPr>
        <w:t xml:space="preserve"> to require that an “expert’s opinion reflects a reliable application of the principles and methods to the facts of the case,</w:t>
      </w:r>
      <w:r>
        <w:rPr>
          <w:color w:val="000000"/>
          <w:sz w:val="28"/>
          <w:szCs w:val="28"/>
          <w:vertAlign w:val="baseline"/>
        </w:rPr>
        <w:br/>
        <w:t xml:space="preserve">courts will reduce the likelihood that “the proponent gives the jury a bare-bones presentation which calls for their deference rather than providing the jury with enough information about the expert's methodology to enable the jury to make a rational appraisal of its weight.” Edward J. Imwinkelried, </w:t>
      </w:r>
      <w:bookmarkStart w:id="84" w:name="bookmark=id.2afmg28" w:colFirst="0" w:colLast="0"/>
      <w:bookmarkEnd w:id="84"/>
      <w:r>
        <w:fldChar w:fldCharType="begin"/>
      </w:r>
      <w:r>
        <w:instrText xml:space="preserve"> HYPERLINK "https://www.westlaw.com/Document/I03c4a761900f11ea80afece799150095/View/FullText.html?transitionType=Default&amp;contextData=(sc.Default)&amp;VR=3.0&amp;RS=da3.0&amp;fragmentIdentifier=co_pp_sp_1094_65" \h </w:instrText>
      </w:r>
      <w:r>
        <w:fldChar w:fldCharType="separate"/>
      </w:r>
      <w:r>
        <w:rPr>
          <w:i/>
          <w:color w:val="0563C1"/>
          <w:sz w:val="28"/>
          <w:szCs w:val="28"/>
          <w:vertAlign w:val="baseline"/>
        </w:rPr>
        <w:t xml:space="preserve">Improving the </w:t>
      </w:r>
      <w:r>
        <w:rPr>
          <w:i/>
          <w:color w:val="0563C1"/>
          <w:sz w:val="28"/>
          <w:szCs w:val="28"/>
          <w:vertAlign w:val="baseline"/>
        </w:rPr>
        <w:lastRenderedPageBreak/>
        <w:t>Presentation of Expert Testimony to the Trier of Fact: An Epistemological Insight in Search of an Evidentiary Theory</w:t>
      </w:r>
      <w:r>
        <w:rPr>
          <w:i/>
          <w:color w:val="0563C1"/>
          <w:sz w:val="28"/>
          <w:szCs w:val="28"/>
          <w:vertAlign w:val="baseline"/>
        </w:rPr>
        <w:fldChar w:fldCharType="end"/>
      </w:r>
      <w:hyperlink r:id="rId30">
        <w:r>
          <w:rPr>
            <w:color w:val="0563C1"/>
            <w:sz w:val="28"/>
            <w:szCs w:val="28"/>
            <w:vertAlign w:val="baseline"/>
          </w:rPr>
          <w:t>, 52 Ariz. St. L.J. 49, 65 (2020)</w:t>
        </w:r>
      </w:hyperlink>
      <w:bookmarkStart w:id="85" w:name="bookmark=id.pkwqa1" w:colFirst="0" w:colLast="0"/>
      <w:bookmarkEnd w:id="85"/>
      <w:r>
        <w:rPr>
          <w:color w:val="000000"/>
          <w:sz w:val="28"/>
          <w:szCs w:val="28"/>
          <w:vertAlign w:val="baseline"/>
        </w:rPr>
        <w:t xml:space="preserve">. </w:t>
      </w:r>
    </w:p>
    <w:p w14:paraId="0000003C" w14:textId="77777777" w:rsidR="00AE3F71" w:rsidRDefault="00F70F56">
      <w:pPr>
        <w:pBdr>
          <w:top w:val="nil"/>
          <w:left w:val="nil"/>
          <w:bottom w:val="nil"/>
          <w:right w:val="nil"/>
          <w:between w:val="nil"/>
        </w:pBdr>
        <w:spacing w:line="480" w:lineRule="auto"/>
        <w:jc w:val="both"/>
        <w:rPr>
          <w:sz w:val="28"/>
          <w:szCs w:val="28"/>
          <w:vertAlign w:val="baseline"/>
        </w:rPr>
      </w:pPr>
      <w:r>
        <w:rPr>
          <w:b/>
          <w:sz w:val="28"/>
          <w:szCs w:val="28"/>
          <w:vertAlign w:val="baseline"/>
        </w:rPr>
        <w:tab/>
      </w:r>
      <w:r>
        <w:rPr>
          <w:sz w:val="28"/>
          <w:szCs w:val="28"/>
          <w:vertAlign w:val="baseline"/>
        </w:rPr>
        <w:t xml:space="preserve">This Court should adopt the proposed amendment to </w:t>
      </w:r>
      <w:bookmarkStart w:id="86" w:name="bookmark=id.39kk8xu" w:colFirst="0" w:colLast="0"/>
      <w:bookmarkEnd w:id="86"/>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702(d)</w:t>
      </w:r>
      <w:r>
        <w:rPr>
          <w:color w:val="0563C1"/>
          <w:sz w:val="28"/>
          <w:szCs w:val="28"/>
          <w:vertAlign w:val="baseline"/>
        </w:rPr>
        <w:fldChar w:fldCharType="end"/>
      </w:r>
      <w:bookmarkStart w:id="87" w:name="bookmark=id.1opuj5n" w:colFirst="0" w:colLast="0"/>
      <w:bookmarkEnd w:id="87"/>
      <w:r>
        <w:rPr>
          <w:sz w:val="28"/>
          <w:szCs w:val="28"/>
          <w:vertAlign w:val="baseline"/>
        </w:rPr>
        <w:t xml:space="preserve"> to clarify that experts must present their opinions to the jury in a manner that accurately reflects the reliability of the opinion. </w:t>
      </w:r>
    </w:p>
    <w:p w14:paraId="0000003D" w14:textId="77777777" w:rsidR="00AE3F71" w:rsidRDefault="00F70F56">
      <w:pPr>
        <w:numPr>
          <w:ilvl w:val="0"/>
          <w:numId w:val="2"/>
        </w:numPr>
        <w:pBdr>
          <w:top w:val="nil"/>
          <w:left w:val="nil"/>
          <w:bottom w:val="nil"/>
          <w:right w:val="nil"/>
          <w:between w:val="nil"/>
        </w:pBdr>
        <w:spacing w:line="480" w:lineRule="auto"/>
        <w:jc w:val="both"/>
        <w:rPr>
          <w:b/>
          <w:color w:val="000000"/>
          <w:sz w:val="28"/>
          <w:szCs w:val="28"/>
          <w:vertAlign w:val="baseline"/>
        </w:rPr>
      </w:pPr>
      <w:r>
        <w:rPr>
          <w:b/>
          <w:color w:val="000000"/>
          <w:sz w:val="28"/>
          <w:szCs w:val="28"/>
          <w:vertAlign w:val="baseline"/>
        </w:rPr>
        <w:t xml:space="preserve">Conclusion </w:t>
      </w:r>
    </w:p>
    <w:p w14:paraId="0000003E" w14:textId="77777777" w:rsidR="00AE3F71" w:rsidRDefault="00F70F56">
      <w:pPr>
        <w:spacing w:line="480" w:lineRule="auto"/>
        <w:ind w:right="58" w:firstLine="720"/>
        <w:jc w:val="both"/>
        <w:rPr>
          <w:sz w:val="28"/>
          <w:szCs w:val="28"/>
          <w:vertAlign w:val="baseline"/>
        </w:rPr>
      </w:pPr>
      <w:r>
        <w:rPr>
          <w:sz w:val="28"/>
          <w:szCs w:val="28"/>
          <w:vertAlign w:val="baseline"/>
        </w:rPr>
        <w:t xml:space="preserve">The concern that jurors will defer to experts and accept their opinions without scrutiny has concerned judges and lawyers for a long time. </w:t>
      </w:r>
      <w:r>
        <w:rPr>
          <w:i/>
          <w:sz w:val="28"/>
          <w:szCs w:val="28"/>
          <w:vertAlign w:val="baseline"/>
        </w:rPr>
        <w:t xml:space="preserve">See </w:t>
      </w:r>
      <w:r>
        <w:rPr>
          <w:color w:val="3D3D3D"/>
          <w:sz w:val="28"/>
          <w:szCs w:val="28"/>
          <w:vertAlign w:val="baseline"/>
        </w:rPr>
        <w:br/>
        <w:t>Learned</w:t>
      </w:r>
      <w:r>
        <w:rPr>
          <w:color w:val="3D3D3D"/>
          <w:sz w:val="28"/>
          <w:szCs w:val="28"/>
          <w:highlight w:val="white"/>
          <w:vertAlign w:val="baseline"/>
        </w:rPr>
        <w:t> </w:t>
      </w:r>
      <w:r>
        <w:rPr>
          <w:color w:val="3D3D3D"/>
          <w:sz w:val="28"/>
          <w:szCs w:val="28"/>
          <w:vertAlign w:val="baseline"/>
        </w:rPr>
        <w:t>Hand</w:t>
      </w:r>
      <w:r>
        <w:rPr>
          <w:color w:val="3D3D3D"/>
          <w:sz w:val="28"/>
          <w:szCs w:val="28"/>
          <w:highlight w:val="white"/>
          <w:vertAlign w:val="baseline"/>
        </w:rPr>
        <w:t>, </w:t>
      </w:r>
      <w:bookmarkStart w:id="88" w:name="bookmark=id.48pi1tg" w:colFirst="0" w:colLast="0"/>
      <w:bookmarkEnd w:id="88"/>
      <w:r>
        <w:fldChar w:fldCharType="begin"/>
      </w:r>
      <w:r>
        <w:instrText xml:space="preserve"> HYPERLINK "https://www.westlaw.com/Document/I52beaee26ff211de9b8c850332338889/View/FullText.html?transitionType=Default&amp;contextData=(sc.Default)&amp;VR=3.0&amp;RS=da3.0&amp;fragmentIdentifier=co_pp_sp_3084_54" \h </w:instrText>
      </w:r>
      <w:r>
        <w:fldChar w:fldCharType="separate"/>
      </w:r>
      <w:r>
        <w:rPr>
          <w:i/>
          <w:color w:val="0563C1"/>
          <w:sz w:val="28"/>
          <w:szCs w:val="28"/>
          <w:highlight w:val="white"/>
          <w:vertAlign w:val="baseline"/>
        </w:rPr>
        <w:t>Historical and Practical Considerations Regarding Expert Testimony</w:t>
      </w:r>
      <w:r>
        <w:rPr>
          <w:i/>
          <w:color w:val="0563C1"/>
          <w:sz w:val="28"/>
          <w:szCs w:val="28"/>
          <w:highlight w:val="white"/>
          <w:vertAlign w:val="baseline"/>
        </w:rPr>
        <w:fldChar w:fldCharType="end"/>
      </w:r>
      <w:hyperlink r:id="rId31">
        <w:r>
          <w:rPr>
            <w:color w:val="0563C1"/>
            <w:sz w:val="28"/>
            <w:szCs w:val="28"/>
            <w:highlight w:val="white"/>
            <w:vertAlign w:val="baseline"/>
          </w:rPr>
          <w:t>, 15 Harv. L. Rev. 40, 54-55 (1901)</w:t>
        </w:r>
      </w:hyperlink>
      <w:bookmarkStart w:id="89" w:name="bookmark=id.2nusc19" w:colFirst="0" w:colLast="0"/>
      <w:bookmarkEnd w:id="89"/>
      <w:r>
        <w:rPr>
          <w:sz w:val="28"/>
          <w:szCs w:val="28"/>
          <w:vertAlign w:val="baseline"/>
        </w:rPr>
        <w:t xml:space="preserve">. </w:t>
      </w:r>
    </w:p>
    <w:bookmarkStart w:id="90" w:name="bookmark=id.1302m92" w:colFirst="0" w:colLast="0"/>
    <w:bookmarkEnd w:id="90"/>
    <w:p w14:paraId="0000003F" w14:textId="77777777" w:rsidR="00AE3F71" w:rsidRDefault="00F70F56">
      <w:pPr>
        <w:spacing w:line="480" w:lineRule="auto"/>
        <w:ind w:right="58" w:firstLine="720"/>
        <w:jc w:val="both"/>
        <w:rPr>
          <w:sz w:val="28"/>
          <w:szCs w:val="28"/>
          <w:vertAlign w:val="baseline"/>
        </w:rPr>
      </w:pPr>
      <w:r>
        <w:fldChar w:fldCharType="begin"/>
      </w:r>
      <w:r>
        <w:instrText xml:space="preserve"> HYPERLINK "https://www.westlaw.com/Document/N88060EA0E7DA11E0B453835EEBAB0BCD/View/FullText.html?transitionType=Default&amp;contextData=(sc.Default)&amp;VR=3.0&amp;RS=da3.0" \h </w:instrText>
      </w:r>
      <w:r>
        <w:fldChar w:fldCharType="separate"/>
      </w:r>
      <w:r>
        <w:rPr>
          <w:color w:val="0563C1"/>
          <w:sz w:val="28"/>
          <w:szCs w:val="28"/>
          <w:vertAlign w:val="baseline"/>
        </w:rPr>
        <w:t>Rule 702</w:t>
      </w:r>
      <w:r>
        <w:rPr>
          <w:color w:val="0563C1"/>
          <w:sz w:val="28"/>
          <w:szCs w:val="28"/>
          <w:vertAlign w:val="baseline"/>
        </w:rPr>
        <w:fldChar w:fldCharType="end"/>
      </w:r>
      <w:bookmarkStart w:id="91" w:name="bookmark=id.3mzq4wv" w:colFirst="0" w:colLast="0"/>
      <w:bookmarkEnd w:id="91"/>
      <w:r>
        <w:rPr>
          <w:sz w:val="28"/>
          <w:szCs w:val="28"/>
          <w:vertAlign w:val="baseline"/>
        </w:rPr>
        <w:t xml:space="preserve"> is designed to prevent unreliable expert evidence from reaching the jury. The proposed amendments clarify the burden of proponents and the limitations on expert testimony. Both are welcome improvements to ensure that trial judges carry out their gatekeeping role. </w:t>
      </w:r>
    </w:p>
    <w:p w14:paraId="00000040" w14:textId="77777777" w:rsidR="00AE3F71" w:rsidRDefault="00F70F56">
      <w:pPr>
        <w:spacing w:line="480" w:lineRule="auto"/>
        <w:ind w:right="58" w:firstLine="720"/>
        <w:jc w:val="both"/>
        <w:rPr>
          <w:sz w:val="28"/>
          <w:szCs w:val="28"/>
          <w:vertAlign w:val="baseline"/>
        </w:rPr>
      </w:pPr>
      <w:r>
        <w:rPr>
          <w:sz w:val="28"/>
          <w:szCs w:val="28"/>
          <w:vertAlign w:val="baseline"/>
        </w:rPr>
        <w:t xml:space="preserve">This Court should adopt the proposed amendments outlined in the Petition. </w:t>
      </w:r>
    </w:p>
    <w:p w14:paraId="445383C3" w14:textId="77777777" w:rsidR="004077A2" w:rsidRDefault="004077A2">
      <w:pPr>
        <w:spacing w:line="480" w:lineRule="auto"/>
        <w:ind w:right="58" w:firstLine="720"/>
        <w:jc w:val="both"/>
        <w:rPr>
          <w:sz w:val="28"/>
          <w:szCs w:val="28"/>
          <w:vertAlign w:val="baseline"/>
        </w:rPr>
      </w:pPr>
    </w:p>
    <w:p w14:paraId="00000041" w14:textId="77777777" w:rsidR="00AE3F71" w:rsidRDefault="00F70F56" w:rsidP="00C3628E">
      <w:pPr>
        <w:spacing w:line="480" w:lineRule="auto"/>
        <w:ind w:right="58" w:firstLine="720"/>
        <w:jc w:val="center"/>
        <w:rPr>
          <w:sz w:val="28"/>
          <w:szCs w:val="28"/>
          <w:vertAlign w:val="baseline"/>
        </w:rPr>
      </w:pPr>
      <w:bookmarkStart w:id="92" w:name="_GoBack"/>
      <w:bookmarkEnd w:id="92"/>
      <w:r>
        <w:rPr>
          <w:sz w:val="28"/>
          <w:szCs w:val="28"/>
          <w:vertAlign w:val="baseline"/>
        </w:rPr>
        <w:t>Respectfully submitted this 1</w:t>
      </w:r>
      <w:r>
        <w:rPr>
          <w:sz w:val="28"/>
          <w:szCs w:val="28"/>
        </w:rPr>
        <w:t>st</w:t>
      </w:r>
      <w:r>
        <w:rPr>
          <w:sz w:val="28"/>
          <w:szCs w:val="28"/>
          <w:vertAlign w:val="baseline"/>
        </w:rPr>
        <w:t xml:space="preserve"> day of May, 2023</w:t>
      </w:r>
    </w:p>
    <w:p w14:paraId="00000042" w14:textId="77777777" w:rsidR="00AE3F71" w:rsidRDefault="00F70F56" w:rsidP="004077A2">
      <w:pPr>
        <w:widowControl w:val="0"/>
        <w:tabs>
          <w:tab w:val="left" w:pos="0"/>
          <w:tab w:val="left" w:pos="720"/>
        </w:tabs>
        <w:ind w:left="720"/>
        <w:rPr>
          <w:i/>
          <w:sz w:val="28"/>
          <w:szCs w:val="28"/>
          <w:u w:val="single"/>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Pr>
          <w:i/>
          <w:sz w:val="28"/>
          <w:szCs w:val="28"/>
          <w:u w:val="single"/>
          <w:vertAlign w:val="baseline"/>
        </w:rPr>
        <w:t>Kate Milewski</w:t>
      </w:r>
    </w:p>
    <w:p w14:paraId="00000043" w14:textId="77777777" w:rsidR="00AE3F71" w:rsidRDefault="00F70F56" w:rsidP="004077A2">
      <w:pPr>
        <w:ind w:left="720"/>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Kate Milewski</w:t>
      </w:r>
    </w:p>
    <w:p w14:paraId="00000044" w14:textId="77777777" w:rsidR="00AE3F71" w:rsidRDefault="00F70F56" w:rsidP="004077A2">
      <w:pPr>
        <w:ind w:left="720"/>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Pinal County Public Defender</w:t>
      </w:r>
    </w:p>
    <w:p w14:paraId="00000048" w14:textId="52F29EE3" w:rsidR="00AE3F71" w:rsidRDefault="00F70F56" w:rsidP="004077A2">
      <w:pPr>
        <w:ind w:left="720"/>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p>
    <w:sectPr w:rsidR="00AE3F71">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0FAFF" w14:textId="77777777" w:rsidR="00A2358E" w:rsidRDefault="00A2358E">
      <w:r>
        <w:separator/>
      </w:r>
    </w:p>
  </w:endnote>
  <w:endnote w:type="continuationSeparator" w:id="0">
    <w:p w14:paraId="2F01AB63" w14:textId="77777777" w:rsidR="00A2358E" w:rsidRDefault="00A2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E" w14:textId="77777777" w:rsidR="00AE3F71" w:rsidRDefault="00AE3F7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0" w14:textId="77777777" w:rsidR="00AE3F71" w:rsidRDefault="00F70F56">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sidR="00C3628E">
      <w:rPr>
        <w:noProof/>
        <w:color w:val="000000"/>
        <w:sz w:val="28"/>
        <w:szCs w:val="28"/>
        <w:vertAlign w:val="baseline"/>
      </w:rPr>
      <w:t>9</w:t>
    </w:r>
    <w:r>
      <w:rPr>
        <w:color w:val="000000"/>
        <w:sz w:val="28"/>
        <w:szCs w:val="28"/>
        <w:vertAlign w:val="baseline"/>
      </w:rPr>
      <w:fldChar w:fldCharType="end"/>
    </w:r>
  </w:p>
  <w:p w14:paraId="00000051" w14:textId="77777777" w:rsidR="00AE3F71" w:rsidRDefault="00AE3F7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F" w14:textId="77777777" w:rsidR="00AE3F71" w:rsidRDefault="00AE3F7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0BAF5" w14:textId="77777777" w:rsidR="00A2358E" w:rsidRDefault="00A2358E">
      <w:r>
        <w:separator/>
      </w:r>
    </w:p>
  </w:footnote>
  <w:footnote w:type="continuationSeparator" w:id="0">
    <w:p w14:paraId="77405668" w14:textId="77777777" w:rsidR="00A2358E" w:rsidRDefault="00A2358E">
      <w:r>
        <w:continuationSeparator/>
      </w:r>
    </w:p>
  </w:footnote>
  <w:footnote w:id="1">
    <w:p w14:paraId="00000049" w14:textId="77777777" w:rsidR="00AE3F71" w:rsidRDefault="00F70F56">
      <w:pPr>
        <w:jc w:val="both"/>
        <w:rPr>
          <w:sz w:val="28"/>
          <w:szCs w:val="28"/>
          <w:vertAlign w:val="baseline"/>
        </w:rPr>
      </w:pPr>
      <w:r>
        <w:rPr>
          <w:rStyle w:val="FootnoteReference"/>
        </w:rPr>
        <w:footnoteRef/>
      </w:r>
      <w:r>
        <w:rPr>
          <w:sz w:val="28"/>
          <w:szCs w:val="28"/>
        </w:rPr>
        <w:t xml:space="preserve"> </w:t>
      </w:r>
      <w:r>
        <w:rPr>
          <w:i/>
          <w:sz w:val="28"/>
          <w:szCs w:val="28"/>
          <w:vertAlign w:val="baseline"/>
        </w:rPr>
        <w:t xml:space="preserve">See </w:t>
      </w:r>
      <w:bookmarkStart w:id="20" w:name="bookmark=id.2250f4o" w:colFirst="0" w:colLast="0"/>
      <w:bookmarkEnd w:id="20"/>
      <w:r>
        <w:fldChar w:fldCharType="begin"/>
      </w:r>
      <w:r>
        <w:instrText xml:space="preserve"> HYPERLINK "https://www.westlaw.com/Document/Ibdeb2e9a9c2511d9bc61beebb95be672/View/FullText.html?transitionType=Default&amp;contextData=(sc.Default)&amp;VR=3.0&amp;RS=da3.0&amp;fragmentIdentifier=co_pp_sp_780_455" \h </w:instrText>
      </w:r>
      <w:r>
        <w:fldChar w:fldCharType="separate"/>
      </w:r>
      <w:r>
        <w:rPr>
          <w:i/>
          <w:color w:val="0563C1"/>
          <w:sz w:val="28"/>
          <w:szCs w:val="28"/>
          <w:vertAlign w:val="baseline"/>
        </w:rPr>
        <w:t>Weisgram v. Marley Co.</w:t>
      </w:r>
      <w:r>
        <w:rPr>
          <w:i/>
          <w:color w:val="0563C1"/>
          <w:sz w:val="28"/>
          <w:szCs w:val="28"/>
          <w:vertAlign w:val="baseline"/>
        </w:rPr>
        <w:fldChar w:fldCharType="end"/>
      </w:r>
      <w:hyperlink r:id="rId1">
        <w:r>
          <w:rPr>
            <w:color w:val="0563C1"/>
            <w:sz w:val="28"/>
            <w:szCs w:val="28"/>
            <w:vertAlign w:val="baseline"/>
          </w:rPr>
          <w:t>, 528 U.S. 440, 455 (2000)</w:t>
        </w:r>
      </w:hyperlink>
      <w:bookmarkStart w:id="21" w:name="bookmark=id.haapch" w:colFirst="0" w:colLast="0"/>
      <w:bookmarkEnd w:id="21"/>
      <w:r>
        <w:rPr>
          <w:color w:val="000000"/>
          <w:sz w:val="28"/>
          <w:szCs w:val="28"/>
          <w:vertAlign w:val="baseline"/>
        </w:rPr>
        <w:t xml:space="preserve"> (“</w:t>
      </w:r>
      <w:r>
        <w:rPr>
          <w:color w:val="000000"/>
          <w:sz w:val="28"/>
          <w:szCs w:val="28"/>
          <w:highlight w:val="white"/>
          <w:vertAlign w:val="baseline"/>
        </w:rPr>
        <w:t>Since </w:t>
      </w:r>
      <w:r>
        <w:rPr>
          <w:i/>
          <w:color w:val="000000"/>
          <w:sz w:val="28"/>
          <w:szCs w:val="28"/>
          <w:vertAlign w:val="baseline"/>
        </w:rPr>
        <w:t>Daubert,</w:t>
      </w:r>
      <w:r>
        <w:rPr>
          <w:color w:val="000000"/>
          <w:sz w:val="28"/>
          <w:szCs w:val="28"/>
          <w:highlight w:val="white"/>
          <w:vertAlign w:val="baseline"/>
        </w:rPr>
        <w:t xml:space="preserve"> moreover, parties relying on expert evidence have had notice of the </w:t>
      </w:r>
      <w:r>
        <w:rPr>
          <w:i/>
          <w:color w:val="000000"/>
          <w:sz w:val="28"/>
          <w:szCs w:val="28"/>
          <w:highlight w:val="white"/>
          <w:vertAlign w:val="baseline"/>
        </w:rPr>
        <w:t>exacting standards</w:t>
      </w:r>
      <w:r>
        <w:rPr>
          <w:color w:val="000000"/>
          <w:sz w:val="28"/>
          <w:szCs w:val="28"/>
          <w:highlight w:val="white"/>
          <w:vertAlign w:val="baseline"/>
        </w:rPr>
        <w:t xml:space="preserve"> of reliability such evidence must meet.”) (emphasis added). </w:t>
      </w:r>
      <w:r>
        <w:rPr>
          <w:color w:val="000000"/>
          <w:sz w:val="28"/>
          <w:szCs w:val="28"/>
          <w:vertAlign w:val="baseline"/>
        </w:rPr>
        <w:br/>
      </w:r>
    </w:p>
    <w:p w14:paraId="0000004A" w14:textId="77777777" w:rsidR="00AE3F71" w:rsidRDefault="00AE3F71">
      <w:pPr>
        <w:widowControl w:val="0"/>
        <w:pBdr>
          <w:top w:val="nil"/>
          <w:left w:val="nil"/>
          <w:bottom w:val="nil"/>
          <w:right w:val="nil"/>
          <w:between w:val="nil"/>
        </w:pBdr>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C" w14:textId="77777777" w:rsidR="00AE3F71" w:rsidRDefault="00AE3F7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B" w14:textId="77777777" w:rsidR="00AE3F71" w:rsidRDefault="00AE3F7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D" w14:textId="77777777" w:rsidR="00AE3F71" w:rsidRDefault="00AE3F7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96F95"/>
    <w:multiLevelType w:val="multilevel"/>
    <w:tmpl w:val="CA90B524"/>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6556FCC"/>
    <w:multiLevelType w:val="multilevel"/>
    <w:tmpl w:val="536E221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6C2802B4"/>
    <w:multiLevelType w:val="multilevel"/>
    <w:tmpl w:val="DF7C12A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71"/>
    <w:rsid w:val="00204092"/>
    <w:rsid w:val="004077A2"/>
    <w:rsid w:val="00A2358E"/>
    <w:rsid w:val="00AE3F71"/>
    <w:rsid w:val="00C3628E"/>
    <w:rsid w:val="00F7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95255-F48B-4AEC-903F-4BF06AA1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vertAlign w:val="superscript"/>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59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semiHidden/>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B1330E"/>
    <w:rPr>
      <w:color w:val="0563C1" w:themeColor="hyperlink"/>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character" w:customStyle="1" w:styleId="cosearchterm">
    <w:name w:val="co_searchterm"/>
    <w:basedOn w:val="DefaultParagraphFont"/>
    <w:rsid w:val="00AC1CDA"/>
  </w:style>
  <w:style w:type="character" w:styleId="CommentReference">
    <w:name w:val="annotation reference"/>
    <w:basedOn w:val="DefaultParagraphFont"/>
    <w:uiPriority w:val="99"/>
    <w:semiHidden/>
    <w:unhideWhenUsed/>
    <w:rsid w:val="007F5467"/>
    <w:rPr>
      <w:sz w:val="16"/>
      <w:szCs w:val="16"/>
    </w:rPr>
  </w:style>
  <w:style w:type="paragraph" w:styleId="CommentText">
    <w:name w:val="annotation text"/>
    <w:basedOn w:val="Normal"/>
    <w:link w:val="CommentTextChar"/>
    <w:uiPriority w:val="99"/>
    <w:semiHidden/>
    <w:unhideWhenUsed/>
    <w:rsid w:val="007F5467"/>
  </w:style>
  <w:style w:type="character" w:customStyle="1" w:styleId="CommentTextChar">
    <w:name w:val="Comment Text Char"/>
    <w:basedOn w:val="DefaultParagraphFont"/>
    <w:link w:val="CommentText"/>
    <w:uiPriority w:val="99"/>
    <w:semiHidden/>
    <w:rsid w:val="007F5467"/>
  </w:style>
  <w:style w:type="paragraph" w:styleId="CommentSubject">
    <w:name w:val="annotation subject"/>
    <w:basedOn w:val="CommentText"/>
    <w:next w:val="CommentText"/>
    <w:link w:val="CommentSubjectChar"/>
    <w:uiPriority w:val="99"/>
    <w:semiHidden/>
    <w:unhideWhenUsed/>
    <w:rsid w:val="007F5467"/>
    <w:rPr>
      <w:b/>
      <w:bCs/>
    </w:rPr>
  </w:style>
  <w:style w:type="character" w:customStyle="1" w:styleId="CommentSubjectChar">
    <w:name w:val="Comment Subject Char"/>
    <w:basedOn w:val="CommentTextChar"/>
    <w:link w:val="CommentSubject"/>
    <w:uiPriority w:val="99"/>
    <w:semiHidden/>
    <w:rsid w:val="007F5467"/>
    <w:rPr>
      <w:b/>
      <w:bCs/>
    </w:rPr>
  </w:style>
  <w:style w:type="paragraph" w:styleId="BalloonText">
    <w:name w:val="Balloon Text"/>
    <w:basedOn w:val="Normal"/>
    <w:link w:val="BalloonTextChar"/>
    <w:uiPriority w:val="99"/>
    <w:semiHidden/>
    <w:unhideWhenUsed/>
    <w:rsid w:val="007F5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467"/>
    <w:rPr>
      <w:rFonts w:ascii="Segoe UI" w:hAnsi="Segoe UI" w:cs="Segoe UI"/>
      <w:sz w:val="18"/>
      <w:szCs w:val="18"/>
    </w:rPr>
  </w:style>
  <w:style w:type="character" w:styleId="FollowedHyperlink">
    <w:name w:val="FollowedHyperlink"/>
    <w:basedOn w:val="DefaultParagraphFont"/>
    <w:uiPriority w:val="99"/>
    <w:semiHidden/>
    <w:unhideWhenUsed/>
    <w:rsid w:val="005B486A"/>
    <w:rPr>
      <w:color w:val="0563C1" w:themeColor="followedHyperlink"/>
      <w:u w:val="single"/>
    </w:r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westlaw.com/Document/I65b1522730f911e99687ad62ac048e9b/View/FullText.html?transitionType=Default&amp;contextData=(sc.Default)&amp;VR=3.0&amp;RS=da3.0&amp;fragmentIdentifier=co_pp_sp_1218_762" TargetMode="External"/><Relationship Id="rId13" Type="http://schemas.openxmlformats.org/officeDocument/2006/relationships/hyperlink" Target="https://www.westlaw.com/Document/Ib33c052dcc3311e398db8b09b4f043e0/View/FullText.html?transitionType=Default&amp;contextData=(sc.Default)&amp;VR=3.0&amp;RS=da3.0&amp;fragmentIdentifier=co_pp_sp_166570_101" TargetMode="External"/><Relationship Id="rId18" Type="http://schemas.openxmlformats.org/officeDocument/2006/relationships/hyperlink" Target="https://www.westlaw.com/Document/I1fdf8304ec6911e4a795ac035416da91/View/FullText.html?transitionType=Default&amp;contextData=(sc.Default)&amp;VR=3.0&amp;RS=da3.0&amp;fragmentIdentifier=co_pp_sp_156_230" TargetMode="External"/><Relationship Id="rId26" Type="http://schemas.openxmlformats.org/officeDocument/2006/relationships/hyperlink" Target="https://1.next.westlaw.com/Document/I95afedc53a1111e89bf099c0ee06c731/View/FullText.html?VR=3.0&amp;RS=da3.0&amp;__lrTS=20230421154645238&amp;transitionType=Default&amp;contextData=(sc.Default)&amp;firstPage=true&amp;bhcp=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ytimes.com/2019/04/20/us/wrongful-convictions-forensic-results.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p.nationalacademies.org/download/12589" TargetMode="External"/><Relationship Id="rId17" Type="http://schemas.openxmlformats.org/officeDocument/2006/relationships/hyperlink" Target="https://www.westlaw.com/Document/I7313dd59e7e711e39488c8f438320c70/View/FullText.html?transitionType=Default&amp;contextData=(sc.Default)&amp;VR=3.0&amp;RS=da3.0&amp;fragmentIdentifier=co_pp_sp_156_593" TargetMode="External"/><Relationship Id="rId25" Type="http://schemas.openxmlformats.org/officeDocument/2006/relationships/hyperlink" Target="https://1.next.westlaw.com/Document/I95afedc53a1111e89bf099c0ee06c731/View/FullText.html?VR=3.0&amp;RS=da3.0&amp;__lrTS=20230421154645238&amp;transitionType=Default&amp;contextData=(sc.Default)&amp;firstPage=true&amp;bhcp=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estlaw.com/Document/I1fdf8304ec6911e4a795ac035416da91/View/FullText.html?transitionType=Default&amp;contextData=(sc.Default)&amp;VR=3.0&amp;RS=da3.0&amp;fragmentIdentifier=co_pp_sp_156_228" TargetMode="External"/><Relationship Id="rId20" Type="http://schemas.openxmlformats.org/officeDocument/2006/relationships/hyperlink" Target="https://www.westlaw.com/Document/I4142e032858011e8a5b3e3d9e23d7429/View/FullText.html?transitionType=Default&amp;contextData=(sc.Default)&amp;VR=3.0&amp;RS=da3.0&amp;fragmentIdentifier=co_pp_sp_3105_861" TargetMode="External"/><Relationship Id="rId29" Type="http://schemas.openxmlformats.org/officeDocument/2006/relationships/hyperlink" Target="https://www.westlaw.com/Document/I17c00aabfeb911dea7e0c40c26bf1b92/View/FullText.html?transitionType=Default&amp;contextData=(sc.Default)&amp;VR=3.0&amp;RS=da3.0&amp;fragmentIdentifier=co_pp_sp_780_1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p.nationalacademies.org/download/12589" TargetMode="External"/><Relationship Id="rId24" Type="http://schemas.openxmlformats.org/officeDocument/2006/relationships/hyperlink" Target="https://1.next.westlaw.com/Document/I95afedc53a1111e89bf099c0ee06c731/View/FullText.html?VR=3.0&amp;RS=da3.0&amp;__lrTS=20230421154645238&amp;transitionType=Default&amp;contextData=(sc.Default)&amp;firstPage=true&amp;bhcp=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estlaw.com/Document/Ib3c06091d3c011e79bef99c0ee06c731/View/FullText.html?transitionType=Default&amp;contextData=(sc.Default)&amp;VR=3.0&amp;RS=da3.0&amp;fragmentIdentifier=co_pp_sp_1206_1567" TargetMode="External"/><Relationship Id="rId23" Type="http://schemas.openxmlformats.org/officeDocument/2006/relationships/hyperlink" Target="https://www.westlaw.com/Document/I95afedc53a1111e89bf099c0ee06c731/View/FullText.html?transitionType=Default&amp;contextData=(sc.Default)&amp;VR=3.0&amp;RS=da3.0&amp;fragmentIdentifier=co_pp_sp_1142_1663" TargetMode="External"/><Relationship Id="rId28" Type="http://schemas.openxmlformats.org/officeDocument/2006/relationships/hyperlink" Target="https://1.next.westlaw.com/Document/I17c00aabfeb911dea7e0c40c26bf1b92/View/FullText.html?VR=3.0&amp;RS=da3.0&amp;__lrTS=20230421155007205&amp;transitionType=Default&amp;contextData=(sc.Default)" TargetMode="External"/><Relationship Id="rId36" Type="http://schemas.openxmlformats.org/officeDocument/2006/relationships/header" Target="header3.xml"/><Relationship Id="rId10" Type="http://schemas.openxmlformats.org/officeDocument/2006/relationships/hyperlink" Target="https://1.next.westlaw.com/Document/Ibfd87342c5dd11dc9ef6e6f359b87f02/View/FullText.html?transitionType=UniqueDocItem&amp;contextData=(sc.Default)&amp;userEnteredCitation=86+N.C.L.+Rev.163" TargetMode="External"/><Relationship Id="rId19" Type="http://schemas.openxmlformats.org/officeDocument/2006/relationships/hyperlink" Target="https://www.westlaw.com/Document/I41a7a6f3f79e11d99439b076ef9ec4de/View/FullText.html?transitionType=Default&amp;contextData=(sc.Default)&amp;VR=3.0&amp;RS=da3.0&amp;fragmentIdentifier=co_pp_sp_156_48" TargetMode="External"/><Relationship Id="rId31" Type="http://schemas.openxmlformats.org/officeDocument/2006/relationships/hyperlink" Target="https://www.westlaw.com/Document/I52beaee26ff211de9b8c850332338889/View/FullText.html?transitionType=Default&amp;contextData=(sc.Default)&amp;VR=3.0&amp;RS=da3.0&amp;fragmentIdentifier=co_pp_sp_3084_54" TargetMode="External"/><Relationship Id="rId4" Type="http://schemas.openxmlformats.org/officeDocument/2006/relationships/settings" Target="settings.xml"/><Relationship Id="rId9" Type="http://schemas.openxmlformats.org/officeDocument/2006/relationships/hyperlink" Target="https://www.westlaw.com/Document/Ia1db9fb40de011e89bf099c0ee06c731/View/FullText.html?transitionType=Default&amp;contextData=(sc.Default)&amp;VR=3.0&amp;RS=da3.0&amp;fragmentIdentifier=co_pp_sp_1160_118" TargetMode="External"/><Relationship Id="rId14" Type="http://schemas.openxmlformats.org/officeDocument/2006/relationships/hyperlink" Target="https://www.westlaw.com/Document/I52510d4a80fb11e8a5b3e3d9e23d7429/View/FullText.html?transitionType=Default&amp;contextData=(sc.Default)&amp;VR=3.0&amp;RS=da3.0&amp;fragmentIdentifier=co_pp_sp_1441_1974" TargetMode="External"/><Relationship Id="rId22" Type="http://schemas.openxmlformats.org/officeDocument/2006/relationships/hyperlink" Target="https://www.westlaw.com/Document/Ifc522198014911e698dc8b09b4f043e0/View/FullText.html?transitionType=Default&amp;contextData=(sc.Default)&amp;VR=3.0&amp;RS=da3.0&amp;fragmentIdentifier=co_pp_sp_221101_104" TargetMode="External"/><Relationship Id="rId27" Type="http://schemas.openxmlformats.org/officeDocument/2006/relationships/hyperlink" Target="https://www.westlaw.com/Document/I17c00aabfeb911dea7e0c40c26bf1b92/View/FullText.html?transitionType=Default&amp;contextData=(sc.Default)&amp;VR=3.0&amp;RS=da3.0&amp;fragmentIdentifier=co_pp_sp_780_128" TargetMode="External"/><Relationship Id="rId30" Type="http://schemas.openxmlformats.org/officeDocument/2006/relationships/hyperlink" Target="https://www.westlaw.com/Document/I03c4a761900f11ea80afece799150095/View/FullText.html?transitionType=Default&amp;contextData=(sc.Default)&amp;VR=3.0&amp;RS=da3.0&amp;fragmentIdentifier=co_pp_sp_1094_65"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estlaw.com/Document/Ibdeb2e9a9c2511d9bc61beebb95be672/View/FullText.html?transitionType=Default&amp;contextData=(sc.Default)&amp;VR=3.0&amp;RS=da3.0&amp;fragmentIdentifier=co_pp_sp_780_455"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KAn0kjEHi/6qSzvZBKuEzxvv6g==">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25741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 (OPD)</dc:creator>
  <cp:lastModifiedBy>Kevin Heade</cp:lastModifiedBy>
  <cp:revision>2</cp:revision>
  <dcterms:created xsi:type="dcterms:W3CDTF">2023-04-26T19:13:00Z</dcterms:created>
  <dcterms:modified xsi:type="dcterms:W3CDTF">2023-04-26T19:13:00Z</dcterms:modified>
</cp:coreProperties>
</file>