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147FBD84" w14:textId="056F97F8"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276A01">
              <w:rPr>
                <w:b/>
                <w:sz w:val="28"/>
                <w:szCs w:val="28"/>
              </w:rPr>
              <w:t>AMEND RULE 9.1 OF THE ARIZONA RULES OF CRIMINAL PROCEDURE</w:t>
            </w:r>
          </w:p>
          <w:p w14:paraId="03963DD5"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35CED5CB" w14:textId="7340A5A3"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276A01">
              <w:rPr>
                <w:sz w:val="28"/>
                <w:szCs w:val="28"/>
              </w:rPr>
              <w:t>0013</w:t>
            </w:r>
          </w:p>
          <w:p w14:paraId="5AEC962D" w14:textId="121F5E6C" w:rsidR="00357F4D" w:rsidRPr="00276A01" w:rsidRDefault="00A4249C" w:rsidP="000F7A7F">
            <w:pPr>
              <w:pStyle w:val="Caption"/>
              <w:tabs>
                <w:tab w:val="left" w:pos="1238"/>
              </w:tabs>
              <w:spacing w:line="260" w:lineRule="exact"/>
              <w:ind w:right="115"/>
              <w:jc w:val="center"/>
              <w:rPr>
                <w:b/>
                <w:sz w:val="28"/>
                <w:szCs w:val="28"/>
              </w:rPr>
            </w:pPr>
            <w:r w:rsidRPr="00276A01">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4FBEBA41" w14:textId="77777777" w:rsidR="00276A01" w:rsidRDefault="00276A01" w:rsidP="00276A01">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r w:rsidRPr="006F63FD">
        <w:rPr>
          <w:sz w:val="28"/>
          <w:szCs w:val="28"/>
        </w:rPr>
        <w:t xml:space="preserve"> </w:t>
      </w:r>
    </w:p>
    <w:p w14:paraId="62FC20D5" w14:textId="77777777" w:rsidR="00276A01" w:rsidRDefault="00276A01" w:rsidP="00276A01">
      <w:pPr>
        <w:pStyle w:val="Body"/>
        <w:widowControl w:val="0"/>
        <w:spacing w:line="480" w:lineRule="auto"/>
        <w:ind w:firstLine="720"/>
        <w:jc w:val="both"/>
        <w:rPr>
          <w:sz w:val="28"/>
          <w:szCs w:val="28"/>
        </w:rPr>
      </w:pPr>
      <w:r>
        <w:rPr>
          <w:sz w:val="28"/>
          <w:szCs w:val="28"/>
        </w:rPr>
        <w:t xml:space="preserve">After review by the State Bar’s Criminal Practice and Procedure Committee, the State Bar does not support the Petition as written. The Petition seeks to modify Rule 9.1 of the Arizona Rules of Criminal Procedure by not allowing for trials </w:t>
      </w:r>
      <w:r w:rsidRPr="00B53B3A">
        <w:rPr>
          <w:i/>
          <w:iCs/>
          <w:sz w:val="28"/>
          <w:szCs w:val="28"/>
        </w:rPr>
        <w:t>in absentia</w:t>
      </w:r>
      <w:r>
        <w:rPr>
          <w:sz w:val="28"/>
          <w:szCs w:val="28"/>
        </w:rPr>
        <w:t xml:space="preserve"> under any circumstances.  The State Bar believes the better approach would be to modify the current rule to allow for trials </w:t>
      </w:r>
      <w:r w:rsidRPr="00A73620">
        <w:rPr>
          <w:i/>
          <w:iCs/>
          <w:sz w:val="28"/>
          <w:szCs w:val="28"/>
        </w:rPr>
        <w:t>in absentia</w:t>
      </w:r>
      <w:r>
        <w:rPr>
          <w:sz w:val="28"/>
          <w:szCs w:val="28"/>
        </w:rPr>
        <w:t xml:space="preserve"> by having the trial court balance the prosecution’s bases for requesting a trial </w:t>
      </w:r>
      <w:r w:rsidRPr="00A73620">
        <w:rPr>
          <w:i/>
          <w:iCs/>
          <w:sz w:val="28"/>
          <w:szCs w:val="28"/>
        </w:rPr>
        <w:t>in absentia</w:t>
      </w:r>
      <w:r>
        <w:rPr>
          <w:sz w:val="28"/>
          <w:szCs w:val="28"/>
        </w:rPr>
        <w:t xml:space="preserve"> with the record concerning the defendant’s notice and the circumstances surrounding the </w:t>
      </w:r>
      <w:r>
        <w:rPr>
          <w:sz w:val="28"/>
          <w:szCs w:val="28"/>
        </w:rPr>
        <w:lastRenderedPageBreak/>
        <w:t>defendant’s absence.</w:t>
      </w:r>
    </w:p>
    <w:p w14:paraId="7D8487AE" w14:textId="77777777" w:rsidR="00276A01" w:rsidRDefault="00276A01" w:rsidP="00276A01">
      <w:pPr>
        <w:pStyle w:val="Body"/>
        <w:widowControl w:val="0"/>
        <w:spacing w:line="480" w:lineRule="auto"/>
        <w:ind w:firstLine="720"/>
        <w:jc w:val="both"/>
        <w:rPr>
          <w:sz w:val="28"/>
          <w:szCs w:val="28"/>
        </w:rPr>
      </w:pPr>
      <w:r>
        <w:rPr>
          <w:sz w:val="28"/>
          <w:szCs w:val="28"/>
        </w:rPr>
        <w:t xml:space="preserve">One reason the State Bar does not support the Petition as written is because it fails to recognize the concerns of a victim’s right to a speedy trial, which is addressed by Arizona law.  The inability to conduct a trial </w:t>
      </w:r>
      <w:r w:rsidRPr="00B53B3A">
        <w:rPr>
          <w:i/>
          <w:iCs/>
          <w:sz w:val="28"/>
          <w:szCs w:val="28"/>
        </w:rPr>
        <w:t>in absentia</w:t>
      </w:r>
      <w:r>
        <w:rPr>
          <w:sz w:val="28"/>
          <w:szCs w:val="28"/>
        </w:rPr>
        <w:t xml:space="preserve"> under any circumstance can cause lengthy delays in the resolution of some cases.  When a defendant and victim’s constitutional rights conflict, it requires a balancing of those rights by the court.  </w:t>
      </w:r>
      <w:r>
        <w:rPr>
          <w:i/>
          <w:iCs/>
          <w:sz w:val="28"/>
          <w:szCs w:val="28"/>
        </w:rPr>
        <w:t xml:space="preserve">State ex rel. </w:t>
      </w:r>
      <w:proofErr w:type="spellStart"/>
      <w:r>
        <w:rPr>
          <w:i/>
          <w:iCs/>
          <w:sz w:val="28"/>
          <w:szCs w:val="28"/>
        </w:rPr>
        <w:t>Romley</w:t>
      </w:r>
      <w:proofErr w:type="spellEnd"/>
      <w:r>
        <w:rPr>
          <w:i/>
          <w:iCs/>
          <w:sz w:val="28"/>
          <w:szCs w:val="28"/>
        </w:rPr>
        <w:t xml:space="preserve"> v. Superior Court, </w:t>
      </w:r>
      <w:r>
        <w:rPr>
          <w:sz w:val="28"/>
          <w:szCs w:val="28"/>
        </w:rPr>
        <w:t xml:space="preserve">172 Ariz. 232, 836 P.2d 335 (App. 1992). There could be other valid prosecutorial concerns regarding the need for a trial </w:t>
      </w:r>
      <w:r w:rsidRPr="00A73620">
        <w:rPr>
          <w:i/>
          <w:iCs/>
          <w:sz w:val="28"/>
          <w:szCs w:val="28"/>
        </w:rPr>
        <w:t>in absentia</w:t>
      </w:r>
      <w:r>
        <w:rPr>
          <w:sz w:val="28"/>
          <w:szCs w:val="28"/>
        </w:rPr>
        <w:t xml:space="preserve"> in individual cases that cannot be addressed under the changes proposed in the Petition.</w:t>
      </w:r>
    </w:p>
    <w:p w14:paraId="60562B86" w14:textId="77777777" w:rsidR="00276A01" w:rsidRDefault="00276A01" w:rsidP="00276A01">
      <w:pPr>
        <w:pStyle w:val="Body"/>
        <w:widowControl w:val="0"/>
        <w:spacing w:line="480" w:lineRule="auto"/>
        <w:ind w:firstLine="720"/>
        <w:jc w:val="both"/>
        <w:rPr>
          <w:sz w:val="28"/>
          <w:szCs w:val="28"/>
        </w:rPr>
      </w:pPr>
      <w:r>
        <w:rPr>
          <w:sz w:val="28"/>
          <w:szCs w:val="28"/>
        </w:rPr>
        <w:t xml:space="preserve">Conversely, there are concerns arising from trials </w:t>
      </w:r>
      <w:r w:rsidRPr="00A73620">
        <w:rPr>
          <w:i/>
          <w:iCs/>
          <w:sz w:val="28"/>
          <w:szCs w:val="28"/>
        </w:rPr>
        <w:t>in absentia</w:t>
      </w:r>
      <w:r>
        <w:rPr>
          <w:sz w:val="28"/>
          <w:szCs w:val="28"/>
        </w:rPr>
        <w:t xml:space="preserve">.  When the defendant is not present in the courtroom during trial, it raises issues concerning the fairness of the proceeding and of the truth-seeking aspect of trials.  When a defendant is not present during a trial, it could pose the risk of a jury inference that the defendant may be guilty simply because he/she is not present, without further explanation of the reasons for the defendant’s absence.  Further, when a defendant is not present for trial, it creates issues with respect to identification of the defendant, including in-person identification by the witness and matching of photos and/or fingerprints. Furthermore, trials </w:t>
      </w:r>
      <w:r w:rsidRPr="00A73620">
        <w:rPr>
          <w:i/>
          <w:iCs/>
          <w:sz w:val="28"/>
          <w:szCs w:val="28"/>
        </w:rPr>
        <w:t>in absentia</w:t>
      </w:r>
      <w:r>
        <w:rPr>
          <w:sz w:val="28"/>
          <w:szCs w:val="28"/>
        </w:rPr>
        <w:t xml:space="preserve"> could pose the risk of creating a burden on judicial resources if there is later a challenge to the trial being conducted in </w:t>
      </w:r>
      <w:r>
        <w:rPr>
          <w:sz w:val="28"/>
          <w:szCs w:val="28"/>
        </w:rPr>
        <w:lastRenderedPageBreak/>
        <w:t xml:space="preserve">absentia. </w:t>
      </w:r>
    </w:p>
    <w:p w14:paraId="64D0A3B2" w14:textId="77777777" w:rsidR="00276A01" w:rsidRDefault="00276A01" w:rsidP="00276A01">
      <w:pPr>
        <w:pStyle w:val="Body"/>
        <w:widowControl w:val="0"/>
        <w:spacing w:line="480" w:lineRule="auto"/>
        <w:ind w:firstLine="720"/>
        <w:jc w:val="both"/>
        <w:rPr>
          <w:sz w:val="28"/>
          <w:szCs w:val="28"/>
        </w:rPr>
      </w:pPr>
      <w:r>
        <w:rPr>
          <w:sz w:val="28"/>
          <w:szCs w:val="28"/>
        </w:rPr>
        <w:t xml:space="preserve">The State Bar does have concerns with the adequacy of the current version of Rule 9.1’s; more specifically, protecting a defendant’s right to be present.  Currently, trial courts are allowed to </w:t>
      </w:r>
      <w:r>
        <w:rPr>
          <w:i/>
          <w:iCs/>
          <w:sz w:val="28"/>
          <w:szCs w:val="28"/>
        </w:rPr>
        <w:t>infer</w:t>
      </w:r>
      <w:r>
        <w:rPr>
          <w:sz w:val="28"/>
          <w:szCs w:val="28"/>
        </w:rPr>
        <w:t xml:space="preserve"> that a defendant is voluntarily absenting himself.  The current rule allows that inference to be based on a finding the defendant had actual notice of three things: (1) the date and time of the proceeding; (2) the right to be present; and (3) that the proceeding would go forward in the defendant’s absence.  The State Bar is concerned that while these findings address whether the defendant’s absence is knowing, they do not address whether it is voluntary.  A defendant could have adequate notice and yet still be absent for a myriad of reasons outside of the defendant’s control. </w:t>
      </w:r>
    </w:p>
    <w:p w14:paraId="3324D2B5" w14:textId="77777777" w:rsidR="00276A01" w:rsidRPr="006F63FD" w:rsidRDefault="00276A01" w:rsidP="00276A01">
      <w:pPr>
        <w:pStyle w:val="Body"/>
        <w:widowControl w:val="0"/>
        <w:spacing w:line="480" w:lineRule="auto"/>
        <w:ind w:firstLine="720"/>
        <w:jc w:val="both"/>
        <w:rPr>
          <w:rStyle w:val="BodyTextChar"/>
          <w:sz w:val="28"/>
          <w:szCs w:val="28"/>
        </w:rPr>
      </w:pPr>
      <w:r>
        <w:rPr>
          <w:sz w:val="28"/>
          <w:szCs w:val="28"/>
        </w:rPr>
        <w:tab/>
        <w:t xml:space="preserve">The State Bar believes a better approach would be to modify the current Rule 9.1 in a manner that allows for trials </w:t>
      </w:r>
      <w:r w:rsidRPr="00A73620">
        <w:rPr>
          <w:i/>
          <w:iCs/>
          <w:sz w:val="28"/>
          <w:szCs w:val="28"/>
        </w:rPr>
        <w:t>in absentia</w:t>
      </w:r>
      <w:r>
        <w:rPr>
          <w:sz w:val="28"/>
          <w:szCs w:val="28"/>
        </w:rPr>
        <w:t xml:space="preserve">, but with the trial court first conducting a balancing test between the prosecution’s bases for requesting a trial </w:t>
      </w:r>
      <w:r w:rsidRPr="00A73620">
        <w:rPr>
          <w:i/>
          <w:iCs/>
          <w:sz w:val="28"/>
          <w:szCs w:val="28"/>
        </w:rPr>
        <w:t>in absentia</w:t>
      </w:r>
      <w:r>
        <w:rPr>
          <w:sz w:val="28"/>
          <w:szCs w:val="28"/>
        </w:rPr>
        <w:t xml:space="preserve"> and all the concerns regarding the defendant’s right to be present, including those discussed above.</w:t>
      </w:r>
    </w:p>
    <w:p w14:paraId="26B44AF0" w14:textId="77777777" w:rsidR="00276A01" w:rsidRPr="006F63FD" w:rsidRDefault="00276A01" w:rsidP="00276A01">
      <w:pPr>
        <w:pStyle w:val="Body"/>
        <w:widowControl w:val="0"/>
        <w:spacing w:line="480" w:lineRule="auto"/>
        <w:ind w:left="90" w:firstLine="0"/>
        <w:jc w:val="center"/>
        <w:rPr>
          <w:rStyle w:val="BodyTextChar"/>
          <w:b/>
          <w:sz w:val="28"/>
          <w:szCs w:val="28"/>
        </w:rPr>
      </w:pPr>
      <w:r w:rsidRPr="006F63FD">
        <w:rPr>
          <w:rStyle w:val="BodyTextChar"/>
          <w:b/>
          <w:sz w:val="28"/>
          <w:szCs w:val="28"/>
        </w:rPr>
        <w:t>CONCLUSION</w:t>
      </w:r>
    </w:p>
    <w:p w14:paraId="6DABA337" w14:textId="77051594" w:rsidR="00276A01" w:rsidRPr="005479DB" w:rsidRDefault="00276A01" w:rsidP="00276A01">
      <w:pPr>
        <w:pStyle w:val="Body"/>
        <w:widowControl w:val="0"/>
        <w:spacing w:line="480" w:lineRule="auto"/>
        <w:ind w:firstLine="720"/>
        <w:jc w:val="both"/>
        <w:rPr>
          <w:sz w:val="28"/>
          <w:szCs w:val="28"/>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 xml:space="preserve">the Court not grant the Petition because it believes the better approach is to have a rule that would allow for trials </w:t>
      </w:r>
      <w:r w:rsidRPr="00A73620">
        <w:rPr>
          <w:i/>
          <w:iCs/>
          <w:sz w:val="28"/>
          <w:szCs w:val="28"/>
        </w:rPr>
        <w:t xml:space="preserve">in </w:t>
      </w:r>
      <w:r w:rsidRPr="00A73620">
        <w:rPr>
          <w:i/>
          <w:iCs/>
          <w:sz w:val="28"/>
          <w:szCs w:val="28"/>
        </w:rPr>
        <w:t>absentia</w:t>
      </w:r>
      <w:r>
        <w:rPr>
          <w:sz w:val="28"/>
          <w:szCs w:val="28"/>
        </w:rPr>
        <w:t xml:space="preserve"> but</w:t>
      </w:r>
      <w:r>
        <w:rPr>
          <w:sz w:val="28"/>
          <w:szCs w:val="28"/>
        </w:rPr>
        <w:t xml:space="preserve"> would first require the trial court to conduct a balancing </w:t>
      </w:r>
      <w:r>
        <w:rPr>
          <w:sz w:val="28"/>
          <w:szCs w:val="28"/>
        </w:rPr>
        <w:lastRenderedPageBreak/>
        <w:t xml:space="preserve">test, balancing the prosecution’s bases for requesting a trial </w:t>
      </w:r>
      <w:r w:rsidRPr="00A73620">
        <w:rPr>
          <w:i/>
          <w:iCs/>
          <w:sz w:val="28"/>
          <w:szCs w:val="28"/>
        </w:rPr>
        <w:t>in absentia</w:t>
      </w:r>
      <w:r>
        <w:rPr>
          <w:sz w:val="28"/>
          <w:szCs w:val="28"/>
        </w:rPr>
        <w:t xml:space="preserve"> with the record concerning the defendant’s notice and the circumstances surrounding the defendant’s absence.</w:t>
      </w:r>
    </w:p>
    <w:p w14:paraId="5D02FE20" w14:textId="77777777" w:rsidR="000F7A7F" w:rsidRPr="000F7A7F" w:rsidRDefault="000F7A7F" w:rsidP="000F7C13">
      <w:pPr>
        <w:pStyle w:val="Body"/>
        <w:widowControl w:val="0"/>
        <w:tabs>
          <w:tab w:val="left" w:pos="720"/>
        </w:tabs>
        <w:ind w:firstLine="0"/>
        <w:rPr>
          <w:szCs w:val="26"/>
        </w:rPr>
      </w:pPr>
    </w:p>
    <w:p w14:paraId="56DC022B" w14:textId="1039536E"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276A01">
        <w:rPr>
          <w:sz w:val="28"/>
          <w:szCs w:val="28"/>
        </w:rPr>
        <w:t>1</w:t>
      </w:r>
      <w:r w:rsidR="00276A01" w:rsidRPr="00276A01">
        <w:rPr>
          <w:sz w:val="28"/>
          <w:szCs w:val="28"/>
          <w:vertAlign w:val="superscript"/>
        </w:rPr>
        <w:t>st</w:t>
      </w:r>
      <w:r w:rsidR="00276A01">
        <w:rPr>
          <w:sz w:val="28"/>
          <w:szCs w:val="28"/>
        </w:rPr>
        <w:t xml:space="preserve"> </w:t>
      </w:r>
      <w:r w:rsidR="000C48A9" w:rsidRPr="006F63FD">
        <w:rPr>
          <w:sz w:val="28"/>
          <w:szCs w:val="28"/>
        </w:rPr>
        <w:t>day of</w:t>
      </w:r>
      <w:r w:rsidR="00276A01">
        <w:rPr>
          <w:sz w:val="28"/>
          <w:szCs w:val="28"/>
        </w:rPr>
        <w:t xml:space="preserve"> </w:t>
      </w:r>
      <w:proofErr w:type="gramStart"/>
      <w:r w:rsidR="00276A01">
        <w:rPr>
          <w:sz w:val="28"/>
          <w:szCs w:val="28"/>
        </w:rPr>
        <w:t>May</w:t>
      </w:r>
      <w:r w:rsidR="00D60D9B">
        <w:rPr>
          <w:sz w:val="28"/>
          <w:szCs w:val="28"/>
        </w:rPr>
        <w:t>,</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19BDBE54" w:rsidR="000C48A9" w:rsidRPr="00276A01" w:rsidRDefault="00276A01"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4D1C87E2"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276A01">
        <w:rPr>
          <w:sz w:val="28"/>
          <w:szCs w:val="28"/>
        </w:rPr>
        <w:t>1</w:t>
      </w:r>
      <w:r w:rsidR="00276A01" w:rsidRPr="00276A01">
        <w:rPr>
          <w:sz w:val="28"/>
          <w:szCs w:val="28"/>
          <w:vertAlign w:val="superscript"/>
        </w:rPr>
        <w:t>st</w:t>
      </w:r>
      <w:r w:rsidR="00276A01">
        <w:rPr>
          <w:sz w:val="28"/>
          <w:szCs w:val="28"/>
        </w:rPr>
        <w:t xml:space="preserve"> </w:t>
      </w:r>
      <w:r w:rsidR="000F7A7F" w:rsidRPr="00C52E56">
        <w:rPr>
          <w:sz w:val="28"/>
          <w:szCs w:val="28"/>
        </w:rPr>
        <w:t xml:space="preserve">day of </w:t>
      </w:r>
      <w:proofErr w:type="gramStart"/>
      <w:r w:rsidR="00276A01">
        <w:rPr>
          <w:sz w:val="28"/>
          <w:szCs w:val="28"/>
        </w:rPr>
        <w:t>May</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0D6EA3DD" w:rsidR="000C48A9" w:rsidRPr="00C52E56" w:rsidRDefault="000C48A9" w:rsidP="000C48A9">
      <w:pPr>
        <w:spacing w:line="240" w:lineRule="auto"/>
        <w:ind w:right="4572"/>
        <w:rPr>
          <w:sz w:val="28"/>
          <w:szCs w:val="28"/>
        </w:rPr>
      </w:pPr>
      <w:r w:rsidRPr="00C52E56">
        <w:rPr>
          <w:sz w:val="28"/>
          <w:szCs w:val="28"/>
        </w:rPr>
        <w:t>by:</w:t>
      </w:r>
      <w:r w:rsidR="00276A01">
        <w:rPr>
          <w:sz w:val="28"/>
          <w:szCs w:val="28"/>
        </w:rPr>
        <w:t xml:space="preserve"> </w:t>
      </w:r>
      <w:proofErr w:type="spellStart"/>
      <w:r w:rsidR="00276A01">
        <w:rPr>
          <w:sz w:val="28"/>
          <w:szCs w:val="28"/>
        </w:rPr>
        <w:t>PSeguin</w:t>
      </w:r>
      <w:proofErr w:type="spellEnd"/>
      <w:r w:rsidRPr="00C52E56">
        <w:rPr>
          <w:sz w:val="28"/>
          <w:szCs w:val="28"/>
        </w:rPr>
        <w:t xml:space="preserve"> </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276A01"/>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4</Pages>
  <Words>722</Words>
  <Characters>3722</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2023-05-01T22:32:00Z</dcterms:created>
  <dcterms:modified xsi:type="dcterms:W3CDTF">2023-05-01T22:32:00Z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