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B3A00" w14:textId="3434924F" w:rsidR="0041704C" w:rsidRDefault="0041704C" w:rsidP="00A74317">
      <w:pPr>
        <w:pStyle w:val="AttorneyName"/>
        <w:spacing w:line="240" w:lineRule="auto"/>
        <w:rPr>
          <w:rFonts w:ascii="Times New Roman" w:hAnsi="Times New Roman"/>
          <w:b/>
          <w:sz w:val="24"/>
          <w:szCs w:val="24"/>
        </w:rPr>
      </w:pPr>
      <w:r>
        <w:rPr>
          <w:rFonts w:ascii="Times New Roman" w:hAnsi="Times New Roman"/>
          <w:b/>
          <w:sz w:val="24"/>
          <w:szCs w:val="24"/>
        </w:rPr>
        <w:t>ARIZONA ATTORNEYS FOR CRIMINAL JUSTICE</w:t>
      </w:r>
    </w:p>
    <w:p w14:paraId="442F9F02" w14:textId="64656E74" w:rsidR="00A74317" w:rsidRPr="00DA0D25"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David J. Euchner</w:t>
      </w:r>
      <w:r w:rsidR="00A74317" w:rsidRPr="00DA0D25">
        <w:rPr>
          <w:rFonts w:ascii="Times New Roman" w:hAnsi="Times New Roman"/>
          <w:b/>
          <w:sz w:val="24"/>
          <w:szCs w:val="24"/>
        </w:rPr>
        <w:t>, SB#02</w:t>
      </w:r>
      <w:r>
        <w:rPr>
          <w:rFonts w:ascii="Times New Roman" w:hAnsi="Times New Roman"/>
          <w:b/>
          <w:sz w:val="24"/>
          <w:szCs w:val="24"/>
        </w:rPr>
        <w:t>1</w:t>
      </w:r>
      <w:r w:rsidR="009B5BAF">
        <w:rPr>
          <w:rFonts w:ascii="Times New Roman" w:hAnsi="Times New Roman"/>
          <w:b/>
          <w:sz w:val="24"/>
          <w:szCs w:val="24"/>
        </w:rPr>
        <w:t>768</w:t>
      </w:r>
    </w:p>
    <w:p w14:paraId="3479BB2D" w14:textId="027CD7E4" w:rsidR="00A74317" w:rsidRPr="002F1FBD"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33 N. Stone Ave., 21</w:t>
      </w:r>
      <w:r w:rsidRPr="00AC3538">
        <w:rPr>
          <w:rFonts w:ascii="Times New Roman" w:hAnsi="Times New Roman"/>
          <w:b/>
          <w:sz w:val="24"/>
          <w:szCs w:val="24"/>
          <w:vertAlign w:val="superscript"/>
        </w:rPr>
        <w:t>st</w:t>
      </w:r>
      <w:r>
        <w:rPr>
          <w:rFonts w:ascii="Times New Roman" w:hAnsi="Times New Roman"/>
          <w:b/>
          <w:sz w:val="24"/>
          <w:szCs w:val="24"/>
        </w:rPr>
        <w:t xml:space="preserve"> Floor, Tucson, AZ 85701</w:t>
      </w:r>
    </w:p>
    <w:p w14:paraId="3D0E8D2E" w14:textId="42606A80" w:rsidR="00A74317" w:rsidRDefault="00A74317" w:rsidP="00A74317">
      <w:pPr>
        <w:pStyle w:val="AttorneyName"/>
        <w:spacing w:line="240" w:lineRule="auto"/>
        <w:rPr>
          <w:rFonts w:ascii="Times New Roman" w:hAnsi="Times New Roman"/>
          <w:b/>
          <w:sz w:val="24"/>
          <w:szCs w:val="24"/>
        </w:rPr>
      </w:pPr>
      <w:r>
        <w:rPr>
          <w:rFonts w:ascii="Times New Roman" w:hAnsi="Times New Roman"/>
          <w:b/>
          <w:sz w:val="24"/>
          <w:szCs w:val="24"/>
        </w:rPr>
        <w:t>TEL:</w:t>
      </w:r>
      <w:r w:rsidR="009B5BAF">
        <w:rPr>
          <w:rFonts w:ascii="Times New Roman" w:hAnsi="Times New Roman"/>
          <w:b/>
          <w:sz w:val="24"/>
          <w:szCs w:val="24"/>
        </w:rPr>
        <w:t xml:space="preserve"> </w:t>
      </w:r>
      <w:r w:rsidRPr="002F1FBD">
        <w:rPr>
          <w:rFonts w:ascii="Times New Roman" w:hAnsi="Times New Roman"/>
          <w:b/>
          <w:sz w:val="24"/>
          <w:szCs w:val="24"/>
        </w:rPr>
        <w:t>(</w:t>
      </w:r>
      <w:r w:rsidR="00AC3538">
        <w:rPr>
          <w:rFonts w:ascii="Times New Roman" w:hAnsi="Times New Roman"/>
          <w:b/>
          <w:sz w:val="24"/>
          <w:szCs w:val="24"/>
        </w:rPr>
        <w:t>52</w:t>
      </w:r>
      <w:r w:rsidR="009B5BAF">
        <w:rPr>
          <w:rFonts w:ascii="Times New Roman" w:hAnsi="Times New Roman"/>
          <w:b/>
          <w:sz w:val="24"/>
          <w:szCs w:val="24"/>
        </w:rPr>
        <w:t xml:space="preserve">0) </w:t>
      </w:r>
      <w:r w:rsidR="00AC3538">
        <w:rPr>
          <w:rFonts w:ascii="Times New Roman" w:hAnsi="Times New Roman"/>
          <w:b/>
          <w:sz w:val="24"/>
          <w:szCs w:val="24"/>
        </w:rPr>
        <w:t>724</w:t>
      </w:r>
      <w:r w:rsidR="009B5BAF">
        <w:rPr>
          <w:rFonts w:ascii="Times New Roman" w:hAnsi="Times New Roman"/>
          <w:b/>
          <w:sz w:val="24"/>
          <w:szCs w:val="24"/>
        </w:rPr>
        <w:t>-</w:t>
      </w:r>
      <w:r w:rsidR="00AC3538">
        <w:rPr>
          <w:rFonts w:ascii="Times New Roman" w:hAnsi="Times New Roman"/>
          <w:b/>
          <w:sz w:val="24"/>
          <w:szCs w:val="24"/>
        </w:rPr>
        <w:t>68</w:t>
      </w:r>
      <w:r w:rsidR="009B5BAF">
        <w:rPr>
          <w:rFonts w:ascii="Times New Roman" w:hAnsi="Times New Roman"/>
          <w:b/>
          <w:sz w:val="24"/>
          <w:szCs w:val="24"/>
        </w:rPr>
        <w:t>00</w:t>
      </w:r>
    </w:p>
    <w:p w14:paraId="724B03C3" w14:textId="04F6CA8C" w:rsidR="00A74317" w:rsidRDefault="00A74317" w:rsidP="00A74317">
      <w:pPr>
        <w:pStyle w:val="AttorneyName"/>
        <w:spacing w:line="240" w:lineRule="auto"/>
        <w:rPr>
          <w:rStyle w:val="Hyperlink"/>
          <w:rFonts w:ascii="Times New Roman" w:hAnsi="Times New Roman"/>
          <w:b/>
          <w:sz w:val="24"/>
          <w:szCs w:val="24"/>
        </w:rPr>
      </w:pPr>
      <w:r>
        <w:rPr>
          <w:rFonts w:ascii="Times New Roman" w:hAnsi="Times New Roman"/>
          <w:b/>
          <w:sz w:val="24"/>
          <w:szCs w:val="24"/>
        </w:rPr>
        <w:t xml:space="preserve">E-Mail: </w:t>
      </w:r>
      <w:hyperlink r:id="rId11" w:history="1">
        <w:r w:rsidR="00AC3538" w:rsidRPr="00B370A5">
          <w:rPr>
            <w:rStyle w:val="Hyperlink"/>
            <w:rFonts w:ascii="Times New Roman" w:hAnsi="Times New Roman"/>
            <w:b/>
            <w:sz w:val="24"/>
            <w:szCs w:val="24"/>
          </w:rPr>
          <w:t>david.euchner@pima.gov</w:t>
        </w:r>
      </w:hyperlink>
      <w:r w:rsidR="00AC3538">
        <w:rPr>
          <w:rFonts w:ascii="Times New Roman" w:hAnsi="Times New Roman"/>
          <w:b/>
          <w:sz w:val="24"/>
          <w:szCs w:val="24"/>
        </w:rPr>
        <w:t xml:space="preserve"> </w:t>
      </w:r>
      <w:r w:rsidR="009B5BAF">
        <w:rPr>
          <w:rFonts w:ascii="Times New Roman" w:hAnsi="Times New Roman"/>
          <w:b/>
          <w:sz w:val="24"/>
          <w:szCs w:val="24"/>
        </w:rPr>
        <w:t xml:space="preserve"> </w:t>
      </w:r>
    </w:p>
    <w:p w14:paraId="42DC38D1" w14:textId="0C54092F" w:rsidR="00A74317" w:rsidRPr="00DA0D25" w:rsidRDefault="00DA0D25" w:rsidP="00A74317">
      <w:pPr>
        <w:pStyle w:val="AttorneyName"/>
        <w:spacing w:line="240" w:lineRule="auto"/>
        <w:rPr>
          <w:rFonts w:ascii="Times New Roman" w:hAnsi="Times New Roman"/>
          <w:b/>
          <w:sz w:val="24"/>
          <w:szCs w:val="24"/>
        </w:rPr>
      </w:pPr>
      <w:r>
        <w:rPr>
          <w:rFonts w:ascii="Times New Roman" w:hAnsi="Times New Roman"/>
          <w:b/>
          <w:sz w:val="24"/>
          <w:szCs w:val="24"/>
        </w:rPr>
        <w:t>Attorney for Arizona Attorneys for Criminal Justice</w:t>
      </w:r>
    </w:p>
    <w:p w14:paraId="268AB7EF" w14:textId="77777777" w:rsidR="00DC38DE" w:rsidRPr="0014499B" w:rsidRDefault="00DC38DE" w:rsidP="002E545E">
      <w:pPr>
        <w:pStyle w:val="AttorneyName"/>
        <w:spacing w:line="240" w:lineRule="auto"/>
        <w:rPr>
          <w:rFonts w:ascii="Times New Roman" w:hAnsi="Times New Roman"/>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 xml:space="preserve">IN THE SUPREME COURT OF THE STATE OF </w:t>
      </w:r>
      <w:smartTag w:uri="urn:schemas-microsoft-com:office:smarttags" w:element="place">
        <w:smartTag w:uri="urn:schemas-microsoft-com:office:smarttags" w:element="State">
          <w:r w:rsidRPr="0014499B">
            <w:rPr>
              <w:rFonts w:ascii="Times New Roman" w:hAnsi="Times New Roman"/>
              <w:b/>
              <w:sz w:val="28"/>
              <w:szCs w:val="28"/>
            </w:rPr>
            <w:t>ARIZONA</w:t>
          </w:r>
        </w:smartTag>
      </w:smartTag>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268AB804" w14:textId="77777777" w:rsidTr="00DB2614">
        <w:tc>
          <w:tcPr>
            <w:tcW w:w="4542"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5"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23E5716A" w:rsidR="00DC38DE" w:rsidRPr="0014499B" w:rsidRDefault="00DC38DE" w:rsidP="00C76BAA">
            <w:pPr>
              <w:tabs>
                <w:tab w:val="left" w:pos="1500"/>
              </w:tabs>
              <w:spacing w:line="240" w:lineRule="auto"/>
              <w:rPr>
                <w:rFonts w:ascii="Times New Roman" w:hAnsi="Times New Roman"/>
                <w:sz w:val="28"/>
                <w:szCs w:val="28"/>
              </w:rPr>
            </w:pPr>
            <w:bookmarkStart w:id="1" w:name="_Hlk92816280"/>
            <w:r w:rsidRPr="0014499B">
              <w:rPr>
                <w:rFonts w:ascii="Times New Roman" w:hAnsi="Times New Roman"/>
                <w:sz w:val="28"/>
                <w:szCs w:val="28"/>
              </w:rPr>
              <w:t xml:space="preserve">Petition to </w:t>
            </w:r>
            <w:r w:rsidR="00D0294B">
              <w:rPr>
                <w:rFonts w:ascii="Times New Roman" w:hAnsi="Times New Roman"/>
                <w:sz w:val="28"/>
                <w:szCs w:val="28"/>
              </w:rPr>
              <w:t>A</w:t>
            </w:r>
            <w:r w:rsidR="00C60CF3">
              <w:rPr>
                <w:rFonts w:ascii="Times New Roman" w:hAnsi="Times New Roman"/>
                <w:sz w:val="28"/>
                <w:szCs w:val="28"/>
              </w:rPr>
              <w:t>mend</w:t>
            </w:r>
            <w:r w:rsidRPr="0014499B">
              <w:rPr>
                <w:rFonts w:ascii="Times New Roman" w:hAnsi="Times New Roman"/>
                <w:sz w:val="28"/>
                <w:szCs w:val="28"/>
              </w:rPr>
              <w:t xml:space="preserve"> </w:t>
            </w:r>
            <w:r w:rsidR="00A74317">
              <w:rPr>
                <w:rFonts w:ascii="Times New Roman" w:hAnsi="Times New Roman"/>
                <w:sz w:val="28"/>
                <w:szCs w:val="28"/>
              </w:rPr>
              <w:t xml:space="preserve">Arizona Rule of </w:t>
            </w:r>
            <w:r w:rsidR="00C60CF3">
              <w:rPr>
                <w:rFonts w:ascii="Times New Roman" w:hAnsi="Times New Roman"/>
                <w:sz w:val="28"/>
                <w:szCs w:val="28"/>
              </w:rPr>
              <w:t>Evidence</w:t>
            </w:r>
            <w:r w:rsidR="00A03454">
              <w:rPr>
                <w:rFonts w:ascii="Times New Roman" w:hAnsi="Times New Roman"/>
                <w:sz w:val="28"/>
                <w:szCs w:val="28"/>
              </w:rPr>
              <w:t xml:space="preserve"> </w:t>
            </w:r>
            <w:bookmarkEnd w:id="1"/>
            <w:r w:rsidR="00F20876">
              <w:rPr>
                <w:rFonts w:ascii="Times New Roman" w:hAnsi="Times New Roman"/>
                <w:sz w:val="28"/>
                <w:szCs w:val="28"/>
              </w:rPr>
              <w:t>615</w:t>
            </w:r>
          </w:p>
        </w:tc>
        <w:tc>
          <w:tcPr>
            <w:tcW w:w="276"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E" w14:textId="2112B1E4"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F"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A494FAF" w14:textId="77777777" w:rsidR="00DC38DE"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DB5E2EB" w14:textId="77777777" w:rsidR="002C54D2"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p w14:paraId="268AB800" w14:textId="256C2C56" w:rsidR="002C54D2" w:rsidRPr="0014499B"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tc>
        <w:tc>
          <w:tcPr>
            <w:tcW w:w="4542" w:type="dxa"/>
            <w:shd w:val="clear" w:color="auto" w:fill="auto"/>
          </w:tcPr>
          <w:p w14:paraId="268AB801" w14:textId="72F18E82" w:rsidR="00DC38DE" w:rsidRPr="0014499B" w:rsidRDefault="00DC38DE" w:rsidP="00DB2614">
            <w:pPr>
              <w:pStyle w:val="SingleSpacing"/>
              <w:spacing w:line="240" w:lineRule="auto"/>
              <w:rPr>
                <w:rFonts w:ascii="Times New Roman" w:hAnsi="Times New Roman"/>
                <w:sz w:val="28"/>
                <w:szCs w:val="28"/>
              </w:rPr>
            </w:pPr>
            <w:bookmarkStart w:id="2" w:name="CaseNumber"/>
            <w:bookmarkEnd w:id="2"/>
            <w:r w:rsidRPr="0014499B">
              <w:rPr>
                <w:rFonts w:ascii="Times New Roman" w:hAnsi="Times New Roman"/>
                <w:sz w:val="28"/>
                <w:szCs w:val="28"/>
              </w:rPr>
              <w:t>No. R-</w:t>
            </w:r>
            <w:r w:rsidR="002C54D2">
              <w:rPr>
                <w:rFonts w:ascii="Times New Roman" w:hAnsi="Times New Roman"/>
                <w:sz w:val="28"/>
                <w:szCs w:val="28"/>
              </w:rPr>
              <w:t>2</w:t>
            </w:r>
            <w:r w:rsidR="00C60CF3">
              <w:rPr>
                <w:rFonts w:ascii="Times New Roman" w:hAnsi="Times New Roman"/>
                <w:sz w:val="28"/>
                <w:szCs w:val="28"/>
              </w:rPr>
              <w:t>3</w:t>
            </w:r>
            <w:r w:rsidR="002C54D2">
              <w:rPr>
                <w:rFonts w:ascii="Times New Roman" w:hAnsi="Times New Roman"/>
                <w:sz w:val="28"/>
                <w:szCs w:val="28"/>
              </w:rPr>
              <w:t>-00</w:t>
            </w:r>
            <w:r w:rsidR="00C60CF3">
              <w:rPr>
                <w:rFonts w:ascii="Times New Roman" w:hAnsi="Times New Roman"/>
                <w:sz w:val="28"/>
                <w:szCs w:val="28"/>
              </w:rPr>
              <w:t>0</w:t>
            </w:r>
            <w:r w:rsidR="003459B8">
              <w:rPr>
                <w:rFonts w:ascii="Times New Roman" w:hAnsi="Times New Roman"/>
                <w:sz w:val="28"/>
                <w:szCs w:val="28"/>
              </w:rPr>
              <w:t>3</w:t>
            </w:r>
          </w:p>
          <w:p w14:paraId="268AB802" w14:textId="77777777" w:rsidR="00DC38DE" w:rsidRPr="0014499B" w:rsidRDefault="00DC38DE" w:rsidP="00DB2614">
            <w:pPr>
              <w:pStyle w:val="SingleSpacing"/>
              <w:spacing w:line="240" w:lineRule="auto"/>
              <w:rPr>
                <w:rFonts w:ascii="Times New Roman" w:hAnsi="Times New Roman"/>
                <w:sz w:val="28"/>
                <w:szCs w:val="28"/>
              </w:rPr>
            </w:pPr>
          </w:p>
          <w:p w14:paraId="268AB803" w14:textId="4E1B2411" w:rsidR="00DC38DE" w:rsidRPr="00F84E06" w:rsidRDefault="002C54D2" w:rsidP="00C76BAA">
            <w:pPr>
              <w:pStyle w:val="SingleSpacing"/>
              <w:spacing w:line="240" w:lineRule="auto"/>
              <w:rPr>
                <w:rFonts w:ascii="Times New Roman" w:hAnsi="Times New Roman"/>
                <w:b/>
                <w:i/>
                <w:sz w:val="28"/>
                <w:szCs w:val="28"/>
              </w:rPr>
            </w:pPr>
            <w:r>
              <w:rPr>
                <w:rFonts w:ascii="Times New Roman" w:hAnsi="Times New Roman"/>
                <w:b/>
                <w:sz w:val="28"/>
                <w:szCs w:val="28"/>
              </w:rPr>
              <w:t xml:space="preserve">COMMENT OF ARIZONA ATTORNEYS FOR CRIMINAL JUSTICE (AACJ) IN SUPPORT OF </w:t>
            </w:r>
            <w:r w:rsidR="00DC38DE" w:rsidRPr="0014499B">
              <w:rPr>
                <w:rFonts w:ascii="Times New Roman" w:hAnsi="Times New Roman"/>
                <w:b/>
                <w:sz w:val="28"/>
                <w:szCs w:val="28"/>
              </w:rPr>
              <w:t>PETITION TO A</w:t>
            </w:r>
            <w:r w:rsidR="003459B8">
              <w:rPr>
                <w:rFonts w:ascii="Times New Roman" w:hAnsi="Times New Roman"/>
                <w:b/>
                <w:sz w:val="28"/>
                <w:szCs w:val="28"/>
              </w:rPr>
              <w:t>MEN</w:t>
            </w:r>
            <w:r w:rsidR="00DC38DE" w:rsidRPr="0014499B">
              <w:rPr>
                <w:rFonts w:ascii="Times New Roman" w:hAnsi="Times New Roman"/>
                <w:b/>
                <w:sz w:val="28"/>
                <w:szCs w:val="28"/>
              </w:rPr>
              <w:t xml:space="preserve">D ARIZONA RULE OF </w:t>
            </w:r>
            <w:r w:rsidR="00A03454">
              <w:rPr>
                <w:rFonts w:ascii="Times New Roman" w:hAnsi="Times New Roman"/>
                <w:b/>
                <w:sz w:val="28"/>
                <w:szCs w:val="28"/>
              </w:rPr>
              <w:t>E</w:t>
            </w:r>
            <w:r w:rsidR="00C60CF3">
              <w:rPr>
                <w:rFonts w:ascii="Times New Roman" w:hAnsi="Times New Roman"/>
                <w:b/>
                <w:sz w:val="28"/>
                <w:szCs w:val="28"/>
              </w:rPr>
              <w:t xml:space="preserve">VIDENCE </w:t>
            </w:r>
            <w:r w:rsidR="00F20876">
              <w:rPr>
                <w:rFonts w:ascii="Times New Roman" w:hAnsi="Times New Roman"/>
                <w:b/>
                <w:sz w:val="28"/>
                <w:szCs w:val="28"/>
              </w:rPr>
              <w:t>615</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1CC5A357" w14:textId="56E8FF51" w:rsidR="001D0E6C" w:rsidRDefault="00DC38DE" w:rsidP="007F091F">
      <w:pPr>
        <w:spacing w:line="480" w:lineRule="auto"/>
        <w:jc w:val="both"/>
        <w:rPr>
          <w:rFonts w:ascii="Times New Roman" w:hAnsi="Times New Roman"/>
          <w:sz w:val="28"/>
          <w:szCs w:val="28"/>
        </w:rPr>
      </w:pPr>
      <w:r>
        <w:rPr>
          <w:rFonts w:ascii="Times New Roman" w:hAnsi="Times New Roman"/>
          <w:sz w:val="28"/>
          <w:szCs w:val="28"/>
        </w:rPr>
        <w:tab/>
      </w:r>
      <w:r w:rsidRPr="0014499B">
        <w:rPr>
          <w:rFonts w:ascii="Times New Roman" w:hAnsi="Times New Roman"/>
          <w:sz w:val="28"/>
          <w:szCs w:val="28"/>
        </w:rPr>
        <w:t xml:space="preserve">Pursuant to Rule 28 of the Arizona Rules of </w:t>
      </w:r>
      <w:r w:rsidR="00D0294B">
        <w:rPr>
          <w:rFonts w:ascii="Times New Roman" w:hAnsi="Times New Roman"/>
          <w:sz w:val="28"/>
          <w:szCs w:val="28"/>
        </w:rPr>
        <w:t xml:space="preserve">the </w:t>
      </w:r>
      <w:r w:rsidRPr="0014499B">
        <w:rPr>
          <w:rFonts w:ascii="Times New Roman" w:hAnsi="Times New Roman"/>
          <w:sz w:val="28"/>
          <w:szCs w:val="28"/>
        </w:rPr>
        <w:t xml:space="preserve">Supreme Court, Arizona Attorneys for Criminal Justice (“AACJ”) hereby submits the following </w:t>
      </w:r>
      <w:r w:rsidR="002C54D2">
        <w:rPr>
          <w:rFonts w:ascii="Times New Roman" w:hAnsi="Times New Roman"/>
          <w:sz w:val="28"/>
          <w:szCs w:val="28"/>
        </w:rPr>
        <w:t xml:space="preserve">comment on the </w:t>
      </w:r>
      <w:r w:rsidRPr="0014499B">
        <w:rPr>
          <w:rFonts w:ascii="Times New Roman" w:hAnsi="Times New Roman"/>
          <w:sz w:val="28"/>
          <w:szCs w:val="28"/>
        </w:rPr>
        <w:t>petition</w:t>
      </w:r>
      <w:r w:rsidR="00A74317">
        <w:rPr>
          <w:rFonts w:ascii="Times New Roman" w:hAnsi="Times New Roman"/>
          <w:sz w:val="28"/>
          <w:szCs w:val="28"/>
        </w:rPr>
        <w:t xml:space="preserve"> to </w:t>
      </w:r>
      <w:r w:rsidR="00D156C1">
        <w:rPr>
          <w:rFonts w:ascii="Times New Roman" w:hAnsi="Times New Roman"/>
          <w:sz w:val="28"/>
          <w:szCs w:val="28"/>
        </w:rPr>
        <w:t>amend</w:t>
      </w:r>
      <w:r w:rsidR="00A74317">
        <w:rPr>
          <w:rFonts w:ascii="Times New Roman" w:hAnsi="Times New Roman"/>
          <w:sz w:val="28"/>
          <w:szCs w:val="28"/>
        </w:rPr>
        <w:t xml:space="preserve"> Arizona Rule of </w:t>
      </w:r>
      <w:r w:rsidR="00D156C1">
        <w:rPr>
          <w:rFonts w:ascii="Times New Roman" w:hAnsi="Times New Roman"/>
          <w:sz w:val="28"/>
          <w:szCs w:val="28"/>
        </w:rPr>
        <w:t xml:space="preserve">Evidence </w:t>
      </w:r>
      <w:r w:rsidR="00C76BAA">
        <w:rPr>
          <w:rFonts w:ascii="Times New Roman" w:hAnsi="Times New Roman"/>
          <w:sz w:val="28"/>
          <w:szCs w:val="28"/>
        </w:rPr>
        <w:t>6</w:t>
      </w:r>
      <w:r w:rsidR="00D156C1">
        <w:rPr>
          <w:rFonts w:ascii="Times New Roman" w:hAnsi="Times New Roman"/>
          <w:sz w:val="28"/>
          <w:szCs w:val="28"/>
        </w:rPr>
        <w:t>15</w:t>
      </w:r>
      <w:r w:rsidR="00A74317">
        <w:rPr>
          <w:rFonts w:ascii="Times New Roman" w:hAnsi="Times New Roman"/>
          <w:sz w:val="28"/>
          <w:szCs w:val="28"/>
        </w:rPr>
        <w:t>.</w:t>
      </w:r>
    </w:p>
    <w:p w14:paraId="268AB806" w14:textId="3047267D" w:rsidR="00DC38DE" w:rsidRDefault="00A629F8" w:rsidP="001D0E6C">
      <w:pPr>
        <w:spacing w:line="480" w:lineRule="auto"/>
        <w:ind w:firstLine="720"/>
        <w:jc w:val="both"/>
        <w:rPr>
          <w:rFonts w:ascii="Times New Roman" w:hAnsi="Times New Roman"/>
          <w:sz w:val="28"/>
          <w:szCs w:val="28"/>
        </w:rPr>
      </w:pPr>
      <w:r w:rsidRPr="00A629F8">
        <w:rPr>
          <w:rFonts w:ascii="Times New Roman" w:hAnsi="Times New Roman"/>
          <w:sz w:val="28"/>
          <w:szCs w:val="28"/>
        </w:rPr>
        <w:t xml:space="preserve">AACJ, the Arizona state affiliate of the National Association of Criminal Defense Lawyers, was founded in 1986 in order to give a voice to the rights of the criminally accused and to those attorneys who defend the accused. AACJ is a statewide not-for-profit membership organization of criminal defense lawyers, law students, and associated professionals dedicated to protecting the rights of the accused in the courts and in the legislature, promoting excellence in the practice of criminal law through education, training and mutual assistance, and fostering public </w:t>
      </w:r>
      <w:r w:rsidRPr="00A629F8">
        <w:rPr>
          <w:rFonts w:ascii="Times New Roman" w:hAnsi="Times New Roman"/>
          <w:sz w:val="28"/>
          <w:szCs w:val="28"/>
        </w:rPr>
        <w:lastRenderedPageBreak/>
        <w:t>awareness of citizens’ rights, the criminal justice system, and the role of the defense lawyer.</w:t>
      </w:r>
    </w:p>
    <w:p w14:paraId="09E1C13B" w14:textId="1BF50B36" w:rsidR="00D156C1" w:rsidRDefault="00A67DAD"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For the reasons stated in this comment, </w:t>
      </w:r>
      <w:r w:rsidR="00A03454">
        <w:rPr>
          <w:rFonts w:ascii="Times New Roman" w:hAnsi="Times New Roman"/>
          <w:sz w:val="28"/>
          <w:szCs w:val="28"/>
        </w:rPr>
        <w:t xml:space="preserve">AACJ </w:t>
      </w:r>
      <w:r>
        <w:rPr>
          <w:rFonts w:ascii="Times New Roman" w:hAnsi="Times New Roman"/>
          <w:sz w:val="28"/>
          <w:szCs w:val="28"/>
        </w:rPr>
        <w:t>does not agree with Petitioner that most of the proposed amendments to</w:t>
      </w:r>
      <w:r w:rsidR="00C76BAA">
        <w:rPr>
          <w:rFonts w:ascii="Times New Roman" w:hAnsi="Times New Roman"/>
          <w:sz w:val="28"/>
          <w:szCs w:val="28"/>
        </w:rPr>
        <w:t xml:space="preserve"> </w:t>
      </w:r>
      <w:r w:rsidR="00C60CF3">
        <w:rPr>
          <w:rFonts w:ascii="Times New Roman" w:hAnsi="Times New Roman"/>
          <w:sz w:val="28"/>
          <w:szCs w:val="28"/>
        </w:rPr>
        <w:t xml:space="preserve">Rule </w:t>
      </w:r>
      <w:r w:rsidR="00D156C1">
        <w:rPr>
          <w:rFonts w:ascii="Times New Roman" w:hAnsi="Times New Roman"/>
          <w:sz w:val="28"/>
          <w:szCs w:val="28"/>
        </w:rPr>
        <w:t>615</w:t>
      </w:r>
      <w:r w:rsidR="00B90D16">
        <w:rPr>
          <w:rFonts w:ascii="Times New Roman" w:hAnsi="Times New Roman"/>
          <w:sz w:val="28"/>
          <w:szCs w:val="28"/>
        </w:rPr>
        <w:t xml:space="preserve"> </w:t>
      </w:r>
      <w:r>
        <w:rPr>
          <w:rFonts w:ascii="Times New Roman" w:hAnsi="Times New Roman"/>
          <w:sz w:val="28"/>
          <w:szCs w:val="28"/>
        </w:rPr>
        <w:t>are necessary and proper</w:t>
      </w:r>
      <w:r w:rsidR="00B90D16">
        <w:rPr>
          <w:rFonts w:ascii="Times New Roman" w:hAnsi="Times New Roman"/>
          <w:sz w:val="28"/>
          <w:szCs w:val="28"/>
        </w:rPr>
        <w:t xml:space="preserve">. </w:t>
      </w:r>
      <w:r w:rsidR="001C317C">
        <w:rPr>
          <w:rFonts w:ascii="Times New Roman" w:hAnsi="Times New Roman"/>
          <w:sz w:val="28"/>
          <w:szCs w:val="28"/>
        </w:rPr>
        <w:t xml:space="preserve">This Court explained the meaning of Rule 615 in </w:t>
      </w:r>
      <w:r w:rsidR="001C317C" w:rsidRPr="00A67DAD">
        <w:rPr>
          <w:rFonts w:ascii="Times New Roman" w:hAnsi="Times New Roman"/>
          <w:i/>
          <w:iCs/>
          <w:sz w:val="28"/>
          <w:szCs w:val="28"/>
        </w:rPr>
        <w:t>Spring v. Bradford</w:t>
      </w:r>
      <w:r w:rsidR="001C317C">
        <w:rPr>
          <w:rFonts w:ascii="Times New Roman" w:hAnsi="Times New Roman"/>
          <w:sz w:val="28"/>
          <w:szCs w:val="28"/>
        </w:rPr>
        <w:t xml:space="preserve">, 243 Ariz. 167 (2017). On the issue of the ability to access trial testimony, the proposed amendments are verbose, confusing, and incomplete. And on the issue of experts’ access to trial testimony being necessary to the presentation of a claim or defense, the proposal is silent. Finally, AACJ disagrees with the practice of including comments that explain the law; instead, the text of the law should be clear. At the conclusion of this comment, AACJ offers a proposal for amendments that it believes accomplish the purposes of the proposal and are consistent with </w:t>
      </w:r>
      <w:r w:rsidR="001C317C" w:rsidRPr="001C317C">
        <w:rPr>
          <w:rFonts w:ascii="Times New Roman" w:hAnsi="Times New Roman"/>
          <w:i/>
          <w:iCs/>
          <w:sz w:val="28"/>
          <w:szCs w:val="28"/>
        </w:rPr>
        <w:t>Spring</w:t>
      </w:r>
      <w:r w:rsidR="001C317C">
        <w:rPr>
          <w:rFonts w:ascii="Times New Roman" w:hAnsi="Times New Roman"/>
          <w:sz w:val="28"/>
          <w:szCs w:val="28"/>
        </w:rPr>
        <w:t>.</w:t>
      </w:r>
    </w:p>
    <w:p w14:paraId="538B6A5B" w14:textId="267C098A" w:rsidR="00A67DAD" w:rsidRDefault="00A67DAD" w:rsidP="001D0E6C">
      <w:pPr>
        <w:spacing w:line="480" w:lineRule="auto"/>
        <w:ind w:firstLine="720"/>
        <w:jc w:val="both"/>
        <w:rPr>
          <w:rFonts w:ascii="Times New Roman" w:hAnsi="Times New Roman"/>
          <w:sz w:val="28"/>
          <w:szCs w:val="28"/>
        </w:rPr>
      </w:pPr>
    </w:p>
    <w:p w14:paraId="7F86BCDC" w14:textId="1D57CA62" w:rsidR="00A67DAD" w:rsidRPr="00A67DAD" w:rsidRDefault="00A67DAD" w:rsidP="00A67DAD">
      <w:pPr>
        <w:pStyle w:val="ListParagraph"/>
        <w:numPr>
          <w:ilvl w:val="0"/>
          <w:numId w:val="9"/>
        </w:numPr>
        <w:spacing w:line="480" w:lineRule="auto"/>
        <w:ind w:left="720"/>
        <w:jc w:val="both"/>
        <w:rPr>
          <w:rFonts w:ascii="Times New Roman" w:hAnsi="Times New Roman"/>
          <w:b/>
          <w:bCs/>
          <w:sz w:val="28"/>
          <w:szCs w:val="28"/>
        </w:rPr>
      </w:pPr>
      <w:r w:rsidRPr="00A67DAD">
        <w:rPr>
          <w:rFonts w:ascii="Times New Roman" w:hAnsi="Times New Roman"/>
          <w:b/>
          <w:bCs/>
          <w:sz w:val="28"/>
          <w:szCs w:val="28"/>
        </w:rPr>
        <w:t>Access to Testimony vs. Access to the Courtroom</w:t>
      </w:r>
    </w:p>
    <w:p w14:paraId="69AF2FF2" w14:textId="77777777" w:rsidR="006F51DD" w:rsidRDefault="001C317C" w:rsidP="001D0E6C">
      <w:pPr>
        <w:spacing w:line="480" w:lineRule="auto"/>
        <w:ind w:firstLine="720"/>
        <w:jc w:val="both"/>
        <w:rPr>
          <w:rFonts w:ascii="Times New Roman" w:hAnsi="Times New Roman"/>
          <w:sz w:val="28"/>
          <w:szCs w:val="28"/>
        </w:rPr>
      </w:pPr>
      <w:r>
        <w:rPr>
          <w:rFonts w:ascii="Times New Roman" w:hAnsi="Times New Roman"/>
          <w:sz w:val="28"/>
          <w:szCs w:val="28"/>
        </w:rPr>
        <w:t>T</w:t>
      </w:r>
      <w:r w:rsidR="00A67DAD">
        <w:rPr>
          <w:rFonts w:ascii="Times New Roman" w:hAnsi="Times New Roman"/>
          <w:sz w:val="28"/>
          <w:szCs w:val="28"/>
        </w:rPr>
        <w:t xml:space="preserve">his Court </w:t>
      </w:r>
      <w:r>
        <w:rPr>
          <w:rFonts w:ascii="Times New Roman" w:hAnsi="Times New Roman"/>
          <w:sz w:val="28"/>
          <w:szCs w:val="28"/>
        </w:rPr>
        <w:t xml:space="preserve">explained in </w:t>
      </w:r>
      <w:r w:rsidRPr="001C317C">
        <w:rPr>
          <w:rFonts w:ascii="Times New Roman" w:hAnsi="Times New Roman"/>
          <w:i/>
          <w:iCs/>
          <w:sz w:val="28"/>
          <w:szCs w:val="28"/>
        </w:rPr>
        <w:t>Spring</w:t>
      </w:r>
      <w:r>
        <w:rPr>
          <w:rFonts w:ascii="Times New Roman" w:hAnsi="Times New Roman"/>
          <w:sz w:val="28"/>
          <w:szCs w:val="28"/>
        </w:rPr>
        <w:t xml:space="preserve"> that</w:t>
      </w:r>
      <w:r w:rsidR="00A67DAD">
        <w:rPr>
          <w:rFonts w:ascii="Times New Roman" w:hAnsi="Times New Roman"/>
          <w:sz w:val="28"/>
          <w:szCs w:val="28"/>
        </w:rPr>
        <w:t xml:space="preserve"> </w:t>
      </w:r>
      <w:r>
        <w:rPr>
          <w:rFonts w:ascii="Times New Roman" w:hAnsi="Times New Roman"/>
          <w:sz w:val="28"/>
          <w:szCs w:val="28"/>
        </w:rPr>
        <w:t>when the defense provided one of its expert witnesses with a transcript of another witness’s trial testimony in advance of his own, this “</w:t>
      </w:r>
      <w:r w:rsidRPr="001C317C">
        <w:rPr>
          <w:rFonts w:ascii="Times New Roman" w:hAnsi="Times New Roman"/>
          <w:sz w:val="28"/>
          <w:szCs w:val="28"/>
        </w:rPr>
        <w:t>violated the purpose and spirit, if not the express terms, of Rule 615</w:t>
      </w:r>
      <w:r>
        <w:rPr>
          <w:rFonts w:ascii="Times New Roman" w:hAnsi="Times New Roman"/>
          <w:sz w:val="28"/>
          <w:szCs w:val="28"/>
        </w:rPr>
        <w:t>.” 243 Ariz. at 171 ¶ 16. Th</w:t>
      </w:r>
      <w:r w:rsidR="00CA0176">
        <w:rPr>
          <w:rFonts w:ascii="Times New Roman" w:hAnsi="Times New Roman"/>
          <w:sz w:val="28"/>
          <w:szCs w:val="28"/>
        </w:rPr>
        <w:t xml:space="preserve">is was </w:t>
      </w:r>
      <w:r w:rsidR="006F51DD">
        <w:rPr>
          <w:rFonts w:ascii="Times New Roman" w:hAnsi="Times New Roman"/>
          <w:sz w:val="28"/>
          <w:szCs w:val="28"/>
        </w:rPr>
        <w:t>correct</w:t>
      </w:r>
      <w:r w:rsidR="00CA0176">
        <w:rPr>
          <w:rFonts w:ascii="Times New Roman" w:hAnsi="Times New Roman"/>
          <w:sz w:val="28"/>
          <w:szCs w:val="28"/>
        </w:rPr>
        <w:t xml:space="preserve">: there was nothing in the plain language of Rule 615 that prevented defense counsel’s action. The purpose of excluding </w:t>
      </w:r>
      <w:r w:rsidR="00CA0176">
        <w:rPr>
          <w:rFonts w:ascii="Times New Roman" w:hAnsi="Times New Roman"/>
          <w:sz w:val="28"/>
          <w:szCs w:val="28"/>
        </w:rPr>
        <w:lastRenderedPageBreak/>
        <w:t xml:space="preserve">witnesses is so that they may not receive the testimony of other witnesses before they give their own. </w:t>
      </w:r>
    </w:p>
    <w:p w14:paraId="41D3EA93" w14:textId="00CF448A" w:rsidR="007F4237" w:rsidRDefault="00CA0176"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Petitioner’s proposal to resolve this problem and codify </w:t>
      </w:r>
      <w:r w:rsidRPr="007F4237">
        <w:rPr>
          <w:rFonts w:ascii="Times New Roman" w:hAnsi="Times New Roman"/>
          <w:i/>
          <w:iCs/>
          <w:sz w:val="28"/>
          <w:szCs w:val="28"/>
        </w:rPr>
        <w:t>Spring</w:t>
      </w:r>
      <w:r>
        <w:rPr>
          <w:rFonts w:ascii="Times New Roman" w:hAnsi="Times New Roman"/>
          <w:sz w:val="28"/>
          <w:szCs w:val="28"/>
        </w:rPr>
        <w:t xml:space="preserve">, however, </w:t>
      </w:r>
      <w:r w:rsidR="007F4237">
        <w:rPr>
          <w:rFonts w:ascii="Times New Roman" w:hAnsi="Times New Roman"/>
          <w:sz w:val="28"/>
          <w:szCs w:val="28"/>
        </w:rPr>
        <w:t>fails to recognize that there are other means by which witnesses can receive testimony. Most notably, in response to the COVID-19 pandemic, many courtrooms now provide streaming audio/video via YouTube or other Internet services.</w:t>
      </w:r>
      <w:r w:rsidR="004B7EA5">
        <w:rPr>
          <w:rFonts w:ascii="Times New Roman" w:hAnsi="Times New Roman"/>
          <w:sz w:val="28"/>
          <w:szCs w:val="28"/>
        </w:rPr>
        <w:t xml:space="preserve"> By including only two potential limitations on the improper receipt of testimony, the proposal impliedly would permit other abuses of the Rule to continue</w:t>
      </w:r>
      <w:r w:rsidR="009E0583">
        <w:rPr>
          <w:rFonts w:ascii="Times New Roman" w:hAnsi="Times New Roman"/>
          <w:sz w:val="28"/>
          <w:szCs w:val="28"/>
        </w:rPr>
        <w:t xml:space="preserve"> based on the canon </w:t>
      </w:r>
      <w:r w:rsidR="009E0583" w:rsidRPr="009E0583">
        <w:rPr>
          <w:rFonts w:ascii="Times New Roman" w:hAnsi="Times New Roman"/>
          <w:i/>
          <w:iCs/>
          <w:sz w:val="28"/>
          <w:szCs w:val="28"/>
        </w:rPr>
        <w:t>expressio unius est exclusion alterius</w:t>
      </w:r>
      <w:r w:rsidR="004B7EA5">
        <w:rPr>
          <w:rFonts w:ascii="Times New Roman" w:hAnsi="Times New Roman"/>
          <w:sz w:val="28"/>
          <w:szCs w:val="28"/>
        </w:rPr>
        <w:t xml:space="preserve">. </w:t>
      </w:r>
      <w:r w:rsidR="004B7EA5" w:rsidRPr="009E0583">
        <w:rPr>
          <w:rFonts w:ascii="Times New Roman" w:hAnsi="Times New Roman"/>
          <w:i/>
          <w:iCs/>
          <w:sz w:val="28"/>
          <w:szCs w:val="28"/>
        </w:rPr>
        <w:t xml:space="preserve">See </w:t>
      </w:r>
      <w:r w:rsidR="009E0583" w:rsidRPr="009E0583">
        <w:rPr>
          <w:rFonts w:ascii="Times New Roman" w:hAnsi="Times New Roman"/>
          <w:i/>
          <w:iCs/>
          <w:sz w:val="28"/>
          <w:szCs w:val="28"/>
        </w:rPr>
        <w:t>State v. Maestas</w:t>
      </w:r>
      <w:r w:rsidR="009E0583" w:rsidRPr="009E0583">
        <w:rPr>
          <w:rFonts w:ascii="Times New Roman" w:hAnsi="Times New Roman"/>
          <w:sz w:val="28"/>
          <w:szCs w:val="28"/>
        </w:rPr>
        <w:t xml:space="preserve">, 244 Ariz. 9, 13 ¶ 15 (2018) </w:t>
      </w:r>
      <w:r w:rsidR="009E0583">
        <w:rPr>
          <w:rFonts w:ascii="Times New Roman" w:hAnsi="Times New Roman"/>
          <w:sz w:val="28"/>
          <w:szCs w:val="28"/>
        </w:rPr>
        <w:t>(“</w:t>
      </w:r>
      <w:r w:rsidR="009E0583" w:rsidRPr="009E0583">
        <w:rPr>
          <w:rFonts w:ascii="Times New Roman" w:hAnsi="Times New Roman"/>
          <w:sz w:val="28"/>
          <w:szCs w:val="28"/>
        </w:rPr>
        <w:t xml:space="preserve">In general, when the </w:t>
      </w:r>
      <w:r w:rsidR="009E0583">
        <w:rPr>
          <w:rFonts w:ascii="Times New Roman" w:hAnsi="Times New Roman"/>
          <w:sz w:val="28"/>
          <w:szCs w:val="28"/>
        </w:rPr>
        <w:t>[lawmaking body]</w:t>
      </w:r>
      <w:r w:rsidR="009E0583" w:rsidRPr="009E0583">
        <w:rPr>
          <w:rFonts w:ascii="Times New Roman" w:hAnsi="Times New Roman"/>
          <w:sz w:val="28"/>
          <w:szCs w:val="28"/>
        </w:rPr>
        <w:t xml:space="preserve"> expressly prescribes a list in a </w:t>
      </w:r>
      <w:r w:rsidR="009E0583">
        <w:rPr>
          <w:rFonts w:ascii="Times New Roman" w:hAnsi="Times New Roman"/>
          <w:sz w:val="28"/>
          <w:szCs w:val="28"/>
        </w:rPr>
        <w:t>[rule]</w:t>
      </w:r>
      <w:r w:rsidR="009E0583" w:rsidRPr="009E0583">
        <w:rPr>
          <w:rFonts w:ascii="Times New Roman" w:hAnsi="Times New Roman"/>
          <w:sz w:val="28"/>
          <w:szCs w:val="28"/>
        </w:rPr>
        <w:t xml:space="preserve">, </w:t>
      </w:r>
      <w:r w:rsidR="009E0583">
        <w:rPr>
          <w:rFonts w:ascii="Times New Roman" w:hAnsi="Times New Roman"/>
          <w:sz w:val="28"/>
          <w:szCs w:val="28"/>
        </w:rPr>
        <w:t>‘</w:t>
      </w:r>
      <w:r w:rsidR="009E0583" w:rsidRPr="009E0583">
        <w:rPr>
          <w:rFonts w:ascii="Times New Roman" w:hAnsi="Times New Roman"/>
          <w:sz w:val="28"/>
          <w:szCs w:val="28"/>
        </w:rPr>
        <w:t>we assume the exclusion of items not listed.</w:t>
      </w:r>
      <w:r w:rsidR="009E0583">
        <w:rPr>
          <w:rFonts w:ascii="Times New Roman" w:hAnsi="Times New Roman"/>
          <w:sz w:val="28"/>
          <w:szCs w:val="28"/>
        </w:rPr>
        <w:t>’</w:t>
      </w:r>
      <w:r w:rsidR="009E0583" w:rsidRPr="009E0583">
        <w:rPr>
          <w:rFonts w:ascii="Times New Roman" w:hAnsi="Times New Roman"/>
          <w:sz w:val="28"/>
          <w:szCs w:val="28"/>
        </w:rPr>
        <w:t>”</w:t>
      </w:r>
      <w:r w:rsidR="009E0583">
        <w:rPr>
          <w:rFonts w:ascii="Times New Roman" w:hAnsi="Times New Roman"/>
          <w:sz w:val="28"/>
          <w:szCs w:val="28"/>
        </w:rPr>
        <w:t>)</w:t>
      </w:r>
      <w:r w:rsidR="009E0583" w:rsidRPr="009E0583">
        <w:rPr>
          <w:rFonts w:ascii="Times New Roman" w:hAnsi="Times New Roman"/>
          <w:sz w:val="28"/>
          <w:szCs w:val="28"/>
        </w:rPr>
        <w:t xml:space="preserve"> (quoting </w:t>
      </w:r>
      <w:r w:rsidR="009E0583" w:rsidRPr="009E0583">
        <w:rPr>
          <w:rFonts w:ascii="Times New Roman" w:hAnsi="Times New Roman"/>
          <w:i/>
          <w:iCs/>
          <w:sz w:val="28"/>
          <w:szCs w:val="28"/>
        </w:rPr>
        <w:t>State v. Ault</w:t>
      </w:r>
      <w:r w:rsidR="009E0583" w:rsidRPr="009E0583">
        <w:rPr>
          <w:rFonts w:ascii="Times New Roman" w:hAnsi="Times New Roman"/>
          <w:sz w:val="28"/>
          <w:szCs w:val="28"/>
        </w:rPr>
        <w:t>, 157 Ariz. 516, 519 (1988))</w:t>
      </w:r>
      <w:r w:rsidR="009E0583">
        <w:rPr>
          <w:rFonts w:ascii="Times New Roman" w:hAnsi="Times New Roman"/>
          <w:sz w:val="28"/>
          <w:szCs w:val="28"/>
        </w:rPr>
        <w:t>.</w:t>
      </w:r>
    </w:p>
    <w:p w14:paraId="2A850BA5" w14:textId="44604142" w:rsidR="006F51DD" w:rsidRDefault="006F51DD"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Moreover, Petitioner’s proposal not only requires trial courts to go through the cumbersome process of entering additional orders, but it allows the court discretion to deny </w:t>
      </w:r>
      <w:r w:rsidR="006C7815">
        <w:rPr>
          <w:rFonts w:ascii="Times New Roman" w:hAnsi="Times New Roman"/>
          <w:sz w:val="28"/>
          <w:szCs w:val="28"/>
        </w:rPr>
        <w:t>requests. This means that witnesses can share testimony with each other outside the courtroom, whether or not attorneys are involved in coaching. Thus, while “[w]</w:t>
      </w:r>
      <w:r w:rsidR="006C7815" w:rsidRPr="006C7815">
        <w:rPr>
          <w:rFonts w:ascii="Times New Roman" w:hAnsi="Times New Roman"/>
          <w:sz w:val="28"/>
          <w:szCs w:val="28"/>
        </w:rPr>
        <w:t>e trust in the good faith, sound judgment, and professionalism of the Arizona bar in that regard</w:t>
      </w:r>
      <w:r w:rsidR="006C7815">
        <w:rPr>
          <w:rFonts w:ascii="Times New Roman" w:hAnsi="Times New Roman"/>
          <w:sz w:val="28"/>
          <w:szCs w:val="28"/>
        </w:rPr>
        <w:t xml:space="preserve">,” </w:t>
      </w:r>
      <w:r w:rsidR="006C7815" w:rsidRPr="006C7815">
        <w:rPr>
          <w:rFonts w:ascii="Times New Roman" w:hAnsi="Times New Roman"/>
          <w:i/>
          <w:iCs/>
          <w:sz w:val="28"/>
          <w:szCs w:val="28"/>
        </w:rPr>
        <w:t>Spring</w:t>
      </w:r>
      <w:r w:rsidR="006C7815">
        <w:rPr>
          <w:rFonts w:ascii="Times New Roman" w:hAnsi="Times New Roman"/>
          <w:sz w:val="28"/>
          <w:szCs w:val="28"/>
        </w:rPr>
        <w:t>, 243 Ariz. at 175 ¶ 35, the Rule applies to the conduct of witnesses as well as attorneys and thus it must be clear and unequivocal.</w:t>
      </w:r>
    </w:p>
    <w:p w14:paraId="0AC74CAA" w14:textId="20B67B90" w:rsidR="004B7EA5" w:rsidRDefault="004B7EA5" w:rsidP="001D0E6C">
      <w:pPr>
        <w:spacing w:line="480" w:lineRule="auto"/>
        <w:ind w:firstLine="720"/>
        <w:jc w:val="both"/>
        <w:rPr>
          <w:rFonts w:ascii="Times New Roman" w:hAnsi="Times New Roman"/>
          <w:sz w:val="28"/>
          <w:szCs w:val="28"/>
        </w:rPr>
      </w:pPr>
      <w:r>
        <w:rPr>
          <w:rFonts w:ascii="Times New Roman" w:hAnsi="Times New Roman"/>
          <w:sz w:val="28"/>
          <w:szCs w:val="28"/>
        </w:rPr>
        <w:lastRenderedPageBreak/>
        <w:t>Rather than include a new Rule 615(b)</w:t>
      </w:r>
      <w:r w:rsidR="006C7815">
        <w:rPr>
          <w:rFonts w:ascii="Times New Roman" w:hAnsi="Times New Roman"/>
          <w:sz w:val="28"/>
          <w:szCs w:val="28"/>
        </w:rPr>
        <w:t xml:space="preserve"> (</w:t>
      </w:r>
      <w:r>
        <w:rPr>
          <w:rFonts w:ascii="Times New Roman" w:hAnsi="Times New Roman"/>
          <w:sz w:val="28"/>
          <w:szCs w:val="28"/>
        </w:rPr>
        <w:t>which in turn results in an additional layer of subsections</w:t>
      </w:r>
      <w:r w:rsidR="006C7815">
        <w:rPr>
          <w:rFonts w:ascii="Times New Roman" w:hAnsi="Times New Roman"/>
          <w:sz w:val="28"/>
          <w:szCs w:val="28"/>
        </w:rPr>
        <w:t>) that does not adequately accomplish the spirit of the Rule</w:t>
      </w:r>
      <w:r>
        <w:rPr>
          <w:rFonts w:ascii="Times New Roman" w:hAnsi="Times New Roman"/>
          <w:sz w:val="28"/>
          <w:szCs w:val="28"/>
        </w:rPr>
        <w:t xml:space="preserve">, this Court should codify </w:t>
      </w:r>
      <w:r w:rsidRPr="006F51DD">
        <w:rPr>
          <w:rFonts w:ascii="Times New Roman" w:hAnsi="Times New Roman"/>
          <w:i/>
          <w:iCs/>
          <w:sz w:val="28"/>
          <w:szCs w:val="28"/>
        </w:rPr>
        <w:t>Spring</w:t>
      </w:r>
      <w:r>
        <w:rPr>
          <w:rFonts w:ascii="Times New Roman" w:hAnsi="Times New Roman"/>
          <w:sz w:val="28"/>
          <w:szCs w:val="28"/>
        </w:rPr>
        <w:t xml:space="preserve"> by </w:t>
      </w:r>
      <w:r w:rsidR="006F51DD">
        <w:rPr>
          <w:rFonts w:ascii="Times New Roman" w:hAnsi="Times New Roman"/>
          <w:sz w:val="28"/>
          <w:szCs w:val="28"/>
        </w:rPr>
        <w:t xml:space="preserve">simpler means: by </w:t>
      </w:r>
      <w:r>
        <w:rPr>
          <w:rFonts w:ascii="Times New Roman" w:hAnsi="Times New Roman"/>
          <w:sz w:val="28"/>
          <w:szCs w:val="28"/>
        </w:rPr>
        <w:t xml:space="preserve">placing an additional sentence within the main section of Rule 615. This sentence can incorporate the myriad ways </w:t>
      </w:r>
      <w:r w:rsidR="009E0583">
        <w:rPr>
          <w:rFonts w:ascii="Times New Roman" w:hAnsi="Times New Roman"/>
          <w:sz w:val="28"/>
          <w:szCs w:val="28"/>
        </w:rPr>
        <w:t xml:space="preserve">in which a witness may improperly access prior testimony in a manner that incorporates the </w:t>
      </w:r>
      <w:r w:rsidR="009E0583" w:rsidRPr="009E0583">
        <w:rPr>
          <w:rFonts w:ascii="Times New Roman" w:hAnsi="Times New Roman"/>
          <w:i/>
          <w:iCs/>
          <w:sz w:val="28"/>
          <w:szCs w:val="28"/>
        </w:rPr>
        <w:t>ejusdem generis</w:t>
      </w:r>
      <w:r w:rsidR="009E0583">
        <w:rPr>
          <w:rFonts w:ascii="Times New Roman" w:hAnsi="Times New Roman"/>
          <w:sz w:val="28"/>
          <w:szCs w:val="28"/>
        </w:rPr>
        <w:t xml:space="preserve"> rule. </w:t>
      </w:r>
      <w:r w:rsidR="009E0583" w:rsidRPr="009E0583">
        <w:rPr>
          <w:rFonts w:ascii="Times New Roman" w:hAnsi="Times New Roman"/>
          <w:i/>
          <w:iCs/>
          <w:sz w:val="28"/>
          <w:szCs w:val="28"/>
        </w:rPr>
        <w:t>See In re Julio L.</w:t>
      </w:r>
      <w:r w:rsidR="009E0583">
        <w:rPr>
          <w:rFonts w:ascii="Times New Roman" w:hAnsi="Times New Roman"/>
          <w:sz w:val="28"/>
          <w:szCs w:val="28"/>
        </w:rPr>
        <w:t xml:space="preserve">, </w:t>
      </w:r>
      <w:r w:rsidR="009E0583" w:rsidRPr="009E0583">
        <w:rPr>
          <w:rFonts w:ascii="Times New Roman" w:hAnsi="Times New Roman"/>
          <w:sz w:val="28"/>
          <w:szCs w:val="28"/>
        </w:rPr>
        <w:t>197 Ariz. 1, 4 ¶ 11 (2000)</w:t>
      </w:r>
      <w:r w:rsidR="00726927">
        <w:rPr>
          <w:rFonts w:ascii="Times New Roman" w:hAnsi="Times New Roman"/>
          <w:sz w:val="28"/>
          <w:szCs w:val="28"/>
        </w:rPr>
        <w:t xml:space="preserve"> (</w:t>
      </w:r>
      <w:r w:rsidR="009E0583" w:rsidRPr="009E0583">
        <w:rPr>
          <w:rFonts w:ascii="Times New Roman" w:hAnsi="Times New Roman"/>
          <w:sz w:val="28"/>
          <w:szCs w:val="28"/>
        </w:rPr>
        <w:t>“Under the ejusdem generis principle, unless contrary legislative intent is apparent, when a general term follows specific terms in a statute, the general term is interpreted as of the same class or type as the specific terms.”</w:t>
      </w:r>
      <w:r w:rsidR="00726927">
        <w:rPr>
          <w:rFonts w:ascii="Times New Roman" w:hAnsi="Times New Roman"/>
          <w:sz w:val="28"/>
          <w:szCs w:val="28"/>
        </w:rPr>
        <w:t>).</w:t>
      </w:r>
    </w:p>
    <w:p w14:paraId="1F9E973F" w14:textId="3F4A8137" w:rsidR="00726927" w:rsidRPr="00A67DAD" w:rsidRDefault="00726927" w:rsidP="00726927">
      <w:pPr>
        <w:pStyle w:val="ListParagraph"/>
        <w:numPr>
          <w:ilvl w:val="0"/>
          <w:numId w:val="9"/>
        </w:numPr>
        <w:spacing w:line="480" w:lineRule="auto"/>
        <w:ind w:left="720"/>
        <w:jc w:val="both"/>
        <w:rPr>
          <w:rFonts w:ascii="Times New Roman" w:hAnsi="Times New Roman"/>
          <w:b/>
          <w:bCs/>
          <w:sz w:val="28"/>
          <w:szCs w:val="28"/>
        </w:rPr>
      </w:pPr>
      <w:r>
        <w:rPr>
          <w:rFonts w:ascii="Times New Roman" w:hAnsi="Times New Roman"/>
          <w:b/>
          <w:bCs/>
          <w:sz w:val="28"/>
          <w:szCs w:val="28"/>
        </w:rPr>
        <w:t>Experts versus fact witnesses</w:t>
      </w:r>
    </w:p>
    <w:p w14:paraId="10B453B9" w14:textId="445EDACE" w:rsidR="00726927" w:rsidRDefault="00726927"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Although </w:t>
      </w:r>
      <w:r w:rsidR="007C2833">
        <w:rPr>
          <w:rFonts w:ascii="Times New Roman" w:hAnsi="Times New Roman"/>
          <w:sz w:val="28"/>
          <w:szCs w:val="28"/>
        </w:rPr>
        <w:t>Rule 615</w:t>
      </w:r>
      <w:r>
        <w:rPr>
          <w:rFonts w:ascii="Times New Roman" w:hAnsi="Times New Roman"/>
          <w:sz w:val="28"/>
          <w:szCs w:val="28"/>
        </w:rPr>
        <w:t xml:space="preserve"> treats experts and fact witnesses the same, </w:t>
      </w:r>
      <w:r w:rsidR="007C2833">
        <w:rPr>
          <w:rFonts w:ascii="Times New Roman" w:hAnsi="Times New Roman"/>
          <w:sz w:val="28"/>
          <w:szCs w:val="28"/>
        </w:rPr>
        <w:t>in fact they are not. Fact witnesses are supposed to reveal only that information within their personal knowledge, such as what they saw and heard and laying foundation for exhibits. The purpose of the rule of exclusion is to prevent fact witnesses from modifying their testimony—intentionally or unconsciously—based on what they hear another say. Experts, on the other hand, are naturally expected to review the work of others when they offer their opinions. When a defense expert reaches a conclusion different from that of the plaintiff’s expert</w:t>
      </w:r>
      <w:r w:rsidR="00EA437C">
        <w:rPr>
          <w:rFonts w:ascii="Times New Roman" w:hAnsi="Times New Roman"/>
          <w:sz w:val="28"/>
          <w:szCs w:val="28"/>
        </w:rPr>
        <w:t xml:space="preserve"> (and vice versa)</w:t>
      </w:r>
      <w:r w:rsidR="007C2833">
        <w:rPr>
          <w:rFonts w:ascii="Times New Roman" w:hAnsi="Times New Roman"/>
          <w:sz w:val="28"/>
          <w:szCs w:val="28"/>
        </w:rPr>
        <w:t xml:space="preserve">, </w:t>
      </w:r>
      <w:r w:rsidR="00EA437C">
        <w:rPr>
          <w:rFonts w:ascii="Times New Roman" w:hAnsi="Times New Roman"/>
          <w:sz w:val="28"/>
          <w:szCs w:val="28"/>
        </w:rPr>
        <w:t xml:space="preserve">the finder of fact expects to hear </w:t>
      </w:r>
      <w:r w:rsidR="00B2097F">
        <w:rPr>
          <w:rFonts w:ascii="Times New Roman" w:hAnsi="Times New Roman"/>
          <w:sz w:val="28"/>
          <w:szCs w:val="28"/>
        </w:rPr>
        <w:t xml:space="preserve">a “battle of the experts” where </w:t>
      </w:r>
      <w:r w:rsidR="006B7D41">
        <w:rPr>
          <w:rFonts w:ascii="Times New Roman" w:hAnsi="Times New Roman"/>
          <w:sz w:val="28"/>
          <w:szCs w:val="28"/>
        </w:rPr>
        <w:t>the conflicting</w:t>
      </w:r>
      <w:r w:rsidR="00B2097F">
        <w:rPr>
          <w:rFonts w:ascii="Times New Roman" w:hAnsi="Times New Roman"/>
          <w:sz w:val="28"/>
          <w:szCs w:val="28"/>
        </w:rPr>
        <w:t xml:space="preserve"> experts debate</w:t>
      </w:r>
      <w:r w:rsidR="006B7D41">
        <w:rPr>
          <w:rFonts w:ascii="Times New Roman" w:hAnsi="Times New Roman"/>
          <w:sz w:val="28"/>
          <w:szCs w:val="28"/>
        </w:rPr>
        <w:t>,</w:t>
      </w:r>
      <w:r w:rsidR="00B2097F">
        <w:rPr>
          <w:rFonts w:ascii="Times New Roman" w:hAnsi="Times New Roman"/>
          <w:sz w:val="28"/>
          <w:szCs w:val="28"/>
        </w:rPr>
        <w:t xml:space="preserve"> through the</w:t>
      </w:r>
      <w:r w:rsidR="006B7D41">
        <w:rPr>
          <w:rFonts w:ascii="Times New Roman" w:hAnsi="Times New Roman"/>
          <w:sz w:val="28"/>
          <w:szCs w:val="28"/>
        </w:rPr>
        <w:t xml:space="preserve"> witness stand, and explain why the other is wrong. Prior to trial, the experts are expected to </w:t>
      </w:r>
      <w:r w:rsidR="006B7D41">
        <w:rPr>
          <w:rFonts w:ascii="Times New Roman" w:hAnsi="Times New Roman"/>
          <w:sz w:val="28"/>
          <w:szCs w:val="28"/>
        </w:rPr>
        <w:lastRenderedPageBreak/>
        <w:t xml:space="preserve">review others’ reports and opinions and factor that information in when reaching their own conclusions. It is strange that an expert should be allowed to review all of the opinions offered by the other side’s expert, except for those that are </w:t>
      </w:r>
      <w:r w:rsidR="004923C0">
        <w:rPr>
          <w:rFonts w:ascii="Times New Roman" w:hAnsi="Times New Roman"/>
          <w:sz w:val="28"/>
          <w:szCs w:val="28"/>
        </w:rPr>
        <w:t>offered for the first time during trial testimony.</w:t>
      </w:r>
    </w:p>
    <w:p w14:paraId="05FCD985" w14:textId="544F11D0" w:rsidR="004923C0" w:rsidRDefault="004923C0" w:rsidP="001D0E6C">
      <w:pPr>
        <w:spacing w:line="480" w:lineRule="auto"/>
        <w:ind w:firstLine="720"/>
        <w:jc w:val="both"/>
        <w:rPr>
          <w:rFonts w:ascii="Times New Roman" w:hAnsi="Times New Roman"/>
          <w:sz w:val="28"/>
          <w:szCs w:val="28"/>
        </w:rPr>
      </w:pPr>
      <w:r>
        <w:rPr>
          <w:rFonts w:ascii="Times New Roman" w:hAnsi="Times New Roman"/>
          <w:sz w:val="28"/>
          <w:szCs w:val="28"/>
        </w:rPr>
        <w:t>Of course, there is little that prevents fact witnesses from sharing their observations prior to trial and thereby influencing each other’s testimony. However, when the jury hears about that during cross-examination, it negatively impacts the credibility of those witnesses. The opposite is true for experts, who are expected to have reviewed the other experts’ work, and it has a negative impact on their credibility if they avoid such information.</w:t>
      </w:r>
    </w:p>
    <w:p w14:paraId="786B3851" w14:textId="17A2C46D" w:rsidR="004923C0" w:rsidRDefault="00AB4640" w:rsidP="001D0E6C">
      <w:pPr>
        <w:spacing w:line="480" w:lineRule="auto"/>
        <w:ind w:firstLine="720"/>
        <w:jc w:val="both"/>
        <w:rPr>
          <w:rFonts w:ascii="Times New Roman" w:hAnsi="Times New Roman"/>
          <w:sz w:val="28"/>
          <w:szCs w:val="28"/>
        </w:rPr>
      </w:pPr>
      <w:r w:rsidRPr="00AB4640">
        <w:rPr>
          <w:rFonts w:ascii="Times New Roman" w:hAnsi="Times New Roman"/>
          <w:i/>
          <w:iCs/>
          <w:sz w:val="28"/>
          <w:szCs w:val="28"/>
        </w:rPr>
        <w:t>Spring</w:t>
      </w:r>
      <w:r>
        <w:rPr>
          <w:rFonts w:ascii="Times New Roman" w:hAnsi="Times New Roman"/>
          <w:sz w:val="28"/>
          <w:szCs w:val="28"/>
        </w:rPr>
        <w:t xml:space="preserve"> recognizes this distinction, 243 Ariz. at 172 ¶ 21, </w:t>
      </w:r>
      <w:r w:rsidR="00CA2959">
        <w:rPr>
          <w:rFonts w:ascii="Times New Roman" w:hAnsi="Times New Roman"/>
          <w:sz w:val="28"/>
          <w:szCs w:val="28"/>
        </w:rPr>
        <w:t xml:space="preserve">while noting </w:t>
      </w:r>
      <w:r>
        <w:rPr>
          <w:rFonts w:ascii="Times New Roman" w:hAnsi="Times New Roman"/>
          <w:sz w:val="28"/>
          <w:szCs w:val="28"/>
        </w:rPr>
        <w:t xml:space="preserve">that the </w:t>
      </w:r>
      <w:r w:rsidR="00CA2959">
        <w:rPr>
          <w:rFonts w:ascii="Times New Roman" w:hAnsi="Times New Roman"/>
          <w:sz w:val="28"/>
          <w:szCs w:val="28"/>
        </w:rPr>
        <w:t>importance of</w:t>
      </w:r>
      <w:r>
        <w:rPr>
          <w:rFonts w:ascii="Times New Roman" w:hAnsi="Times New Roman"/>
          <w:sz w:val="28"/>
          <w:szCs w:val="28"/>
        </w:rPr>
        <w:t xml:space="preserve"> allowing an expert to have access to trial testimony </w:t>
      </w:r>
      <w:r w:rsidR="00CA2959">
        <w:rPr>
          <w:rFonts w:ascii="Times New Roman" w:hAnsi="Times New Roman"/>
          <w:sz w:val="28"/>
          <w:szCs w:val="28"/>
        </w:rPr>
        <w:t xml:space="preserve">does not justify a blanket exemption from the rule of exclusion, </w:t>
      </w:r>
      <w:r w:rsidR="00CA2959" w:rsidRPr="00CA2959">
        <w:rPr>
          <w:rFonts w:ascii="Times New Roman" w:hAnsi="Times New Roman"/>
          <w:i/>
          <w:iCs/>
          <w:sz w:val="28"/>
          <w:szCs w:val="28"/>
        </w:rPr>
        <w:t>id</w:t>
      </w:r>
      <w:r>
        <w:rPr>
          <w:rFonts w:ascii="Times New Roman" w:hAnsi="Times New Roman"/>
          <w:sz w:val="28"/>
          <w:szCs w:val="28"/>
        </w:rPr>
        <w:t xml:space="preserve">. at </w:t>
      </w:r>
      <w:r w:rsidR="00CA2959">
        <w:rPr>
          <w:rFonts w:ascii="Times New Roman" w:hAnsi="Times New Roman"/>
          <w:sz w:val="28"/>
          <w:szCs w:val="28"/>
        </w:rPr>
        <w:t xml:space="preserve">174-75 ¶ 33. </w:t>
      </w:r>
      <w:r w:rsidR="004C53A2">
        <w:rPr>
          <w:rFonts w:ascii="Times New Roman" w:hAnsi="Times New Roman"/>
          <w:sz w:val="28"/>
          <w:szCs w:val="28"/>
        </w:rPr>
        <w:t xml:space="preserve">Petitioner’s proposal fails to address this aspect of </w:t>
      </w:r>
      <w:r w:rsidR="004C53A2" w:rsidRPr="004C53A2">
        <w:rPr>
          <w:rFonts w:ascii="Times New Roman" w:hAnsi="Times New Roman"/>
          <w:i/>
          <w:iCs/>
          <w:sz w:val="28"/>
          <w:szCs w:val="28"/>
        </w:rPr>
        <w:t>Spring</w:t>
      </w:r>
      <w:r w:rsidR="004C53A2">
        <w:rPr>
          <w:rFonts w:ascii="Times New Roman" w:hAnsi="Times New Roman"/>
          <w:sz w:val="28"/>
          <w:szCs w:val="28"/>
        </w:rPr>
        <w:t>. AACJ suggests this Court add a clause to existing Rule 615(c) that provides a reference to expert witnesses as an exemplar.</w:t>
      </w:r>
    </w:p>
    <w:p w14:paraId="3DAAA2F3" w14:textId="25F4D625" w:rsidR="004C53A2" w:rsidRPr="00A67DAD" w:rsidRDefault="00B35F32" w:rsidP="004C53A2">
      <w:pPr>
        <w:pStyle w:val="ListParagraph"/>
        <w:numPr>
          <w:ilvl w:val="0"/>
          <w:numId w:val="9"/>
        </w:numPr>
        <w:spacing w:line="480" w:lineRule="auto"/>
        <w:ind w:left="720"/>
        <w:jc w:val="both"/>
        <w:rPr>
          <w:rFonts w:ascii="Times New Roman" w:hAnsi="Times New Roman"/>
          <w:b/>
          <w:bCs/>
          <w:sz w:val="28"/>
          <w:szCs w:val="28"/>
        </w:rPr>
      </w:pPr>
      <w:r>
        <w:rPr>
          <w:rFonts w:ascii="Times New Roman" w:hAnsi="Times New Roman"/>
          <w:b/>
          <w:bCs/>
          <w:sz w:val="28"/>
          <w:szCs w:val="28"/>
        </w:rPr>
        <w:t>Other s</w:t>
      </w:r>
      <w:r w:rsidR="004C53A2">
        <w:rPr>
          <w:rFonts w:ascii="Times New Roman" w:hAnsi="Times New Roman"/>
          <w:b/>
          <w:bCs/>
          <w:sz w:val="28"/>
          <w:szCs w:val="28"/>
        </w:rPr>
        <w:t>tylistic changes</w:t>
      </w:r>
    </w:p>
    <w:p w14:paraId="257549D8" w14:textId="1AE6ED2D" w:rsidR="00726927" w:rsidRDefault="00B35F32" w:rsidP="001D0E6C">
      <w:pPr>
        <w:spacing w:line="480" w:lineRule="auto"/>
        <w:ind w:firstLine="720"/>
        <w:jc w:val="both"/>
        <w:rPr>
          <w:rFonts w:ascii="Times New Roman" w:hAnsi="Times New Roman"/>
          <w:sz w:val="28"/>
          <w:szCs w:val="28"/>
        </w:rPr>
      </w:pPr>
      <w:r>
        <w:rPr>
          <w:rFonts w:ascii="Times New Roman" w:hAnsi="Times New Roman"/>
          <w:sz w:val="28"/>
          <w:szCs w:val="28"/>
        </w:rPr>
        <w:t>AACJ does not disagree with Petitioner’s suggestion that a corporate party should only have one officer present and that the presence of “any” person as a change to current Rule 615(c) is clearer than “a” person.</w:t>
      </w:r>
    </w:p>
    <w:p w14:paraId="4553970B" w14:textId="6585736D" w:rsidR="00B35F32" w:rsidRDefault="00B35F32" w:rsidP="001D0E6C">
      <w:pPr>
        <w:spacing w:line="480" w:lineRule="auto"/>
        <w:ind w:firstLine="720"/>
        <w:jc w:val="both"/>
        <w:rPr>
          <w:rFonts w:ascii="Times New Roman" w:hAnsi="Times New Roman"/>
          <w:sz w:val="28"/>
          <w:szCs w:val="28"/>
        </w:rPr>
      </w:pPr>
      <w:r>
        <w:rPr>
          <w:rFonts w:ascii="Times New Roman" w:hAnsi="Times New Roman"/>
          <w:sz w:val="28"/>
          <w:szCs w:val="28"/>
        </w:rPr>
        <w:lastRenderedPageBreak/>
        <w:t xml:space="preserve">While the Petition notes that the inclusion of Arizona’s “unique Rule 615 provision” is left undisturbed, AACJ notes that </w:t>
      </w:r>
      <w:r w:rsidR="00C66993">
        <w:rPr>
          <w:rFonts w:ascii="Times New Roman" w:hAnsi="Times New Roman"/>
          <w:sz w:val="28"/>
          <w:szCs w:val="28"/>
        </w:rPr>
        <w:t xml:space="preserve">this provision already exists in </w:t>
      </w:r>
      <w:r>
        <w:rPr>
          <w:rFonts w:ascii="Times New Roman" w:hAnsi="Times New Roman"/>
          <w:sz w:val="28"/>
          <w:szCs w:val="28"/>
        </w:rPr>
        <w:t xml:space="preserve">Arizona </w:t>
      </w:r>
      <w:r w:rsidR="00C66993">
        <w:rPr>
          <w:rFonts w:ascii="Times New Roman" w:hAnsi="Times New Roman"/>
          <w:sz w:val="28"/>
          <w:szCs w:val="28"/>
        </w:rPr>
        <w:t>Rule of Criminal Procedure 9.3(a)(2)(A). There would be no problem with the duplication except for the fact that Evidence Rule 615 fails to account for the other exception in Criminal Rule 9.3(a)(2)(B): “If the court enters an exclusion order, both the defendant and the State are nevertheless entitled to the presence of one investigator at counsel table.”</w:t>
      </w:r>
    </w:p>
    <w:p w14:paraId="4BAA08B8" w14:textId="2BCB3710" w:rsidR="00C66993" w:rsidRDefault="00C66993" w:rsidP="001D0E6C">
      <w:pPr>
        <w:spacing w:line="480" w:lineRule="auto"/>
        <w:ind w:firstLine="720"/>
        <w:jc w:val="both"/>
        <w:rPr>
          <w:rFonts w:ascii="Times New Roman" w:hAnsi="Times New Roman"/>
          <w:sz w:val="28"/>
          <w:szCs w:val="28"/>
        </w:rPr>
      </w:pPr>
      <w:r>
        <w:rPr>
          <w:rFonts w:ascii="Times New Roman" w:hAnsi="Times New Roman"/>
          <w:sz w:val="28"/>
          <w:szCs w:val="28"/>
        </w:rPr>
        <w:t>AACJ believes that current Evidence Rule 615(e) (renumbered Rule 615(a)(5) under Petitioner’s proposal), instead of specifying victims in criminal cases, should instead contain a reference to Criminal Rule 9.3, which includes but is not limited to crime victims.</w:t>
      </w:r>
    </w:p>
    <w:p w14:paraId="25FF2CAB" w14:textId="37A22E9F" w:rsidR="00C66993" w:rsidRPr="00A67DAD" w:rsidRDefault="009B566C" w:rsidP="00C66993">
      <w:pPr>
        <w:pStyle w:val="ListParagraph"/>
        <w:numPr>
          <w:ilvl w:val="0"/>
          <w:numId w:val="9"/>
        </w:numPr>
        <w:spacing w:line="480" w:lineRule="auto"/>
        <w:ind w:left="720"/>
        <w:jc w:val="both"/>
        <w:rPr>
          <w:rFonts w:ascii="Times New Roman" w:hAnsi="Times New Roman"/>
          <w:b/>
          <w:bCs/>
          <w:sz w:val="28"/>
          <w:szCs w:val="28"/>
        </w:rPr>
      </w:pPr>
      <w:r>
        <w:rPr>
          <w:rFonts w:ascii="Times New Roman" w:hAnsi="Times New Roman"/>
          <w:b/>
          <w:bCs/>
          <w:sz w:val="28"/>
          <w:szCs w:val="28"/>
        </w:rPr>
        <w:t>The comment should not be included</w:t>
      </w:r>
    </w:p>
    <w:p w14:paraId="1AA1559B" w14:textId="325820B4" w:rsidR="009B566C" w:rsidRDefault="009B566C" w:rsidP="009B566C">
      <w:pPr>
        <w:spacing w:line="480" w:lineRule="auto"/>
        <w:ind w:firstLine="720"/>
        <w:jc w:val="both"/>
        <w:rPr>
          <w:rFonts w:ascii="Times New Roman" w:hAnsi="Times New Roman"/>
          <w:sz w:val="28"/>
          <w:szCs w:val="28"/>
        </w:rPr>
      </w:pPr>
      <w:r>
        <w:rPr>
          <w:rFonts w:ascii="Times New Roman" w:hAnsi="Times New Roman"/>
          <w:sz w:val="28"/>
          <w:szCs w:val="28"/>
        </w:rPr>
        <w:t xml:space="preserve">AACJ also believes that the rule change should not be accompanied by a corresponding comment. The meaning of the rule should be clear from the text of the rule. Wherever possible, this Court should remove existing comments, and it should add new comments only in extraordinary circumstances where it is absolutely necessary. Furthermore, many practitioners (not to mention </w:t>
      </w:r>
      <w:r w:rsidRPr="00BE4C96">
        <w:rPr>
          <w:rFonts w:ascii="Times New Roman" w:hAnsi="Times New Roman"/>
          <w:i/>
          <w:iCs/>
          <w:sz w:val="28"/>
          <w:szCs w:val="28"/>
        </w:rPr>
        <w:t>pro se</w:t>
      </w:r>
      <w:r>
        <w:rPr>
          <w:rFonts w:ascii="Times New Roman" w:hAnsi="Times New Roman"/>
          <w:sz w:val="28"/>
          <w:szCs w:val="28"/>
        </w:rPr>
        <w:t xml:space="preserve"> litigants) do not have handy access to a book that publishes the comments; even this Court’s website links to rules published by Thomson-Reuters that does not include access to </w:t>
      </w:r>
      <w:r>
        <w:rPr>
          <w:rFonts w:ascii="Times New Roman" w:hAnsi="Times New Roman"/>
          <w:sz w:val="28"/>
          <w:szCs w:val="28"/>
        </w:rPr>
        <w:lastRenderedPageBreak/>
        <w:t>comments. For this reason, AACJ hopes that the Advisory Committee on Rules of Evidence will look for opportunities to delete comments in the future.</w:t>
      </w:r>
    </w:p>
    <w:p w14:paraId="72047689" w14:textId="49961233" w:rsidR="009B566C" w:rsidRPr="00A67DAD" w:rsidRDefault="009B566C" w:rsidP="009B566C">
      <w:pPr>
        <w:pStyle w:val="ListParagraph"/>
        <w:numPr>
          <w:ilvl w:val="0"/>
          <w:numId w:val="9"/>
        </w:numPr>
        <w:spacing w:line="480" w:lineRule="auto"/>
        <w:ind w:left="720"/>
        <w:jc w:val="both"/>
        <w:rPr>
          <w:rFonts w:ascii="Times New Roman" w:hAnsi="Times New Roman"/>
          <w:b/>
          <w:bCs/>
          <w:sz w:val="28"/>
          <w:szCs w:val="28"/>
        </w:rPr>
      </w:pPr>
      <w:r>
        <w:rPr>
          <w:rFonts w:ascii="Times New Roman" w:hAnsi="Times New Roman"/>
          <w:b/>
          <w:bCs/>
          <w:sz w:val="28"/>
          <w:szCs w:val="28"/>
        </w:rPr>
        <w:t>AACJ’s proposal</w:t>
      </w:r>
    </w:p>
    <w:p w14:paraId="3FC653CC" w14:textId="13AF0DA5" w:rsidR="009B566C" w:rsidRDefault="009B566C" w:rsidP="006C7815">
      <w:pPr>
        <w:spacing w:line="480" w:lineRule="auto"/>
        <w:ind w:firstLine="720"/>
        <w:jc w:val="both"/>
        <w:rPr>
          <w:rFonts w:ascii="Times New Roman" w:hAnsi="Times New Roman"/>
          <w:sz w:val="28"/>
          <w:szCs w:val="28"/>
        </w:rPr>
      </w:pPr>
      <w:r>
        <w:rPr>
          <w:rFonts w:ascii="Times New Roman" w:hAnsi="Times New Roman"/>
          <w:sz w:val="28"/>
          <w:szCs w:val="28"/>
        </w:rPr>
        <w:t>AACJ proposes Petitioner consider these changes when submitting its Reply, and for this Court to adopt these amendments to Rule 615:</w:t>
      </w:r>
    </w:p>
    <w:p w14:paraId="55A693A8" w14:textId="3858482C" w:rsidR="009B566C" w:rsidRPr="009B566C" w:rsidRDefault="009B566C" w:rsidP="009B566C">
      <w:pPr>
        <w:spacing w:line="480" w:lineRule="auto"/>
        <w:jc w:val="both"/>
        <w:rPr>
          <w:rFonts w:ascii="Times New Roman" w:hAnsi="Times New Roman"/>
          <w:b/>
          <w:bCs/>
          <w:sz w:val="28"/>
          <w:szCs w:val="28"/>
        </w:rPr>
      </w:pPr>
      <w:r w:rsidRPr="009B566C">
        <w:rPr>
          <w:rFonts w:ascii="Times New Roman" w:hAnsi="Times New Roman"/>
          <w:b/>
          <w:bCs/>
          <w:sz w:val="28"/>
          <w:szCs w:val="28"/>
        </w:rPr>
        <w:t>Rule 615. Excluding Witnesses</w:t>
      </w:r>
    </w:p>
    <w:p w14:paraId="747D1158" w14:textId="283DE945" w:rsidR="009B566C" w:rsidRPr="009B566C" w:rsidRDefault="009B566C" w:rsidP="009B566C">
      <w:pPr>
        <w:spacing w:after="120" w:line="240" w:lineRule="auto"/>
        <w:ind w:firstLine="720"/>
        <w:jc w:val="both"/>
        <w:rPr>
          <w:rFonts w:ascii="Times New Roman" w:hAnsi="Times New Roman"/>
          <w:sz w:val="28"/>
          <w:szCs w:val="28"/>
        </w:rPr>
      </w:pPr>
      <w:r w:rsidRPr="009B566C">
        <w:rPr>
          <w:rFonts w:ascii="Times New Roman" w:hAnsi="Times New Roman"/>
          <w:sz w:val="28"/>
          <w:szCs w:val="28"/>
        </w:rPr>
        <w:t>At a party</w:t>
      </w:r>
      <w:r>
        <w:rPr>
          <w:rFonts w:ascii="Times New Roman" w:hAnsi="Times New Roman"/>
          <w:sz w:val="28"/>
          <w:szCs w:val="28"/>
        </w:rPr>
        <w:t>’</w:t>
      </w:r>
      <w:r w:rsidRPr="009B566C">
        <w:rPr>
          <w:rFonts w:ascii="Times New Roman" w:hAnsi="Times New Roman"/>
          <w:sz w:val="28"/>
          <w:szCs w:val="28"/>
        </w:rPr>
        <w:t xml:space="preserve">s request, the court must order witnesses excluded </w:t>
      </w:r>
      <w:r w:rsidR="006F51DD" w:rsidRPr="006F51DD">
        <w:rPr>
          <w:rFonts w:ascii="Times New Roman" w:hAnsi="Times New Roman"/>
          <w:sz w:val="28"/>
          <w:szCs w:val="28"/>
          <w:u w:val="single"/>
        </w:rPr>
        <w:t>from the courtroom and prohibit them from receiving trial testimony through any means</w:t>
      </w:r>
      <w:r w:rsidR="006F51DD">
        <w:rPr>
          <w:rFonts w:ascii="Times New Roman" w:hAnsi="Times New Roman"/>
          <w:sz w:val="28"/>
          <w:szCs w:val="28"/>
        </w:rPr>
        <w:t xml:space="preserve">, </w:t>
      </w:r>
      <w:r w:rsidRPr="009B566C">
        <w:rPr>
          <w:rFonts w:ascii="Times New Roman" w:hAnsi="Times New Roman"/>
          <w:sz w:val="28"/>
          <w:szCs w:val="28"/>
        </w:rPr>
        <w:t>so that they cannot hear other witnesses</w:t>
      </w:r>
      <w:r>
        <w:rPr>
          <w:rFonts w:ascii="Times New Roman" w:hAnsi="Times New Roman"/>
          <w:sz w:val="28"/>
          <w:szCs w:val="28"/>
        </w:rPr>
        <w:t>’</w:t>
      </w:r>
      <w:r w:rsidRPr="009B566C">
        <w:rPr>
          <w:rFonts w:ascii="Times New Roman" w:hAnsi="Times New Roman"/>
          <w:sz w:val="28"/>
          <w:szCs w:val="28"/>
        </w:rPr>
        <w:t xml:space="preserve"> testimony. Or the court may do so on its own. But this rule does not authorize excluding:</w:t>
      </w:r>
    </w:p>
    <w:p w14:paraId="7D0F5932" w14:textId="77777777" w:rsidR="009B566C" w:rsidRPr="009B566C" w:rsidRDefault="009B566C" w:rsidP="009B566C">
      <w:pPr>
        <w:spacing w:after="120" w:line="240" w:lineRule="auto"/>
        <w:ind w:left="1080" w:hanging="360"/>
        <w:jc w:val="both"/>
        <w:rPr>
          <w:rFonts w:ascii="Times New Roman" w:hAnsi="Times New Roman"/>
          <w:sz w:val="28"/>
          <w:szCs w:val="28"/>
        </w:rPr>
      </w:pPr>
      <w:r w:rsidRPr="009B566C">
        <w:rPr>
          <w:rFonts w:ascii="Times New Roman" w:hAnsi="Times New Roman"/>
          <w:sz w:val="28"/>
          <w:szCs w:val="28"/>
        </w:rPr>
        <w:t>(a) a party who is a natural person;</w:t>
      </w:r>
    </w:p>
    <w:p w14:paraId="50DDD9A9" w14:textId="3062874D" w:rsidR="009B566C" w:rsidRPr="009B566C" w:rsidRDefault="009B566C" w:rsidP="009B566C">
      <w:pPr>
        <w:spacing w:after="120" w:line="240" w:lineRule="auto"/>
        <w:ind w:left="1080" w:hanging="360"/>
        <w:jc w:val="both"/>
        <w:rPr>
          <w:rFonts w:ascii="Times New Roman" w:hAnsi="Times New Roman"/>
          <w:sz w:val="28"/>
          <w:szCs w:val="28"/>
        </w:rPr>
      </w:pPr>
      <w:r w:rsidRPr="009B566C">
        <w:rPr>
          <w:rFonts w:ascii="Times New Roman" w:hAnsi="Times New Roman"/>
          <w:sz w:val="28"/>
          <w:szCs w:val="28"/>
        </w:rPr>
        <w:t xml:space="preserve">(b) </w:t>
      </w:r>
      <w:r w:rsidRPr="006F51DD">
        <w:rPr>
          <w:rFonts w:ascii="Times New Roman" w:hAnsi="Times New Roman"/>
          <w:strike/>
          <w:sz w:val="28"/>
          <w:szCs w:val="28"/>
        </w:rPr>
        <w:t>an</w:t>
      </w:r>
      <w:r w:rsidRPr="009B566C">
        <w:rPr>
          <w:rFonts w:ascii="Times New Roman" w:hAnsi="Times New Roman"/>
          <w:sz w:val="28"/>
          <w:szCs w:val="28"/>
        </w:rPr>
        <w:t xml:space="preserve"> </w:t>
      </w:r>
      <w:r w:rsidR="006F51DD" w:rsidRPr="006F51DD">
        <w:rPr>
          <w:rFonts w:ascii="Times New Roman" w:hAnsi="Times New Roman"/>
          <w:sz w:val="28"/>
          <w:szCs w:val="28"/>
          <w:u w:val="single"/>
        </w:rPr>
        <w:t>one</w:t>
      </w:r>
      <w:r w:rsidR="006F51DD">
        <w:rPr>
          <w:rFonts w:ascii="Times New Roman" w:hAnsi="Times New Roman"/>
          <w:sz w:val="28"/>
          <w:szCs w:val="28"/>
        </w:rPr>
        <w:t xml:space="preserve"> </w:t>
      </w:r>
      <w:r w:rsidRPr="009B566C">
        <w:rPr>
          <w:rFonts w:ascii="Times New Roman" w:hAnsi="Times New Roman"/>
          <w:sz w:val="28"/>
          <w:szCs w:val="28"/>
        </w:rPr>
        <w:t xml:space="preserve">officer or employee of a party that is not a natural person, </w:t>
      </w:r>
      <w:r w:rsidRPr="006F51DD">
        <w:rPr>
          <w:rFonts w:ascii="Times New Roman" w:hAnsi="Times New Roman"/>
          <w:strike/>
          <w:sz w:val="28"/>
          <w:szCs w:val="28"/>
        </w:rPr>
        <w:t>after being</w:t>
      </w:r>
      <w:r w:rsidRPr="009B566C">
        <w:rPr>
          <w:rFonts w:ascii="Times New Roman" w:hAnsi="Times New Roman"/>
          <w:sz w:val="28"/>
          <w:szCs w:val="28"/>
        </w:rPr>
        <w:t xml:space="preserve"> </w:t>
      </w:r>
      <w:r w:rsidR="006F51DD" w:rsidRPr="006F51DD">
        <w:rPr>
          <w:rFonts w:ascii="Times New Roman" w:hAnsi="Times New Roman"/>
          <w:sz w:val="28"/>
          <w:szCs w:val="28"/>
          <w:u w:val="single"/>
        </w:rPr>
        <w:t>if that officer or employee has been</w:t>
      </w:r>
      <w:r w:rsidR="006F51DD">
        <w:rPr>
          <w:rFonts w:ascii="Times New Roman" w:hAnsi="Times New Roman"/>
          <w:sz w:val="28"/>
          <w:szCs w:val="28"/>
        </w:rPr>
        <w:t xml:space="preserve"> </w:t>
      </w:r>
      <w:r w:rsidRPr="009B566C">
        <w:rPr>
          <w:rFonts w:ascii="Times New Roman" w:hAnsi="Times New Roman"/>
          <w:sz w:val="28"/>
          <w:szCs w:val="28"/>
        </w:rPr>
        <w:t>designated as the party</w:t>
      </w:r>
      <w:r>
        <w:rPr>
          <w:rFonts w:ascii="Times New Roman" w:hAnsi="Times New Roman"/>
          <w:sz w:val="28"/>
          <w:szCs w:val="28"/>
        </w:rPr>
        <w:t>’</w:t>
      </w:r>
      <w:r w:rsidRPr="009B566C">
        <w:rPr>
          <w:rFonts w:ascii="Times New Roman" w:hAnsi="Times New Roman"/>
          <w:sz w:val="28"/>
          <w:szCs w:val="28"/>
        </w:rPr>
        <w:t>s representative by its attorney;</w:t>
      </w:r>
    </w:p>
    <w:p w14:paraId="69F40408" w14:textId="2576DC53" w:rsidR="009B566C" w:rsidRPr="009B566C" w:rsidRDefault="009B566C" w:rsidP="009B566C">
      <w:pPr>
        <w:spacing w:after="120" w:line="240" w:lineRule="auto"/>
        <w:ind w:left="1080" w:hanging="360"/>
        <w:jc w:val="both"/>
        <w:rPr>
          <w:rFonts w:ascii="Times New Roman" w:hAnsi="Times New Roman"/>
          <w:sz w:val="28"/>
          <w:szCs w:val="28"/>
        </w:rPr>
      </w:pPr>
      <w:r w:rsidRPr="009B566C">
        <w:rPr>
          <w:rFonts w:ascii="Times New Roman" w:hAnsi="Times New Roman"/>
          <w:sz w:val="28"/>
          <w:szCs w:val="28"/>
        </w:rPr>
        <w:t xml:space="preserve">(c) </w:t>
      </w:r>
      <w:r w:rsidRPr="006F51DD">
        <w:rPr>
          <w:rFonts w:ascii="Times New Roman" w:hAnsi="Times New Roman"/>
          <w:strike/>
          <w:sz w:val="28"/>
          <w:szCs w:val="28"/>
        </w:rPr>
        <w:t>a</w:t>
      </w:r>
      <w:r w:rsidRPr="009B566C">
        <w:rPr>
          <w:rFonts w:ascii="Times New Roman" w:hAnsi="Times New Roman"/>
          <w:sz w:val="28"/>
          <w:szCs w:val="28"/>
        </w:rPr>
        <w:t xml:space="preserve"> </w:t>
      </w:r>
      <w:r w:rsidR="006F51DD" w:rsidRPr="006F51DD">
        <w:rPr>
          <w:rFonts w:ascii="Times New Roman" w:hAnsi="Times New Roman"/>
          <w:sz w:val="28"/>
          <w:szCs w:val="28"/>
          <w:u w:val="single"/>
        </w:rPr>
        <w:t>any</w:t>
      </w:r>
      <w:r w:rsidR="006F51DD">
        <w:rPr>
          <w:rFonts w:ascii="Times New Roman" w:hAnsi="Times New Roman"/>
          <w:sz w:val="28"/>
          <w:szCs w:val="28"/>
        </w:rPr>
        <w:t xml:space="preserve"> </w:t>
      </w:r>
      <w:r w:rsidRPr="009B566C">
        <w:rPr>
          <w:rFonts w:ascii="Times New Roman" w:hAnsi="Times New Roman"/>
          <w:sz w:val="28"/>
          <w:szCs w:val="28"/>
        </w:rPr>
        <w:t>person whose presence a party shows to be essential to presenting the party</w:t>
      </w:r>
      <w:r>
        <w:rPr>
          <w:rFonts w:ascii="Times New Roman" w:hAnsi="Times New Roman"/>
          <w:sz w:val="28"/>
          <w:szCs w:val="28"/>
        </w:rPr>
        <w:t>’</w:t>
      </w:r>
      <w:r w:rsidRPr="009B566C">
        <w:rPr>
          <w:rFonts w:ascii="Times New Roman" w:hAnsi="Times New Roman"/>
          <w:sz w:val="28"/>
          <w:szCs w:val="28"/>
        </w:rPr>
        <w:t>s claim or defense</w:t>
      </w:r>
      <w:r w:rsidR="006F51DD">
        <w:rPr>
          <w:rFonts w:ascii="Times New Roman" w:hAnsi="Times New Roman"/>
          <w:sz w:val="28"/>
          <w:szCs w:val="28"/>
        </w:rPr>
        <w:t xml:space="preserve">, </w:t>
      </w:r>
      <w:r w:rsidR="006C7815">
        <w:rPr>
          <w:rFonts w:ascii="Times New Roman" w:hAnsi="Times New Roman"/>
          <w:sz w:val="28"/>
          <w:szCs w:val="28"/>
          <w:u w:val="single"/>
        </w:rPr>
        <w:t>such as</w:t>
      </w:r>
      <w:r w:rsidR="006F51DD" w:rsidRPr="006F51DD">
        <w:rPr>
          <w:rFonts w:ascii="Times New Roman" w:hAnsi="Times New Roman"/>
          <w:sz w:val="28"/>
          <w:szCs w:val="28"/>
          <w:u w:val="single"/>
        </w:rPr>
        <w:t xml:space="preserve"> expert witnesses</w:t>
      </w:r>
      <w:r w:rsidRPr="009B566C">
        <w:rPr>
          <w:rFonts w:ascii="Times New Roman" w:hAnsi="Times New Roman"/>
          <w:sz w:val="28"/>
          <w:szCs w:val="28"/>
        </w:rPr>
        <w:t>;</w:t>
      </w:r>
    </w:p>
    <w:p w14:paraId="514B865D" w14:textId="77777777" w:rsidR="009B566C" w:rsidRPr="009B566C" w:rsidRDefault="009B566C" w:rsidP="009B566C">
      <w:pPr>
        <w:spacing w:after="120" w:line="240" w:lineRule="auto"/>
        <w:ind w:left="1080" w:hanging="360"/>
        <w:jc w:val="both"/>
        <w:rPr>
          <w:rFonts w:ascii="Times New Roman" w:hAnsi="Times New Roman"/>
          <w:sz w:val="28"/>
          <w:szCs w:val="28"/>
        </w:rPr>
      </w:pPr>
      <w:r w:rsidRPr="009B566C">
        <w:rPr>
          <w:rFonts w:ascii="Times New Roman" w:hAnsi="Times New Roman"/>
          <w:sz w:val="28"/>
          <w:szCs w:val="28"/>
        </w:rPr>
        <w:t>(d) a person authorized by statute to be present; or</w:t>
      </w:r>
    </w:p>
    <w:p w14:paraId="4A61E1EB" w14:textId="0DDE6362" w:rsidR="009B566C" w:rsidRDefault="009B566C" w:rsidP="009B566C">
      <w:pPr>
        <w:spacing w:after="120" w:line="240" w:lineRule="auto"/>
        <w:ind w:left="1080" w:hanging="360"/>
        <w:jc w:val="both"/>
        <w:rPr>
          <w:rFonts w:ascii="Times New Roman" w:hAnsi="Times New Roman"/>
          <w:sz w:val="28"/>
          <w:szCs w:val="28"/>
        </w:rPr>
      </w:pPr>
      <w:r w:rsidRPr="009B566C">
        <w:rPr>
          <w:rFonts w:ascii="Times New Roman" w:hAnsi="Times New Roman"/>
          <w:sz w:val="28"/>
          <w:szCs w:val="28"/>
        </w:rPr>
        <w:t xml:space="preserve">(e) </w:t>
      </w:r>
      <w:r w:rsidRPr="009B566C">
        <w:rPr>
          <w:rFonts w:ascii="Times New Roman" w:hAnsi="Times New Roman"/>
          <w:strike/>
          <w:sz w:val="28"/>
          <w:szCs w:val="28"/>
        </w:rPr>
        <w:t>a victim of crime, as defined by applicable law, who wishes to be present during proceedings against the defendant.</w:t>
      </w:r>
      <w:r>
        <w:rPr>
          <w:rFonts w:ascii="Times New Roman" w:hAnsi="Times New Roman"/>
          <w:sz w:val="28"/>
          <w:szCs w:val="28"/>
        </w:rPr>
        <w:t xml:space="preserve"> </w:t>
      </w:r>
      <w:r w:rsidRPr="009B566C">
        <w:rPr>
          <w:rFonts w:ascii="Times New Roman" w:hAnsi="Times New Roman"/>
          <w:sz w:val="28"/>
          <w:szCs w:val="28"/>
          <w:u w:val="single"/>
        </w:rPr>
        <w:t>any person permitted to be present under Arizona Rule of Criminal Procedure 9.3</w:t>
      </w:r>
      <w:r>
        <w:rPr>
          <w:rFonts w:ascii="Times New Roman" w:hAnsi="Times New Roman"/>
          <w:sz w:val="28"/>
          <w:szCs w:val="28"/>
        </w:rPr>
        <w:t>.</w:t>
      </w:r>
    </w:p>
    <w:p w14:paraId="798A8ADA" w14:textId="77777777" w:rsidR="009B566C" w:rsidRDefault="009B566C" w:rsidP="001D0E6C">
      <w:pPr>
        <w:spacing w:line="480" w:lineRule="auto"/>
        <w:ind w:firstLine="720"/>
        <w:jc w:val="both"/>
        <w:rPr>
          <w:rFonts w:ascii="Times New Roman" w:hAnsi="Times New Roman"/>
          <w:sz w:val="28"/>
          <w:szCs w:val="28"/>
        </w:rPr>
      </w:pPr>
    </w:p>
    <w:p w14:paraId="6F448236" w14:textId="04A5F959" w:rsidR="009B566C" w:rsidRDefault="006C7815" w:rsidP="006C7815">
      <w:pPr>
        <w:spacing w:line="480" w:lineRule="auto"/>
        <w:jc w:val="both"/>
        <w:rPr>
          <w:rFonts w:ascii="Times New Roman" w:hAnsi="Times New Roman"/>
          <w:sz w:val="28"/>
          <w:szCs w:val="28"/>
        </w:rPr>
      </w:pPr>
      <w:r>
        <w:rPr>
          <w:rFonts w:ascii="Times New Roman" w:hAnsi="Times New Roman"/>
          <w:sz w:val="28"/>
          <w:szCs w:val="28"/>
        </w:rPr>
        <w:t>AACJ believes these changes will reflect the current state of the law in Arizona.</w:t>
      </w:r>
    </w:p>
    <w:p w14:paraId="7F7CF435" w14:textId="094ADC07" w:rsidR="009B566C" w:rsidRDefault="002A1276" w:rsidP="001D0E6C">
      <w:pPr>
        <w:spacing w:line="480" w:lineRule="auto"/>
        <w:ind w:firstLine="720"/>
        <w:jc w:val="both"/>
        <w:rPr>
          <w:rFonts w:ascii="Times New Roman" w:hAnsi="Times New Roman"/>
          <w:sz w:val="28"/>
          <w:szCs w:val="28"/>
        </w:rPr>
      </w:pPr>
      <w:r>
        <w:rPr>
          <w:rFonts w:ascii="Times New Roman" w:hAnsi="Times New Roman"/>
          <w:sz w:val="28"/>
          <w:szCs w:val="28"/>
        </w:rPr>
        <w:t>//</w:t>
      </w:r>
    </w:p>
    <w:p w14:paraId="17E7A4E7" w14:textId="29540230" w:rsidR="002A1276" w:rsidRDefault="002A1276" w:rsidP="001D0E6C">
      <w:pPr>
        <w:spacing w:line="480" w:lineRule="auto"/>
        <w:ind w:firstLine="720"/>
        <w:jc w:val="both"/>
        <w:rPr>
          <w:rFonts w:ascii="Times New Roman" w:hAnsi="Times New Roman"/>
          <w:sz w:val="28"/>
          <w:szCs w:val="28"/>
        </w:rPr>
      </w:pPr>
      <w:r>
        <w:rPr>
          <w:rFonts w:ascii="Times New Roman" w:hAnsi="Times New Roman"/>
          <w:sz w:val="28"/>
          <w:szCs w:val="28"/>
        </w:rPr>
        <w:t>//</w:t>
      </w:r>
    </w:p>
    <w:p w14:paraId="5EFD6E18" w14:textId="77777777" w:rsidR="002A1276" w:rsidRDefault="002A1276">
      <w:pPr>
        <w:spacing w:line="240" w:lineRule="auto"/>
        <w:rPr>
          <w:rFonts w:ascii="Times New Roman" w:hAnsi="Times New Roman"/>
          <w:b/>
          <w:sz w:val="28"/>
          <w:szCs w:val="28"/>
          <w:u w:val="single"/>
        </w:rPr>
      </w:pPr>
      <w:r>
        <w:rPr>
          <w:rFonts w:ascii="Times New Roman" w:hAnsi="Times New Roman"/>
          <w:b/>
          <w:sz w:val="28"/>
          <w:szCs w:val="28"/>
          <w:u w:val="single"/>
        </w:rPr>
        <w:br w:type="page"/>
      </w:r>
    </w:p>
    <w:p w14:paraId="6F78F8D8" w14:textId="6982EE50" w:rsidR="00BC2358" w:rsidRPr="00BC2358" w:rsidRDefault="00BC2358" w:rsidP="00BC2358">
      <w:pPr>
        <w:spacing w:line="480" w:lineRule="auto"/>
        <w:jc w:val="both"/>
        <w:rPr>
          <w:rFonts w:ascii="Times New Roman" w:hAnsi="Times New Roman"/>
          <w:b/>
          <w:sz w:val="28"/>
          <w:szCs w:val="28"/>
          <w:u w:val="single"/>
        </w:rPr>
      </w:pPr>
      <w:r w:rsidRPr="00BC2358">
        <w:rPr>
          <w:rFonts w:ascii="Times New Roman" w:hAnsi="Times New Roman"/>
          <w:b/>
          <w:sz w:val="28"/>
          <w:szCs w:val="28"/>
          <w:u w:val="single"/>
        </w:rPr>
        <w:lastRenderedPageBreak/>
        <w:t>Conclusion</w:t>
      </w:r>
    </w:p>
    <w:p w14:paraId="1A9BA697" w14:textId="4673F4C7" w:rsidR="002C660A" w:rsidRPr="0014499B" w:rsidRDefault="001B408E"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For these reasons, AACJ requests this Court </w:t>
      </w:r>
      <w:r w:rsidR="00C60CF3">
        <w:rPr>
          <w:rFonts w:ascii="Times New Roman" w:hAnsi="Times New Roman"/>
          <w:sz w:val="28"/>
          <w:szCs w:val="28"/>
        </w:rPr>
        <w:t>amend</w:t>
      </w:r>
      <w:r w:rsidR="00094BC9">
        <w:rPr>
          <w:rFonts w:ascii="Times New Roman" w:hAnsi="Times New Roman"/>
          <w:sz w:val="28"/>
          <w:szCs w:val="28"/>
        </w:rPr>
        <w:t xml:space="preserve"> Rule </w:t>
      </w:r>
      <w:r w:rsidR="00C60CF3">
        <w:rPr>
          <w:rFonts w:ascii="Times New Roman" w:hAnsi="Times New Roman"/>
          <w:sz w:val="28"/>
          <w:szCs w:val="28"/>
        </w:rPr>
        <w:t>10</w:t>
      </w:r>
      <w:r w:rsidR="00B515D5">
        <w:rPr>
          <w:rFonts w:ascii="Times New Roman" w:hAnsi="Times New Roman"/>
          <w:sz w:val="28"/>
          <w:szCs w:val="28"/>
        </w:rPr>
        <w:t>6</w:t>
      </w:r>
      <w:r w:rsidR="006C7815">
        <w:rPr>
          <w:rFonts w:ascii="Times New Roman" w:hAnsi="Times New Roman"/>
          <w:sz w:val="28"/>
          <w:szCs w:val="28"/>
        </w:rPr>
        <w:t xml:space="preserve"> consistently with the proposal in this comment</w:t>
      </w:r>
      <w:r>
        <w:rPr>
          <w:rFonts w:ascii="Times New Roman" w:hAnsi="Times New Roman"/>
          <w:sz w:val="28"/>
          <w:szCs w:val="28"/>
        </w:rPr>
        <w:t>.</w:t>
      </w:r>
    </w:p>
    <w:p w14:paraId="268AB80E" w14:textId="1E1DDE3D" w:rsidR="00DC38DE" w:rsidRPr="0014499B" w:rsidRDefault="00802B79" w:rsidP="00CA5689">
      <w:pPr>
        <w:spacing w:line="480" w:lineRule="auto"/>
        <w:ind w:firstLine="720"/>
        <w:jc w:val="both"/>
        <w:rPr>
          <w:rFonts w:ascii="Times New Roman" w:hAnsi="Times New Roman"/>
          <w:sz w:val="28"/>
          <w:szCs w:val="28"/>
        </w:rPr>
      </w:pPr>
      <w:r>
        <w:rPr>
          <w:rFonts w:ascii="Times New Roman" w:hAnsi="Times New Roman"/>
          <w:sz w:val="28"/>
          <w:szCs w:val="28"/>
        </w:rPr>
        <w:t>DATED (electronically filed)</w:t>
      </w:r>
      <w:r w:rsidR="00DC38DE" w:rsidRPr="0014499B">
        <w:rPr>
          <w:rFonts w:ascii="Times New Roman" w:hAnsi="Times New Roman"/>
          <w:sz w:val="28"/>
          <w:szCs w:val="28"/>
        </w:rPr>
        <w:t xml:space="preserve">:  </w:t>
      </w:r>
      <w:r w:rsidR="001C2BDE">
        <w:rPr>
          <w:rFonts w:ascii="Times New Roman" w:hAnsi="Times New Roman"/>
          <w:sz w:val="28"/>
          <w:szCs w:val="28"/>
        </w:rPr>
        <w:t>May</w:t>
      </w:r>
      <w:r w:rsidR="002C660A">
        <w:rPr>
          <w:rFonts w:ascii="Times New Roman" w:hAnsi="Times New Roman"/>
          <w:sz w:val="28"/>
          <w:szCs w:val="28"/>
        </w:rPr>
        <w:t xml:space="preserve"> </w:t>
      </w:r>
      <w:r w:rsidR="00C60CF3">
        <w:rPr>
          <w:rFonts w:ascii="Times New Roman" w:hAnsi="Times New Roman"/>
          <w:sz w:val="28"/>
          <w:szCs w:val="28"/>
        </w:rPr>
        <w:t>1</w:t>
      </w:r>
      <w:r w:rsidR="00DC38DE">
        <w:rPr>
          <w:rFonts w:ascii="Times New Roman" w:hAnsi="Times New Roman"/>
          <w:sz w:val="28"/>
          <w:szCs w:val="28"/>
        </w:rPr>
        <w:t>,</w:t>
      </w:r>
      <w:r w:rsidR="00DC38DE" w:rsidRPr="0014499B">
        <w:rPr>
          <w:rFonts w:ascii="Times New Roman" w:hAnsi="Times New Roman"/>
          <w:sz w:val="28"/>
          <w:szCs w:val="28"/>
        </w:rPr>
        <w:t xml:space="preserve"> 20</w:t>
      </w:r>
      <w:r w:rsidR="009F697C">
        <w:rPr>
          <w:rFonts w:ascii="Times New Roman" w:hAnsi="Times New Roman"/>
          <w:sz w:val="28"/>
          <w:szCs w:val="28"/>
        </w:rPr>
        <w:t>2</w:t>
      </w:r>
      <w:r w:rsidR="00C60CF3">
        <w:rPr>
          <w:rFonts w:ascii="Times New Roman" w:hAnsi="Times New Roman"/>
          <w:sz w:val="28"/>
          <w:szCs w:val="28"/>
        </w:rPr>
        <w:t>3</w:t>
      </w:r>
      <w:r w:rsidR="00DC38DE" w:rsidRPr="0014499B">
        <w:rPr>
          <w:rFonts w:ascii="Times New Roman" w:hAnsi="Times New Roman"/>
          <w:sz w:val="28"/>
          <w:szCs w:val="28"/>
        </w:rPr>
        <w:t>.</w:t>
      </w:r>
    </w:p>
    <w:p w14:paraId="27ADC0FD" w14:textId="77777777" w:rsidR="00A629F8" w:rsidRDefault="00A629F8" w:rsidP="00DC38DE">
      <w:pPr>
        <w:spacing w:line="240" w:lineRule="auto"/>
        <w:rPr>
          <w:rFonts w:ascii="Times New Roman" w:hAnsi="Times New Roman"/>
          <w:sz w:val="28"/>
          <w:szCs w:val="28"/>
        </w:rPr>
      </w:pPr>
    </w:p>
    <w:p w14:paraId="268AB80F" w14:textId="77777777" w:rsidR="00DC38DE" w:rsidRDefault="00DC38DE" w:rsidP="00DC38DE">
      <w:pPr>
        <w:spacing w:line="240" w:lineRule="auto"/>
        <w:rPr>
          <w:rFonts w:ascii="Times New Roman" w:hAnsi="Times New Roman"/>
          <w:sz w:val="28"/>
          <w:szCs w:val="28"/>
        </w:rPr>
      </w:pPr>
      <w:r>
        <w:rPr>
          <w:rFonts w:ascii="Times New Roman" w:hAnsi="Times New Roman"/>
          <w:sz w:val="28"/>
          <w:szCs w:val="28"/>
        </w:rPr>
        <w:t>ARIZONA ATTORNEYS FOR CRIMINAL JUSTICE</w:t>
      </w:r>
    </w:p>
    <w:p w14:paraId="268AB811" w14:textId="77777777" w:rsidR="00DC38DE" w:rsidRPr="0014499B" w:rsidRDefault="00DC38DE" w:rsidP="00DC38DE">
      <w:pPr>
        <w:spacing w:line="240" w:lineRule="auto"/>
        <w:rPr>
          <w:rFonts w:ascii="Times New Roman" w:hAnsi="Times New Roman"/>
          <w:sz w:val="28"/>
          <w:szCs w:val="28"/>
        </w:rPr>
      </w:pPr>
    </w:p>
    <w:p w14:paraId="268AB812" w14:textId="2BA11A87"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sidR="00973C53">
        <w:rPr>
          <w:rFonts w:ascii="Times New Roman" w:hAnsi="Times New Roman"/>
          <w:sz w:val="28"/>
          <w:szCs w:val="28"/>
        </w:rPr>
        <w:t>:</w:t>
      </w:r>
      <w:r>
        <w:rPr>
          <w:rFonts w:ascii="Times New Roman" w:hAnsi="Times New Roman"/>
          <w:sz w:val="28"/>
          <w:szCs w:val="28"/>
        </w:rPr>
        <w:t xml:space="preserve"> </w:t>
      </w:r>
      <w:r w:rsidR="00973C53">
        <w:rPr>
          <w:rFonts w:ascii="Times New Roman" w:hAnsi="Times New Roman"/>
          <w:sz w:val="28"/>
          <w:szCs w:val="28"/>
        </w:rPr>
        <w:tab/>
      </w:r>
      <w:r>
        <w:rPr>
          <w:rFonts w:ascii="Times New Roman" w:hAnsi="Times New Roman"/>
          <w:sz w:val="28"/>
          <w:szCs w:val="28"/>
          <w:u w:val="single"/>
        </w:rPr>
        <w:t>/s/</w:t>
      </w:r>
      <w:r w:rsidR="00785725">
        <w:rPr>
          <w:rFonts w:ascii="Times New Roman" w:hAnsi="Times New Roman"/>
          <w:sz w:val="28"/>
          <w:szCs w:val="28"/>
          <w:u w:val="single"/>
        </w:rPr>
        <w:t xml:space="preserve"> </w:t>
      </w:r>
      <w:r w:rsidR="001C2BDE">
        <w:rPr>
          <w:rFonts w:ascii="Times New Roman" w:hAnsi="Times New Roman"/>
          <w:sz w:val="28"/>
          <w:szCs w:val="28"/>
          <w:u w:val="single"/>
        </w:rPr>
        <w:t>David J. Euchner</w:t>
      </w:r>
      <w:r w:rsidRPr="00D9658B">
        <w:rPr>
          <w:rFonts w:ascii="Times New Roman" w:hAnsi="Times New Roman"/>
          <w:sz w:val="28"/>
          <w:szCs w:val="28"/>
          <w:u w:val="single"/>
        </w:rPr>
        <w:tab/>
      </w:r>
      <w:r>
        <w:rPr>
          <w:rFonts w:ascii="Times New Roman" w:hAnsi="Times New Roman"/>
          <w:sz w:val="28"/>
          <w:szCs w:val="28"/>
        </w:rPr>
        <w:tab/>
      </w:r>
    </w:p>
    <w:p w14:paraId="268AB813" w14:textId="13108448" w:rsidR="006235B5" w:rsidRDefault="001C2BDE" w:rsidP="006235B5">
      <w:pPr>
        <w:spacing w:line="240" w:lineRule="auto"/>
        <w:ind w:firstLine="720"/>
        <w:rPr>
          <w:rFonts w:ascii="Times New Roman" w:hAnsi="Times New Roman"/>
          <w:sz w:val="28"/>
          <w:szCs w:val="28"/>
        </w:rPr>
      </w:pPr>
      <w:r>
        <w:rPr>
          <w:rFonts w:ascii="Times New Roman" w:hAnsi="Times New Roman"/>
          <w:sz w:val="28"/>
          <w:szCs w:val="28"/>
        </w:rPr>
        <w:t>David J. Euchner</w:t>
      </w:r>
    </w:p>
    <w:p w14:paraId="450CBE42" w14:textId="77777777" w:rsidR="00B16F3E" w:rsidRDefault="00B16F3E" w:rsidP="00DC38DE">
      <w:pPr>
        <w:spacing w:line="240" w:lineRule="auto"/>
        <w:rPr>
          <w:rFonts w:ascii="Times New Roman" w:hAnsi="Times New Roman"/>
          <w:sz w:val="28"/>
          <w:szCs w:val="28"/>
        </w:rPr>
      </w:pPr>
    </w:p>
    <w:p w14:paraId="500E5C64" w14:textId="177A5CB3" w:rsidR="00854B4F" w:rsidRDefault="00854B4F" w:rsidP="00DC38DE">
      <w:pPr>
        <w:spacing w:line="240" w:lineRule="auto"/>
        <w:rPr>
          <w:rFonts w:ascii="Times New Roman" w:hAnsi="Times New Roman"/>
          <w:sz w:val="28"/>
          <w:szCs w:val="28"/>
        </w:rPr>
      </w:pPr>
    </w:p>
    <w:p w14:paraId="4C430503" w14:textId="7E935518" w:rsidR="004B74D0" w:rsidRDefault="004B74D0" w:rsidP="00DC38DE">
      <w:pPr>
        <w:spacing w:line="240" w:lineRule="auto"/>
        <w:rPr>
          <w:rFonts w:ascii="Times New Roman" w:hAnsi="Times New Roman"/>
          <w:sz w:val="28"/>
          <w:szCs w:val="28"/>
        </w:rPr>
      </w:pPr>
      <w:r>
        <w:rPr>
          <w:rFonts w:ascii="Times New Roman" w:hAnsi="Times New Roman"/>
          <w:sz w:val="28"/>
          <w:szCs w:val="28"/>
        </w:rPr>
        <w:t>Comment electronically mailed to:</w:t>
      </w:r>
    </w:p>
    <w:p w14:paraId="4BAF844C" w14:textId="616553E1" w:rsidR="004B74D0" w:rsidRDefault="004B74D0" w:rsidP="00DC38DE">
      <w:pPr>
        <w:spacing w:line="240" w:lineRule="auto"/>
        <w:rPr>
          <w:rFonts w:ascii="Times New Roman" w:hAnsi="Times New Roman"/>
          <w:sz w:val="28"/>
          <w:szCs w:val="28"/>
        </w:rPr>
      </w:pPr>
    </w:p>
    <w:p w14:paraId="074FC76B" w14:textId="06B8DA97" w:rsidR="004B74D0" w:rsidRDefault="00C60CF3" w:rsidP="00DC38DE">
      <w:pPr>
        <w:spacing w:line="240" w:lineRule="auto"/>
        <w:rPr>
          <w:rFonts w:ascii="Times New Roman" w:hAnsi="Times New Roman"/>
          <w:sz w:val="28"/>
          <w:szCs w:val="28"/>
        </w:rPr>
      </w:pPr>
      <w:r>
        <w:rPr>
          <w:rFonts w:ascii="Times New Roman" w:hAnsi="Times New Roman"/>
          <w:sz w:val="28"/>
          <w:szCs w:val="28"/>
        </w:rPr>
        <w:t>Hons. Sara Agne &amp; Maria Elena Cruz</w:t>
      </w:r>
    </w:p>
    <w:p w14:paraId="4E4E8AFF" w14:textId="5EC7889F" w:rsidR="002D17D1" w:rsidRDefault="002D17D1" w:rsidP="00DC38DE">
      <w:pPr>
        <w:spacing w:line="240" w:lineRule="auto"/>
        <w:rPr>
          <w:rFonts w:ascii="Times New Roman" w:hAnsi="Times New Roman"/>
          <w:sz w:val="28"/>
          <w:szCs w:val="28"/>
        </w:rPr>
      </w:pPr>
      <w:r>
        <w:rPr>
          <w:rFonts w:ascii="Times New Roman" w:hAnsi="Times New Roman"/>
          <w:sz w:val="28"/>
          <w:szCs w:val="28"/>
        </w:rPr>
        <w:t>Ad</w:t>
      </w:r>
      <w:r w:rsidR="00C60CF3">
        <w:rPr>
          <w:rFonts w:ascii="Times New Roman" w:hAnsi="Times New Roman"/>
          <w:sz w:val="28"/>
          <w:szCs w:val="28"/>
        </w:rPr>
        <w:t>visory Committee on Rules of Evidence</w:t>
      </w:r>
    </w:p>
    <w:p w14:paraId="27D12D94" w14:textId="77777777" w:rsidR="00C60CF3" w:rsidRDefault="00C60CF3" w:rsidP="00DC38DE">
      <w:pPr>
        <w:spacing w:line="240" w:lineRule="auto"/>
        <w:rPr>
          <w:rFonts w:ascii="Times New Roman" w:hAnsi="Times New Roman"/>
          <w:sz w:val="28"/>
          <w:szCs w:val="28"/>
        </w:rPr>
      </w:pPr>
    </w:p>
    <w:sectPr w:rsidR="00C60CF3" w:rsidSect="00F54AAE">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AE3D6" w14:textId="77777777" w:rsidR="00FA1691" w:rsidRDefault="00FA1691">
      <w:r>
        <w:separator/>
      </w:r>
    </w:p>
  </w:endnote>
  <w:endnote w:type="continuationSeparator" w:id="0">
    <w:p w14:paraId="0B18701A" w14:textId="77777777" w:rsidR="00FA1691" w:rsidRDefault="00FA1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ahoma"/>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B82B" w14:textId="77777777" w:rsidR="001B408E" w:rsidRDefault="001B408E"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AB82C" w14:textId="77777777" w:rsidR="001B408E" w:rsidRDefault="001B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B82D" w14:textId="15B1D2BD" w:rsidR="001B408E" w:rsidRPr="005D21EF" w:rsidRDefault="001B408E" w:rsidP="004B3410">
    <w:pPr>
      <w:pStyle w:val="Footer"/>
      <w:framePr w:wrap="around" w:vAnchor="text" w:hAnchor="margin" w:xAlign="center" w:y="1"/>
      <w:rPr>
        <w:rStyle w:val="PageNumber"/>
        <w:rFonts w:ascii="Times New Roman" w:hAnsi="Times New Roman"/>
        <w:sz w:val="28"/>
        <w:szCs w:val="28"/>
      </w:rPr>
    </w:pPr>
    <w:r w:rsidRPr="005D21EF">
      <w:rPr>
        <w:rStyle w:val="PageNumber"/>
        <w:rFonts w:ascii="Times New Roman" w:hAnsi="Times New Roman"/>
        <w:sz w:val="28"/>
        <w:szCs w:val="28"/>
      </w:rPr>
      <w:fldChar w:fldCharType="begin"/>
    </w:r>
    <w:r w:rsidRPr="005D21EF">
      <w:rPr>
        <w:rStyle w:val="PageNumber"/>
        <w:rFonts w:ascii="Times New Roman" w:hAnsi="Times New Roman"/>
        <w:sz w:val="28"/>
        <w:szCs w:val="28"/>
      </w:rPr>
      <w:instrText xml:space="preserve">PAGE  </w:instrText>
    </w:r>
    <w:r w:rsidRPr="005D21EF">
      <w:rPr>
        <w:rStyle w:val="PageNumber"/>
        <w:rFonts w:ascii="Times New Roman" w:hAnsi="Times New Roman"/>
        <w:sz w:val="28"/>
        <w:szCs w:val="28"/>
      </w:rPr>
      <w:fldChar w:fldCharType="separate"/>
    </w:r>
    <w:r w:rsidR="00836008">
      <w:rPr>
        <w:rStyle w:val="PageNumber"/>
        <w:rFonts w:ascii="Times New Roman" w:hAnsi="Times New Roman"/>
        <w:noProof/>
        <w:sz w:val="28"/>
        <w:szCs w:val="28"/>
      </w:rPr>
      <w:t>6</w:t>
    </w:r>
    <w:r w:rsidRPr="005D21EF">
      <w:rPr>
        <w:rStyle w:val="PageNumber"/>
        <w:rFonts w:ascii="Times New Roman" w:hAnsi="Times New Roman"/>
        <w:sz w:val="28"/>
        <w:szCs w:val="28"/>
      </w:rPr>
      <w:fldChar w:fldCharType="end"/>
    </w:r>
  </w:p>
  <w:p w14:paraId="268AB82E" w14:textId="77777777" w:rsidR="001B408E" w:rsidRDefault="001B4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71BE1" w14:textId="77777777" w:rsidR="00FA1691" w:rsidRDefault="00FA1691">
      <w:r>
        <w:separator/>
      </w:r>
    </w:p>
  </w:footnote>
  <w:footnote w:type="continuationSeparator" w:id="0">
    <w:p w14:paraId="2FCDF336" w14:textId="77777777" w:rsidR="00FA1691" w:rsidRDefault="00FA1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5BF78E9"/>
    <w:multiLevelType w:val="hybridMultilevel"/>
    <w:tmpl w:val="145EDBA8"/>
    <w:lvl w:ilvl="0" w:tplc="B498BED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2903555">
    <w:abstractNumId w:val="1"/>
  </w:num>
  <w:num w:numId="2" w16cid:durableId="469400166">
    <w:abstractNumId w:val="0"/>
  </w:num>
  <w:num w:numId="3" w16cid:durableId="626275486">
    <w:abstractNumId w:val="3"/>
  </w:num>
  <w:num w:numId="4" w16cid:durableId="1237518553">
    <w:abstractNumId w:val="2"/>
  </w:num>
  <w:num w:numId="5" w16cid:durableId="1732536459">
    <w:abstractNumId w:val="6"/>
  </w:num>
  <w:num w:numId="6" w16cid:durableId="1378436400">
    <w:abstractNumId w:val="7"/>
  </w:num>
  <w:num w:numId="7" w16cid:durableId="991374513">
    <w:abstractNumId w:val="4"/>
  </w:num>
  <w:num w:numId="8" w16cid:durableId="1700660638">
    <w:abstractNumId w:val="5"/>
  </w:num>
  <w:num w:numId="9" w16cid:durableId="10096729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BD"/>
    <w:rsid w:val="000002CC"/>
    <w:rsid w:val="00003247"/>
    <w:rsid w:val="00010B33"/>
    <w:rsid w:val="000170EA"/>
    <w:rsid w:val="00030DFC"/>
    <w:rsid w:val="00033485"/>
    <w:rsid w:val="000347CF"/>
    <w:rsid w:val="00036CF2"/>
    <w:rsid w:val="000506CE"/>
    <w:rsid w:val="00050775"/>
    <w:rsid w:val="000539C9"/>
    <w:rsid w:val="00054624"/>
    <w:rsid w:val="000574A7"/>
    <w:rsid w:val="00057960"/>
    <w:rsid w:val="000759BB"/>
    <w:rsid w:val="000763D7"/>
    <w:rsid w:val="00076CBE"/>
    <w:rsid w:val="00092D1D"/>
    <w:rsid w:val="00094BC9"/>
    <w:rsid w:val="00095786"/>
    <w:rsid w:val="000B1D0D"/>
    <w:rsid w:val="000B3D5C"/>
    <w:rsid w:val="000B58EF"/>
    <w:rsid w:val="000D50D4"/>
    <w:rsid w:val="000E2821"/>
    <w:rsid w:val="000E6C47"/>
    <w:rsid w:val="000E7FAC"/>
    <w:rsid w:val="00111A1A"/>
    <w:rsid w:val="00117CB3"/>
    <w:rsid w:val="0012054D"/>
    <w:rsid w:val="00125A1E"/>
    <w:rsid w:val="001269D9"/>
    <w:rsid w:val="001279AC"/>
    <w:rsid w:val="00141C61"/>
    <w:rsid w:val="00147D21"/>
    <w:rsid w:val="00147D30"/>
    <w:rsid w:val="001516C5"/>
    <w:rsid w:val="0016125C"/>
    <w:rsid w:val="00175B0A"/>
    <w:rsid w:val="00176A8B"/>
    <w:rsid w:val="00186903"/>
    <w:rsid w:val="001B24C6"/>
    <w:rsid w:val="001B408E"/>
    <w:rsid w:val="001C015F"/>
    <w:rsid w:val="001C02C6"/>
    <w:rsid w:val="001C2BDE"/>
    <w:rsid w:val="001C30CE"/>
    <w:rsid w:val="001C317C"/>
    <w:rsid w:val="001C60A4"/>
    <w:rsid w:val="001D0E6C"/>
    <w:rsid w:val="001F6288"/>
    <w:rsid w:val="00205E43"/>
    <w:rsid w:val="002076F9"/>
    <w:rsid w:val="00221A90"/>
    <w:rsid w:val="00221BCC"/>
    <w:rsid w:val="00230545"/>
    <w:rsid w:val="00235C89"/>
    <w:rsid w:val="0023620C"/>
    <w:rsid w:val="00255E07"/>
    <w:rsid w:val="0027258D"/>
    <w:rsid w:val="002763F8"/>
    <w:rsid w:val="00284E5B"/>
    <w:rsid w:val="00285283"/>
    <w:rsid w:val="002A1276"/>
    <w:rsid w:val="002A24BA"/>
    <w:rsid w:val="002A3420"/>
    <w:rsid w:val="002B5B1B"/>
    <w:rsid w:val="002C0EDD"/>
    <w:rsid w:val="002C54D2"/>
    <w:rsid w:val="002C660A"/>
    <w:rsid w:val="002D17D1"/>
    <w:rsid w:val="002E545E"/>
    <w:rsid w:val="002F1FBD"/>
    <w:rsid w:val="002F33EF"/>
    <w:rsid w:val="00304745"/>
    <w:rsid w:val="00304EAE"/>
    <w:rsid w:val="003055A7"/>
    <w:rsid w:val="00305778"/>
    <w:rsid w:val="00305CB1"/>
    <w:rsid w:val="00311552"/>
    <w:rsid w:val="00313AAF"/>
    <w:rsid w:val="00325AFE"/>
    <w:rsid w:val="003459B8"/>
    <w:rsid w:val="00351280"/>
    <w:rsid w:val="00357C78"/>
    <w:rsid w:val="003732CB"/>
    <w:rsid w:val="00380B0B"/>
    <w:rsid w:val="003A2343"/>
    <w:rsid w:val="003A346F"/>
    <w:rsid w:val="003A63AE"/>
    <w:rsid w:val="003C15EA"/>
    <w:rsid w:val="003C4E9C"/>
    <w:rsid w:val="003C6246"/>
    <w:rsid w:val="003E5927"/>
    <w:rsid w:val="0041282A"/>
    <w:rsid w:val="0041704C"/>
    <w:rsid w:val="00420CBC"/>
    <w:rsid w:val="00421E9E"/>
    <w:rsid w:val="004434F1"/>
    <w:rsid w:val="00444BE7"/>
    <w:rsid w:val="00451F00"/>
    <w:rsid w:val="00454AE0"/>
    <w:rsid w:val="0047497F"/>
    <w:rsid w:val="00485FAA"/>
    <w:rsid w:val="004923C0"/>
    <w:rsid w:val="00493A61"/>
    <w:rsid w:val="004963BA"/>
    <w:rsid w:val="004A2829"/>
    <w:rsid w:val="004B3410"/>
    <w:rsid w:val="004B6D4E"/>
    <w:rsid w:val="004B74D0"/>
    <w:rsid w:val="004B7790"/>
    <w:rsid w:val="004B7EA5"/>
    <w:rsid w:val="004C53A2"/>
    <w:rsid w:val="004C7133"/>
    <w:rsid w:val="004D72A3"/>
    <w:rsid w:val="004E66AE"/>
    <w:rsid w:val="004E6839"/>
    <w:rsid w:val="004F3B51"/>
    <w:rsid w:val="004F5419"/>
    <w:rsid w:val="00502211"/>
    <w:rsid w:val="00512EB9"/>
    <w:rsid w:val="00515CB2"/>
    <w:rsid w:val="005252FB"/>
    <w:rsid w:val="0054468B"/>
    <w:rsid w:val="005453BE"/>
    <w:rsid w:val="00553515"/>
    <w:rsid w:val="005552C9"/>
    <w:rsid w:val="00556A2D"/>
    <w:rsid w:val="00565858"/>
    <w:rsid w:val="005924A7"/>
    <w:rsid w:val="005B0C4F"/>
    <w:rsid w:val="005B2350"/>
    <w:rsid w:val="005B53BE"/>
    <w:rsid w:val="005B7899"/>
    <w:rsid w:val="005C109B"/>
    <w:rsid w:val="005C6E61"/>
    <w:rsid w:val="005D06D5"/>
    <w:rsid w:val="005D21EF"/>
    <w:rsid w:val="005D441D"/>
    <w:rsid w:val="005D7DCC"/>
    <w:rsid w:val="005E11F3"/>
    <w:rsid w:val="005F0195"/>
    <w:rsid w:val="005F145E"/>
    <w:rsid w:val="005F4669"/>
    <w:rsid w:val="0060208D"/>
    <w:rsid w:val="006068F4"/>
    <w:rsid w:val="0061055B"/>
    <w:rsid w:val="006114B6"/>
    <w:rsid w:val="006235B5"/>
    <w:rsid w:val="0062703F"/>
    <w:rsid w:val="00627605"/>
    <w:rsid w:val="00627DBE"/>
    <w:rsid w:val="00635786"/>
    <w:rsid w:val="006378F2"/>
    <w:rsid w:val="006463AE"/>
    <w:rsid w:val="00646589"/>
    <w:rsid w:val="00656061"/>
    <w:rsid w:val="00666490"/>
    <w:rsid w:val="00671A36"/>
    <w:rsid w:val="00674178"/>
    <w:rsid w:val="00692962"/>
    <w:rsid w:val="006B7D41"/>
    <w:rsid w:val="006C0F08"/>
    <w:rsid w:val="006C2808"/>
    <w:rsid w:val="006C5B68"/>
    <w:rsid w:val="006C648E"/>
    <w:rsid w:val="006C7815"/>
    <w:rsid w:val="006D1C00"/>
    <w:rsid w:val="006D4397"/>
    <w:rsid w:val="006D4E43"/>
    <w:rsid w:val="006E34AB"/>
    <w:rsid w:val="006F51DD"/>
    <w:rsid w:val="006F5562"/>
    <w:rsid w:val="006F594D"/>
    <w:rsid w:val="006F6CD5"/>
    <w:rsid w:val="00701CE7"/>
    <w:rsid w:val="0070604A"/>
    <w:rsid w:val="007109BB"/>
    <w:rsid w:val="00714CCA"/>
    <w:rsid w:val="00716D4F"/>
    <w:rsid w:val="00720596"/>
    <w:rsid w:val="00726927"/>
    <w:rsid w:val="00734F6C"/>
    <w:rsid w:val="00741690"/>
    <w:rsid w:val="00744748"/>
    <w:rsid w:val="00757D2B"/>
    <w:rsid w:val="00760549"/>
    <w:rsid w:val="007626EF"/>
    <w:rsid w:val="00764591"/>
    <w:rsid w:val="00765DAF"/>
    <w:rsid w:val="007669E7"/>
    <w:rsid w:val="00781317"/>
    <w:rsid w:val="00783BC1"/>
    <w:rsid w:val="00785725"/>
    <w:rsid w:val="007862DA"/>
    <w:rsid w:val="00787905"/>
    <w:rsid w:val="00794743"/>
    <w:rsid w:val="007973A8"/>
    <w:rsid w:val="007A3B11"/>
    <w:rsid w:val="007A5AD8"/>
    <w:rsid w:val="007B4B94"/>
    <w:rsid w:val="007C17AC"/>
    <w:rsid w:val="007C2833"/>
    <w:rsid w:val="007D2D04"/>
    <w:rsid w:val="007E229C"/>
    <w:rsid w:val="007F091F"/>
    <w:rsid w:val="007F35A8"/>
    <w:rsid w:val="007F4237"/>
    <w:rsid w:val="00802B79"/>
    <w:rsid w:val="00806D9C"/>
    <w:rsid w:val="0081372C"/>
    <w:rsid w:val="00814F81"/>
    <w:rsid w:val="0081534B"/>
    <w:rsid w:val="008272AA"/>
    <w:rsid w:val="00830B14"/>
    <w:rsid w:val="00831FE6"/>
    <w:rsid w:val="0083406F"/>
    <w:rsid w:val="00836008"/>
    <w:rsid w:val="008367DA"/>
    <w:rsid w:val="008409ED"/>
    <w:rsid w:val="00840EFC"/>
    <w:rsid w:val="00841AB1"/>
    <w:rsid w:val="008425DB"/>
    <w:rsid w:val="0085222A"/>
    <w:rsid w:val="00854B4F"/>
    <w:rsid w:val="008579E3"/>
    <w:rsid w:val="0086599B"/>
    <w:rsid w:val="00876503"/>
    <w:rsid w:val="008828FB"/>
    <w:rsid w:val="008940B3"/>
    <w:rsid w:val="008A079D"/>
    <w:rsid w:val="008B54C8"/>
    <w:rsid w:val="008B7D55"/>
    <w:rsid w:val="008C682F"/>
    <w:rsid w:val="008D1F4D"/>
    <w:rsid w:val="008D575C"/>
    <w:rsid w:val="008D6170"/>
    <w:rsid w:val="008E04BA"/>
    <w:rsid w:val="009049C6"/>
    <w:rsid w:val="00923420"/>
    <w:rsid w:val="00936450"/>
    <w:rsid w:val="00943146"/>
    <w:rsid w:val="00956F98"/>
    <w:rsid w:val="00963B50"/>
    <w:rsid w:val="00973C53"/>
    <w:rsid w:val="00975B5C"/>
    <w:rsid w:val="009815B4"/>
    <w:rsid w:val="009823DE"/>
    <w:rsid w:val="00984935"/>
    <w:rsid w:val="009923CC"/>
    <w:rsid w:val="009B566C"/>
    <w:rsid w:val="009B5BAF"/>
    <w:rsid w:val="009C525E"/>
    <w:rsid w:val="009C79C4"/>
    <w:rsid w:val="009D6065"/>
    <w:rsid w:val="009E0583"/>
    <w:rsid w:val="009F0CE6"/>
    <w:rsid w:val="009F697C"/>
    <w:rsid w:val="00A00B20"/>
    <w:rsid w:val="00A03454"/>
    <w:rsid w:val="00A0443C"/>
    <w:rsid w:val="00A41AA3"/>
    <w:rsid w:val="00A42EAA"/>
    <w:rsid w:val="00A51530"/>
    <w:rsid w:val="00A629F8"/>
    <w:rsid w:val="00A67DAD"/>
    <w:rsid w:val="00A729B8"/>
    <w:rsid w:val="00A74317"/>
    <w:rsid w:val="00A86C90"/>
    <w:rsid w:val="00AB1A5A"/>
    <w:rsid w:val="00AB2212"/>
    <w:rsid w:val="00AB4640"/>
    <w:rsid w:val="00AB4F91"/>
    <w:rsid w:val="00AB5BD4"/>
    <w:rsid w:val="00AC1F4E"/>
    <w:rsid w:val="00AC3538"/>
    <w:rsid w:val="00AD6744"/>
    <w:rsid w:val="00AF6D8A"/>
    <w:rsid w:val="00B16F3E"/>
    <w:rsid w:val="00B2097F"/>
    <w:rsid w:val="00B35F32"/>
    <w:rsid w:val="00B40EF1"/>
    <w:rsid w:val="00B43E0F"/>
    <w:rsid w:val="00B515D5"/>
    <w:rsid w:val="00B521D5"/>
    <w:rsid w:val="00B67D5C"/>
    <w:rsid w:val="00B81136"/>
    <w:rsid w:val="00B86E8D"/>
    <w:rsid w:val="00B8700C"/>
    <w:rsid w:val="00B90C53"/>
    <w:rsid w:val="00B90D16"/>
    <w:rsid w:val="00BA4B2B"/>
    <w:rsid w:val="00BA7D16"/>
    <w:rsid w:val="00BB1D01"/>
    <w:rsid w:val="00BB2A3A"/>
    <w:rsid w:val="00BB39E6"/>
    <w:rsid w:val="00BB652F"/>
    <w:rsid w:val="00BC2358"/>
    <w:rsid w:val="00BC64C3"/>
    <w:rsid w:val="00BD20AB"/>
    <w:rsid w:val="00BE4C96"/>
    <w:rsid w:val="00BE622B"/>
    <w:rsid w:val="00BF346E"/>
    <w:rsid w:val="00BF6973"/>
    <w:rsid w:val="00C10845"/>
    <w:rsid w:val="00C12F09"/>
    <w:rsid w:val="00C205F1"/>
    <w:rsid w:val="00C30A6D"/>
    <w:rsid w:val="00C3108B"/>
    <w:rsid w:val="00C347AE"/>
    <w:rsid w:val="00C37271"/>
    <w:rsid w:val="00C40941"/>
    <w:rsid w:val="00C44CA0"/>
    <w:rsid w:val="00C516BC"/>
    <w:rsid w:val="00C55A45"/>
    <w:rsid w:val="00C60CF3"/>
    <w:rsid w:val="00C61585"/>
    <w:rsid w:val="00C66993"/>
    <w:rsid w:val="00C71726"/>
    <w:rsid w:val="00C76BAA"/>
    <w:rsid w:val="00C838EB"/>
    <w:rsid w:val="00C8556E"/>
    <w:rsid w:val="00C859FD"/>
    <w:rsid w:val="00C919C7"/>
    <w:rsid w:val="00C940C1"/>
    <w:rsid w:val="00C97315"/>
    <w:rsid w:val="00C9771B"/>
    <w:rsid w:val="00CA0176"/>
    <w:rsid w:val="00CA18B8"/>
    <w:rsid w:val="00CA2959"/>
    <w:rsid w:val="00CA5449"/>
    <w:rsid w:val="00CA5689"/>
    <w:rsid w:val="00CC3610"/>
    <w:rsid w:val="00CD45E7"/>
    <w:rsid w:val="00CE08E0"/>
    <w:rsid w:val="00D0294B"/>
    <w:rsid w:val="00D145C4"/>
    <w:rsid w:val="00D156C1"/>
    <w:rsid w:val="00D26ED2"/>
    <w:rsid w:val="00D37836"/>
    <w:rsid w:val="00D407F7"/>
    <w:rsid w:val="00D43EF2"/>
    <w:rsid w:val="00D53865"/>
    <w:rsid w:val="00D60861"/>
    <w:rsid w:val="00D629C5"/>
    <w:rsid w:val="00D774DA"/>
    <w:rsid w:val="00D77E36"/>
    <w:rsid w:val="00D83F58"/>
    <w:rsid w:val="00D877B2"/>
    <w:rsid w:val="00D94D24"/>
    <w:rsid w:val="00DA0D25"/>
    <w:rsid w:val="00DA2BE7"/>
    <w:rsid w:val="00DB048B"/>
    <w:rsid w:val="00DB2614"/>
    <w:rsid w:val="00DB3C6C"/>
    <w:rsid w:val="00DB4EDE"/>
    <w:rsid w:val="00DC13B0"/>
    <w:rsid w:val="00DC38DE"/>
    <w:rsid w:val="00DC6C0A"/>
    <w:rsid w:val="00DD121E"/>
    <w:rsid w:val="00DD519E"/>
    <w:rsid w:val="00E126BB"/>
    <w:rsid w:val="00E16B5B"/>
    <w:rsid w:val="00E2055B"/>
    <w:rsid w:val="00E23568"/>
    <w:rsid w:val="00E33388"/>
    <w:rsid w:val="00E34337"/>
    <w:rsid w:val="00E379BB"/>
    <w:rsid w:val="00E45F50"/>
    <w:rsid w:val="00E6637E"/>
    <w:rsid w:val="00E72B8D"/>
    <w:rsid w:val="00E7666E"/>
    <w:rsid w:val="00E82BBA"/>
    <w:rsid w:val="00E833FA"/>
    <w:rsid w:val="00E84532"/>
    <w:rsid w:val="00E92880"/>
    <w:rsid w:val="00E9409C"/>
    <w:rsid w:val="00EA437C"/>
    <w:rsid w:val="00EF5061"/>
    <w:rsid w:val="00F01BD2"/>
    <w:rsid w:val="00F03F5F"/>
    <w:rsid w:val="00F05072"/>
    <w:rsid w:val="00F12038"/>
    <w:rsid w:val="00F16ADA"/>
    <w:rsid w:val="00F20876"/>
    <w:rsid w:val="00F306C9"/>
    <w:rsid w:val="00F33A8F"/>
    <w:rsid w:val="00F4743E"/>
    <w:rsid w:val="00F50B0F"/>
    <w:rsid w:val="00F54AAE"/>
    <w:rsid w:val="00F648B7"/>
    <w:rsid w:val="00F72E82"/>
    <w:rsid w:val="00F770BC"/>
    <w:rsid w:val="00F81718"/>
    <w:rsid w:val="00F82A1D"/>
    <w:rsid w:val="00F83BF1"/>
    <w:rsid w:val="00F83D96"/>
    <w:rsid w:val="00FA1691"/>
    <w:rsid w:val="00FA3DAA"/>
    <w:rsid w:val="00FA7136"/>
    <w:rsid w:val="00FB756E"/>
    <w:rsid w:val="00FD7015"/>
    <w:rsid w:val="00FF0BFD"/>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 w:type="paragraph" w:styleId="Header">
    <w:name w:val="header"/>
    <w:basedOn w:val="Normal"/>
    <w:link w:val="HeaderChar"/>
    <w:unhideWhenUsed/>
    <w:rsid w:val="003C4E9C"/>
    <w:pPr>
      <w:tabs>
        <w:tab w:val="center" w:pos="4680"/>
        <w:tab w:val="right" w:pos="9360"/>
      </w:tabs>
      <w:spacing w:line="240" w:lineRule="auto"/>
    </w:pPr>
  </w:style>
  <w:style w:type="character" w:customStyle="1" w:styleId="HeaderChar">
    <w:name w:val="Header Char"/>
    <w:basedOn w:val="DefaultParagraphFont"/>
    <w:link w:val="Header"/>
    <w:rsid w:val="003C4E9C"/>
    <w:rPr>
      <w:rFonts w:ascii="Courier New" w:hAnsi="Courier New"/>
      <w:sz w:val="18"/>
    </w:rPr>
  </w:style>
  <w:style w:type="character" w:customStyle="1" w:styleId="UnresolvedMention1">
    <w:name w:val="Unresolved Mention1"/>
    <w:basedOn w:val="DefaultParagraphFont"/>
    <w:uiPriority w:val="99"/>
    <w:semiHidden/>
    <w:unhideWhenUsed/>
    <w:rsid w:val="009B5BAF"/>
    <w:rPr>
      <w:color w:val="605E5C"/>
      <w:shd w:val="clear" w:color="auto" w:fill="E1DFDD"/>
    </w:rPr>
  </w:style>
  <w:style w:type="character" w:styleId="UnresolvedMention">
    <w:name w:val="Unresolved Mention"/>
    <w:basedOn w:val="DefaultParagraphFont"/>
    <w:uiPriority w:val="99"/>
    <w:semiHidden/>
    <w:unhideWhenUsed/>
    <w:rsid w:val="00813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euchner@pim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0FFA2F-E964-4C5C-BEFB-E241B195D6A6}">
  <ds:schemaRefs>
    <ds:schemaRef ds:uri="http://schemas.openxmlformats.org/officeDocument/2006/bibliography"/>
  </ds:schemaRefs>
</ds:datastoreItem>
</file>

<file path=customXml/itemProps4.xml><?xml version="1.0" encoding="utf-8"?>
<ds:datastoreItem xmlns:ds="http://schemas.openxmlformats.org/officeDocument/2006/customXml" ds:itemID="{2EEB8ABB-4209-42EC-8F85-63A41CC355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8</Pages>
  <Words>1639</Words>
  <Characters>8457</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rule change</vt:lpstr>
    </vt:vector>
  </TitlesOfParts>
  <Company>Pima County</Company>
  <LinksUpToDate>false</LinksUpToDate>
  <CharactersWithSpaces>10076</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dc:title>
  <dc:creator>deuchner</dc:creator>
  <cp:lastModifiedBy>David Euchner</cp:lastModifiedBy>
  <cp:revision>5</cp:revision>
  <cp:lastPrinted>2012-05-18T16:39:00Z</cp:lastPrinted>
  <dcterms:created xsi:type="dcterms:W3CDTF">2023-04-21T13:59:00Z</dcterms:created>
  <dcterms:modified xsi:type="dcterms:W3CDTF">2023-05-01T16:18:00Z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y fmtid="{D5CDD505-2E9C-101B-9397-08002B2CF9AE}" pid="4" name="_NewReviewCycle">
    <vt:lpwstr/>
  </property>
</Properties>
</file>