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026FB3C7"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r w:rsidR="00C60CF3">
              <w:rPr>
                <w:rFonts w:ascii="Times New Roman" w:hAnsi="Times New Roman"/>
                <w:sz w:val="28"/>
                <w:szCs w:val="28"/>
              </w:rPr>
              <w:t>Evidence</w:t>
            </w:r>
            <w:r w:rsidR="00A03454">
              <w:rPr>
                <w:rFonts w:ascii="Times New Roman" w:hAnsi="Times New Roman"/>
                <w:sz w:val="28"/>
                <w:szCs w:val="28"/>
              </w:rPr>
              <w:t xml:space="preserve"> </w:t>
            </w:r>
            <w:bookmarkEnd w:id="1"/>
            <w:r w:rsidR="00C60CF3">
              <w:rPr>
                <w:rFonts w:ascii="Times New Roman" w:hAnsi="Times New Roman"/>
                <w:sz w:val="28"/>
                <w:szCs w:val="28"/>
              </w:rPr>
              <w:t>10</w:t>
            </w:r>
            <w:r w:rsidR="00C76BAA">
              <w:rPr>
                <w:rFonts w:ascii="Times New Roman" w:hAnsi="Times New Roman"/>
                <w:sz w:val="28"/>
                <w:szCs w:val="28"/>
              </w:rPr>
              <w:t>6</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F10E9B3"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C60CF3">
              <w:rPr>
                <w:rFonts w:ascii="Times New Roman" w:hAnsi="Times New Roman"/>
                <w:sz w:val="28"/>
                <w:szCs w:val="28"/>
              </w:rPr>
              <w:t>3</w:t>
            </w:r>
            <w:r w:rsidR="002C54D2">
              <w:rPr>
                <w:rFonts w:ascii="Times New Roman" w:hAnsi="Times New Roman"/>
                <w:sz w:val="28"/>
                <w:szCs w:val="28"/>
              </w:rPr>
              <w:t>-00</w:t>
            </w:r>
            <w:r w:rsidR="00C60CF3">
              <w:rPr>
                <w:rFonts w:ascii="Times New Roman" w:hAnsi="Times New Roman"/>
                <w:sz w:val="28"/>
                <w:szCs w:val="28"/>
              </w:rPr>
              <w:t>02</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6B109A7C"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w:t>
            </w:r>
            <w:r w:rsidR="009F0094">
              <w:rPr>
                <w:rFonts w:ascii="Times New Roman" w:hAnsi="Times New Roman"/>
                <w:b/>
                <w:sz w:val="28"/>
                <w:szCs w:val="28"/>
              </w:rPr>
              <w:t>MEN</w:t>
            </w:r>
            <w:r w:rsidR="00DC38DE" w:rsidRPr="0014499B">
              <w:rPr>
                <w:rFonts w:ascii="Times New Roman" w:hAnsi="Times New Roman"/>
                <w:b/>
                <w:sz w:val="28"/>
                <w:szCs w:val="28"/>
              </w:rPr>
              <w:t xml:space="preserve">D ARIZONA RULE OF </w:t>
            </w:r>
            <w:r w:rsidR="00A03454">
              <w:rPr>
                <w:rFonts w:ascii="Times New Roman" w:hAnsi="Times New Roman"/>
                <w:b/>
                <w:sz w:val="28"/>
                <w:szCs w:val="28"/>
              </w:rPr>
              <w:t>E</w:t>
            </w:r>
            <w:r w:rsidR="00C60CF3">
              <w:rPr>
                <w:rFonts w:ascii="Times New Roman" w:hAnsi="Times New Roman"/>
                <w:b/>
                <w:sz w:val="28"/>
                <w:szCs w:val="28"/>
              </w:rPr>
              <w:t>VIDENCE 10</w:t>
            </w:r>
            <w:r w:rsidR="00C76BAA">
              <w:rPr>
                <w:rFonts w:ascii="Times New Roman" w:hAnsi="Times New Roman"/>
                <w:b/>
                <w:sz w:val="28"/>
                <w:szCs w:val="28"/>
              </w:rPr>
              <w:t>6</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2ECEA7AA"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9F0094">
        <w:rPr>
          <w:rFonts w:ascii="Times New Roman" w:hAnsi="Times New Roman"/>
          <w:sz w:val="28"/>
          <w:szCs w:val="28"/>
        </w:rPr>
        <w:t>amend</w:t>
      </w:r>
      <w:r w:rsidR="00A74317">
        <w:rPr>
          <w:rFonts w:ascii="Times New Roman" w:hAnsi="Times New Roman"/>
          <w:sz w:val="28"/>
          <w:szCs w:val="28"/>
        </w:rPr>
        <w:t xml:space="preserve"> Arizona Rule of </w:t>
      </w:r>
      <w:r w:rsidR="00E959B3">
        <w:rPr>
          <w:rFonts w:ascii="Times New Roman" w:hAnsi="Times New Roman"/>
          <w:sz w:val="28"/>
          <w:szCs w:val="28"/>
        </w:rPr>
        <w:t>Evidence 10</w:t>
      </w:r>
      <w:r w:rsidR="00C76BAA">
        <w:rPr>
          <w:rFonts w:ascii="Times New Roman" w:hAnsi="Times New Roman"/>
          <w:sz w:val="28"/>
          <w:szCs w:val="28"/>
        </w:rPr>
        <w:t>6</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7B051D80" w14:textId="5029839C" w:rsidR="00C60CF3" w:rsidRDefault="00A03454"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C76BAA">
        <w:rPr>
          <w:rFonts w:ascii="Times New Roman" w:hAnsi="Times New Roman"/>
          <w:sz w:val="28"/>
          <w:szCs w:val="28"/>
        </w:rPr>
        <w:t xml:space="preserve">supports the </w:t>
      </w:r>
      <w:r w:rsidR="005E11F3">
        <w:rPr>
          <w:rFonts w:ascii="Times New Roman" w:hAnsi="Times New Roman"/>
          <w:sz w:val="28"/>
          <w:szCs w:val="28"/>
        </w:rPr>
        <w:t>proposal</w:t>
      </w:r>
      <w:r w:rsidR="00C60CF3">
        <w:rPr>
          <w:rFonts w:ascii="Times New Roman" w:hAnsi="Times New Roman"/>
          <w:sz w:val="28"/>
          <w:szCs w:val="28"/>
        </w:rPr>
        <w:t xml:space="preserve"> to amend Rule 106</w:t>
      </w:r>
      <w:r w:rsidR="00B90D16">
        <w:rPr>
          <w:rFonts w:ascii="Times New Roman" w:hAnsi="Times New Roman"/>
          <w:sz w:val="28"/>
          <w:szCs w:val="28"/>
        </w:rPr>
        <w:t xml:space="preserve"> for the reasons stated in the petition. To the extent possible, our procedural rules should be as accurate a statement of the law as possible. There should be no conflict between the current version of the rules and the current state of case law. The current text of Rule 106 applies only to written or recorded statements, but the case law and treatises cited by Petitioners demonstrates that the rule of completeness also applies to oral statements. Petition at 6-7.</w:t>
      </w:r>
      <w:r w:rsidR="00BD20AB">
        <w:rPr>
          <w:rFonts w:ascii="Times New Roman" w:hAnsi="Times New Roman"/>
          <w:sz w:val="28"/>
          <w:szCs w:val="28"/>
        </w:rPr>
        <w:t xml:space="preserve"> While it may be impractical in most cases to have a procedural rule embody the whole body of case law interpreting that rule, the first part of the change </w:t>
      </w:r>
      <w:proofErr w:type="gramStart"/>
      <w:r w:rsidR="00BD20AB">
        <w:rPr>
          <w:rFonts w:ascii="Times New Roman" w:hAnsi="Times New Roman"/>
          <w:sz w:val="28"/>
          <w:szCs w:val="28"/>
        </w:rPr>
        <w:t>actually omits</w:t>
      </w:r>
      <w:proofErr w:type="gramEnd"/>
      <w:r w:rsidR="00BD20AB">
        <w:rPr>
          <w:rFonts w:ascii="Times New Roman" w:hAnsi="Times New Roman"/>
          <w:sz w:val="28"/>
          <w:szCs w:val="28"/>
        </w:rPr>
        <w:t xml:space="preserve"> seven words and </w:t>
      </w:r>
      <w:r w:rsidR="00A943CC">
        <w:rPr>
          <w:rFonts w:ascii="Times New Roman" w:hAnsi="Times New Roman"/>
          <w:sz w:val="28"/>
          <w:szCs w:val="28"/>
        </w:rPr>
        <w:t>offsets</w:t>
      </w:r>
      <w:r w:rsidR="00BD20AB">
        <w:rPr>
          <w:rFonts w:ascii="Times New Roman" w:hAnsi="Times New Roman"/>
          <w:sz w:val="28"/>
          <w:szCs w:val="28"/>
        </w:rPr>
        <w:t xml:space="preserve"> the addition of a ten-word sentence.</w:t>
      </w:r>
    </w:p>
    <w:p w14:paraId="6D133B73" w14:textId="289655BA" w:rsidR="00BD20AB" w:rsidRDefault="00BD20AB"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Although it should be obvious that Rule 106 modifies the hearsay rule and permits a party to introduce a hearsay statement in a limited circumstance—essentially converting the statement into </w:t>
      </w:r>
      <w:proofErr w:type="spellStart"/>
      <w:r>
        <w:rPr>
          <w:rFonts w:ascii="Times New Roman" w:hAnsi="Times New Roman"/>
          <w:sz w:val="28"/>
          <w:szCs w:val="28"/>
        </w:rPr>
        <w:t>nonhearsay</w:t>
      </w:r>
      <w:proofErr w:type="spellEnd"/>
      <w:r>
        <w:rPr>
          <w:rFonts w:ascii="Times New Roman" w:hAnsi="Times New Roman"/>
          <w:sz w:val="28"/>
          <w:szCs w:val="28"/>
        </w:rPr>
        <w:t xml:space="preserve">—the Petition cites one example where a conviction was reversed based on misapplication of Rule 106. AACJ is aware of a case pending in the court of appeals where a trial court made a similar error. In </w:t>
      </w:r>
      <w:r w:rsidRPr="00BD20AB">
        <w:rPr>
          <w:rFonts w:ascii="Times New Roman" w:hAnsi="Times New Roman"/>
          <w:i/>
          <w:iCs/>
          <w:sz w:val="28"/>
          <w:szCs w:val="28"/>
        </w:rPr>
        <w:t>State v. Collins-Percival</w:t>
      </w:r>
      <w:r>
        <w:rPr>
          <w:rFonts w:ascii="Times New Roman" w:hAnsi="Times New Roman"/>
          <w:sz w:val="28"/>
          <w:szCs w:val="28"/>
        </w:rPr>
        <w:t>, Court of Appeals No. 2 CA-CR 2022-0</w:t>
      </w:r>
      <w:r w:rsidR="0081372C">
        <w:rPr>
          <w:rFonts w:ascii="Times New Roman" w:hAnsi="Times New Roman"/>
          <w:sz w:val="28"/>
          <w:szCs w:val="28"/>
        </w:rPr>
        <w:t>1</w:t>
      </w:r>
      <w:r>
        <w:rPr>
          <w:rFonts w:ascii="Times New Roman" w:hAnsi="Times New Roman"/>
          <w:sz w:val="28"/>
          <w:szCs w:val="28"/>
        </w:rPr>
        <w:t xml:space="preserve">04, </w:t>
      </w:r>
      <w:r w:rsidR="0081372C">
        <w:rPr>
          <w:rFonts w:ascii="Times New Roman" w:hAnsi="Times New Roman"/>
          <w:sz w:val="28"/>
          <w:szCs w:val="28"/>
        </w:rPr>
        <w:t xml:space="preserve">a complaining witness accused the defendant, her ex-boyfriend, of various crimes and testified as to statements he made on the night of the alleged offenses. On cross-examination, defense counsel sought to elicit other related statements made by the </w:t>
      </w:r>
      <w:r w:rsidR="0081372C">
        <w:rPr>
          <w:rFonts w:ascii="Times New Roman" w:hAnsi="Times New Roman"/>
          <w:sz w:val="28"/>
          <w:szCs w:val="28"/>
        </w:rPr>
        <w:lastRenderedPageBreak/>
        <w:t>defendant to give proper context to the statements already in evidence. Because defense counsel made no offer of proof as to what the question and answer would be, the issue will not be raised on appeal.</w:t>
      </w:r>
      <w:r w:rsidR="0081372C">
        <w:rPr>
          <w:rStyle w:val="FootnoteReference"/>
          <w:rFonts w:ascii="Times New Roman" w:hAnsi="Times New Roman"/>
          <w:sz w:val="28"/>
          <w:szCs w:val="28"/>
        </w:rPr>
        <w:footnoteReference w:id="1"/>
      </w:r>
      <w:r w:rsidR="0081372C">
        <w:rPr>
          <w:rFonts w:ascii="Times New Roman" w:hAnsi="Times New Roman"/>
          <w:sz w:val="28"/>
          <w:szCs w:val="28"/>
        </w:rPr>
        <w:t xml:space="preserve"> It is possible that there are many other cases with a similar error but the issue was not litigated on appeal because of a failure to make an offer of proof or because the defendant was acquitted. Clarifying that evidence admissible under Rule 106 survives a hearsay objection is important.</w:t>
      </w:r>
    </w:p>
    <w:p w14:paraId="3BBD75DD" w14:textId="220A904A" w:rsidR="00C60CF3" w:rsidRDefault="00741690"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also agrees that </w:t>
      </w:r>
      <w:r w:rsidR="00BE4C96">
        <w:rPr>
          <w:rFonts w:ascii="Times New Roman" w:hAnsi="Times New Roman"/>
          <w:sz w:val="28"/>
          <w:szCs w:val="28"/>
        </w:rPr>
        <w:t xml:space="preserve">the rule change should not be accompanied by a corresponding comment. The meaning of the rule should be clear from the text of the rule. Wherever possible, this Court should remove existing comments, and it should add new comments only in extraordinary circumstances where it is absolutely necessary. Furthermore, many practitioners (not to mention </w:t>
      </w:r>
      <w:r w:rsidR="00BE4C96" w:rsidRPr="00BE4C96">
        <w:rPr>
          <w:rFonts w:ascii="Times New Roman" w:hAnsi="Times New Roman"/>
          <w:i/>
          <w:iCs/>
          <w:sz w:val="28"/>
          <w:szCs w:val="28"/>
        </w:rPr>
        <w:t>pro se</w:t>
      </w:r>
      <w:r w:rsidR="00BE4C96">
        <w:rPr>
          <w:rFonts w:ascii="Times New Roman" w:hAnsi="Times New Roman"/>
          <w:sz w:val="28"/>
          <w:szCs w:val="28"/>
        </w:rPr>
        <w:t xml:space="preserve"> litigants) do not have handy access to a book that publishes the comments; even this Court’s website links to rules published by Thomson-Reuters that does not include access to comments. For this reason, AACJ hopes that the Advisory Committee on Rules of Evidence will look for opportunities to delete comments in the future.</w:t>
      </w:r>
    </w:p>
    <w:p w14:paraId="5BF95D5C" w14:textId="1E20F579" w:rsidR="00C60CF3" w:rsidRDefault="00BE4C96"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7175DB86" w14:textId="5D2EFDBD" w:rsidR="00BE4C96" w:rsidRDefault="00BE4C96"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2CCF6DC5" w14:textId="77777777" w:rsidR="00A943CC" w:rsidRDefault="00A943CC">
      <w:pPr>
        <w:spacing w:line="240" w:lineRule="auto"/>
        <w:rPr>
          <w:rFonts w:ascii="Times New Roman" w:hAnsi="Times New Roman"/>
          <w:b/>
          <w:sz w:val="28"/>
          <w:szCs w:val="28"/>
          <w:u w:val="single"/>
        </w:rPr>
      </w:pPr>
      <w:r>
        <w:rPr>
          <w:rFonts w:ascii="Times New Roman" w:hAnsi="Times New Roman"/>
          <w:b/>
          <w:sz w:val="28"/>
          <w:szCs w:val="28"/>
          <w:u w:val="single"/>
        </w:rPr>
        <w:br w:type="page"/>
      </w:r>
    </w:p>
    <w:p w14:paraId="6F78F8D8" w14:textId="63AADC39"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Conclusion</w:t>
      </w:r>
    </w:p>
    <w:p w14:paraId="1A9BA697" w14:textId="4D1B9E70"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For these reasons, AACJ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 xml:space="preserve">to </w:t>
      </w:r>
      <w:r w:rsidR="00C60CF3">
        <w:rPr>
          <w:rFonts w:ascii="Times New Roman" w:hAnsi="Times New Roman"/>
          <w:sz w:val="28"/>
          <w:szCs w:val="28"/>
        </w:rPr>
        <w:t>amend</w:t>
      </w:r>
      <w:r w:rsidR="00094BC9">
        <w:rPr>
          <w:rFonts w:ascii="Times New Roman" w:hAnsi="Times New Roman"/>
          <w:sz w:val="28"/>
          <w:szCs w:val="28"/>
        </w:rPr>
        <w:t xml:space="preserve"> Rule </w:t>
      </w:r>
      <w:r w:rsidR="00C60CF3">
        <w:rPr>
          <w:rFonts w:ascii="Times New Roman" w:hAnsi="Times New Roman"/>
          <w:sz w:val="28"/>
          <w:szCs w:val="28"/>
        </w:rPr>
        <w:t>10</w:t>
      </w:r>
      <w:r w:rsidR="00B515D5">
        <w:rPr>
          <w:rFonts w:ascii="Times New Roman" w:hAnsi="Times New Roman"/>
          <w:sz w:val="28"/>
          <w:szCs w:val="28"/>
        </w:rPr>
        <w:t>6</w:t>
      </w:r>
      <w:r>
        <w:rPr>
          <w:rFonts w:ascii="Times New Roman" w:hAnsi="Times New Roman"/>
          <w:sz w:val="28"/>
          <w:szCs w:val="28"/>
        </w:rPr>
        <w:t>.</w:t>
      </w:r>
    </w:p>
    <w:p w14:paraId="268AB80E" w14:textId="1E1DDE3D"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C60CF3">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06B8DA97" w:rsidR="004B74D0" w:rsidRDefault="00C60CF3" w:rsidP="00DC38DE">
      <w:pPr>
        <w:spacing w:line="240" w:lineRule="auto"/>
        <w:rPr>
          <w:rFonts w:ascii="Times New Roman" w:hAnsi="Times New Roman"/>
          <w:sz w:val="28"/>
          <w:szCs w:val="28"/>
        </w:rPr>
      </w:pPr>
      <w:r>
        <w:rPr>
          <w:rFonts w:ascii="Times New Roman" w:hAnsi="Times New Roman"/>
          <w:sz w:val="28"/>
          <w:szCs w:val="28"/>
        </w:rPr>
        <w:t xml:space="preserve">Hons. Sara </w:t>
      </w:r>
      <w:proofErr w:type="spellStart"/>
      <w:r>
        <w:rPr>
          <w:rFonts w:ascii="Times New Roman" w:hAnsi="Times New Roman"/>
          <w:sz w:val="28"/>
          <w:szCs w:val="28"/>
        </w:rPr>
        <w:t>Agne</w:t>
      </w:r>
      <w:proofErr w:type="spellEnd"/>
      <w:r>
        <w:rPr>
          <w:rFonts w:ascii="Times New Roman" w:hAnsi="Times New Roman"/>
          <w:sz w:val="28"/>
          <w:szCs w:val="28"/>
        </w:rPr>
        <w:t xml:space="preserve"> &amp; Maria Elena Cruz</w:t>
      </w:r>
    </w:p>
    <w:p w14:paraId="4E4E8AFF" w14:textId="5EC7889F" w:rsidR="002D17D1" w:rsidRDefault="002D17D1" w:rsidP="00DC38DE">
      <w:pPr>
        <w:spacing w:line="240" w:lineRule="auto"/>
        <w:rPr>
          <w:rFonts w:ascii="Times New Roman" w:hAnsi="Times New Roman"/>
          <w:sz w:val="28"/>
          <w:szCs w:val="28"/>
        </w:rPr>
      </w:pPr>
      <w:r>
        <w:rPr>
          <w:rFonts w:ascii="Times New Roman" w:hAnsi="Times New Roman"/>
          <w:sz w:val="28"/>
          <w:szCs w:val="28"/>
        </w:rPr>
        <w:t>Ad</w:t>
      </w:r>
      <w:r w:rsidR="00C60CF3">
        <w:rPr>
          <w:rFonts w:ascii="Times New Roman" w:hAnsi="Times New Roman"/>
          <w:sz w:val="28"/>
          <w:szCs w:val="28"/>
        </w:rPr>
        <w:t>visory Committee on Rules of Evidence</w:t>
      </w:r>
    </w:p>
    <w:p w14:paraId="27D12D94" w14:textId="77777777" w:rsidR="00C60CF3" w:rsidRDefault="00C60CF3" w:rsidP="00DC38DE">
      <w:pPr>
        <w:spacing w:line="240" w:lineRule="auto"/>
        <w:rPr>
          <w:rFonts w:ascii="Times New Roman" w:hAnsi="Times New Roman"/>
          <w:sz w:val="28"/>
          <w:szCs w:val="28"/>
        </w:rPr>
      </w:pPr>
    </w:p>
    <w:sectPr w:rsidR="00C60CF3"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 w:id="1">
    <w:p w14:paraId="71B19F94" w14:textId="22B0B1C6" w:rsidR="0081372C" w:rsidRPr="00836008" w:rsidRDefault="0081372C" w:rsidP="0081372C">
      <w:pPr>
        <w:pStyle w:val="FootnoteText"/>
        <w:spacing w:line="240" w:lineRule="auto"/>
        <w:jc w:val="both"/>
        <w:rPr>
          <w:rFonts w:ascii="Times New Roman" w:hAnsi="Times New Roman"/>
          <w:sz w:val="28"/>
          <w:szCs w:val="28"/>
        </w:rPr>
      </w:pPr>
      <w:r w:rsidRPr="00836008">
        <w:rPr>
          <w:rStyle w:val="FootnoteReference"/>
          <w:rFonts w:ascii="Times New Roman" w:hAnsi="Times New Roman"/>
          <w:sz w:val="28"/>
          <w:szCs w:val="28"/>
        </w:rPr>
        <w:footnoteRef/>
      </w:r>
      <w:r w:rsidRPr="00836008">
        <w:rPr>
          <w:rFonts w:ascii="Times New Roman" w:hAnsi="Times New Roman"/>
          <w:sz w:val="28"/>
          <w:szCs w:val="28"/>
        </w:rPr>
        <w:t xml:space="preserve"> </w:t>
      </w:r>
      <w:r w:rsidRPr="0081372C">
        <w:rPr>
          <w:rFonts w:ascii="Times New Roman" w:hAnsi="Times New Roman"/>
          <w:i/>
          <w:iCs/>
          <w:sz w:val="28"/>
          <w:szCs w:val="28"/>
        </w:rPr>
        <w:t>See</w:t>
      </w:r>
      <w:r>
        <w:rPr>
          <w:rFonts w:ascii="Times New Roman" w:hAnsi="Times New Roman"/>
          <w:sz w:val="28"/>
          <w:szCs w:val="28"/>
        </w:rPr>
        <w:t xml:space="preserve"> </w:t>
      </w:r>
      <w:hyperlink r:id="rId1" w:history="1">
        <w:r w:rsidRPr="0081372C">
          <w:rPr>
            <w:rStyle w:val="Hyperlink"/>
            <w:rFonts w:ascii="Times New Roman" w:hAnsi="Times New Roman"/>
            <w:sz w:val="28"/>
            <w:szCs w:val="28"/>
          </w:rPr>
          <w:t>Appellant’s Opening Brief</w:t>
        </w:r>
      </w:hyperlink>
      <w:r>
        <w:rPr>
          <w:rFonts w:ascii="Times New Roman" w:hAnsi="Times New Roman"/>
          <w:sz w:val="28"/>
          <w:szCs w:val="28"/>
        </w:rPr>
        <w:t xml:space="preserve"> ep 13 &amp; n.3 (citing </w:t>
      </w:r>
      <w:hyperlink r:id="rId2" w:history="1">
        <w:r w:rsidRPr="00741690">
          <w:rPr>
            <w:rStyle w:val="Hyperlink"/>
            <w:rFonts w:ascii="Times New Roman" w:hAnsi="Times New Roman"/>
            <w:sz w:val="28"/>
            <w:szCs w:val="28"/>
          </w:rPr>
          <w:t>R.T. 06/15/2022</w:t>
        </w:r>
      </w:hyperlink>
      <w:r>
        <w:rPr>
          <w:rFonts w:ascii="Times New Roman" w:hAnsi="Times New Roman"/>
          <w:sz w:val="28"/>
          <w:szCs w:val="28"/>
        </w:rPr>
        <w:t xml:space="preserve"> </w:t>
      </w:r>
      <w:r w:rsidR="00741690">
        <w:rPr>
          <w:rFonts w:ascii="Times New Roman" w:hAnsi="Times New Roman"/>
          <w:sz w:val="28"/>
          <w:szCs w:val="28"/>
        </w:rPr>
        <w:t>ep 103-04)</w:t>
      </w:r>
      <w:r>
        <w:rPr>
          <w:rFonts w:ascii="Times New Roman" w:hAnsi="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6"/>
  </w:num>
  <w:num w:numId="6" w16cid:durableId="1378436400">
    <w:abstractNumId w:val="7"/>
  </w:num>
  <w:num w:numId="7" w16cid:durableId="991374513">
    <w:abstractNumId w:val="4"/>
  </w:num>
  <w:num w:numId="8" w16cid:durableId="1700660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279AC"/>
    <w:rsid w:val="00141C61"/>
    <w:rsid w:val="00147D21"/>
    <w:rsid w:val="00147D30"/>
    <w:rsid w:val="001516C5"/>
    <w:rsid w:val="0016125C"/>
    <w:rsid w:val="00175B0A"/>
    <w:rsid w:val="00176A8B"/>
    <w:rsid w:val="00186903"/>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D17D1"/>
    <w:rsid w:val="002E545E"/>
    <w:rsid w:val="002F1FBD"/>
    <w:rsid w:val="002F33EF"/>
    <w:rsid w:val="00304745"/>
    <w:rsid w:val="00304EAE"/>
    <w:rsid w:val="003055A7"/>
    <w:rsid w:val="00305778"/>
    <w:rsid w:val="00305CB1"/>
    <w:rsid w:val="00311552"/>
    <w:rsid w:val="00313AAF"/>
    <w:rsid w:val="00325AFE"/>
    <w:rsid w:val="00351280"/>
    <w:rsid w:val="00357C78"/>
    <w:rsid w:val="003732CB"/>
    <w:rsid w:val="00380B0B"/>
    <w:rsid w:val="003A2343"/>
    <w:rsid w:val="003A346F"/>
    <w:rsid w:val="003A63AE"/>
    <w:rsid w:val="003C15EA"/>
    <w:rsid w:val="003C4E9C"/>
    <w:rsid w:val="003C6246"/>
    <w:rsid w:val="003E5927"/>
    <w:rsid w:val="0041282A"/>
    <w:rsid w:val="0041704C"/>
    <w:rsid w:val="00420CBC"/>
    <w:rsid w:val="00421E9E"/>
    <w:rsid w:val="004434F1"/>
    <w:rsid w:val="00444BE7"/>
    <w:rsid w:val="00451F00"/>
    <w:rsid w:val="00454AE0"/>
    <w:rsid w:val="0047497F"/>
    <w:rsid w:val="00485FAA"/>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924A7"/>
    <w:rsid w:val="005B0C4F"/>
    <w:rsid w:val="005B2350"/>
    <w:rsid w:val="005B53BE"/>
    <w:rsid w:val="005B7899"/>
    <w:rsid w:val="005C109B"/>
    <w:rsid w:val="005C6E61"/>
    <w:rsid w:val="005D06D5"/>
    <w:rsid w:val="005D21EF"/>
    <w:rsid w:val="005D441D"/>
    <w:rsid w:val="005D7DCC"/>
    <w:rsid w:val="005E11F3"/>
    <w:rsid w:val="005F0195"/>
    <w:rsid w:val="005F145E"/>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4743"/>
    <w:rsid w:val="007973A8"/>
    <w:rsid w:val="007A3B11"/>
    <w:rsid w:val="007A5AD8"/>
    <w:rsid w:val="007B4B94"/>
    <w:rsid w:val="007C17AC"/>
    <w:rsid w:val="007D2D04"/>
    <w:rsid w:val="007E229C"/>
    <w:rsid w:val="007F091F"/>
    <w:rsid w:val="007F35A8"/>
    <w:rsid w:val="00802B79"/>
    <w:rsid w:val="00806D9C"/>
    <w:rsid w:val="0081372C"/>
    <w:rsid w:val="00814F81"/>
    <w:rsid w:val="0081534B"/>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36450"/>
    <w:rsid w:val="00943146"/>
    <w:rsid w:val="00956F98"/>
    <w:rsid w:val="00963B50"/>
    <w:rsid w:val="00973C53"/>
    <w:rsid w:val="00975B5C"/>
    <w:rsid w:val="009815B4"/>
    <w:rsid w:val="009823DE"/>
    <w:rsid w:val="00984935"/>
    <w:rsid w:val="009923CC"/>
    <w:rsid w:val="009B5BAF"/>
    <w:rsid w:val="009C525E"/>
    <w:rsid w:val="009C79C4"/>
    <w:rsid w:val="009D6065"/>
    <w:rsid w:val="009F0094"/>
    <w:rsid w:val="009F0CE6"/>
    <w:rsid w:val="009F697C"/>
    <w:rsid w:val="00A00B20"/>
    <w:rsid w:val="00A03454"/>
    <w:rsid w:val="00A0443C"/>
    <w:rsid w:val="00A41AA3"/>
    <w:rsid w:val="00A42EAA"/>
    <w:rsid w:val="00A51530"/>
    <w:rsid w:val="00A629F8"/>
    <w:rsid w:val="00A729B8"/>
    <w:rsid w:val="00A74317"/>
    <w:rsid w:val="00A86C90"/>
    <w:rsid w:val="00A943CC"/>
    <w:rsid w:val="00AB1A5A"/>
    <w:rsid w:val="00AB2212"/>
    <w:rsid w:val="00AB4F91"/>
    <w:rsid w:val="00AB5BD4"/>
    <w:rsid w:val="00AC1F4E"/>
    <w:rsid w:val="00AC3538"/>
    <w:rsid w:val="00AD6744"/>
    <w:rsid w:val="00AF6D8A"/>
    <w:rsid w:val="00B16F3E"/>
    <w:rsid w:val="00B40EF1"/>
    <w:rsid w:val="00B43E0F"/>
    <w:rsid w:val="00B515D5"/>
    <w:rsid w:val="00B521D5"/>
    <w:rsid w:val="00B67D5C"/>
    <w:rsid w:val="00B81136"/>
    <w:rsid w:val="00B86E8D"/>
    <w:rsid w:val="00B8700C"/>
    <w:rsid w:val="00B90C53"/>
    <w:rsid w:val="00B90D16"/>
    <w:rsid w:val="00BA4B2B"/>
    <w:rsid w:val="00BA7D16"/>
    <w:rsid w:val="00BB1D01"/>
    <w:rsid w:val="00BB2A3A"/>
    <w:rsid w:val="00BB39E6"/>
    <w:rsid w:val="00BB652F"/>
    <w:rsid w:val="00BC2358"/>
    <w:rsid w:val="00BC64C3"/>
    <w:rsid w:val="00BD20AB"/>
    <w:rsid w:val="00BE4C96"/>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0CF3"/>
    <w:rsid w:val="00C61585"/>
    <w:rsid w:val="00C71726"/>
    <w:rsid w:val="00C76BAA"/>
    <w:rsid w:val="00C838EB"/>
    <w:rsid w:val="00C8556E"/>
    <w:rsid w:val="00C859FD"/>
    <w:rsid w:val="00C919C7"/>
    <w:rsid w:val="00C940C1"/>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9409C"/>
    <w:rsid w:val="00E959B3"/>
    <w:rsid w:val="00EF5061"/>
    <w:rsid w:val="00F01BD2"/>
    <w:rsid w:val="00F03F5F"/>
    <w:rsid w:val="00F05072"/>
    <w:rsid w:val="00F12038"/>
    <w:rsid w:val="00F16ADA"/>
    <w:rsid w:val="00F306C9"/>
    <w:rsid w:val="00F33A8F"/>
    <w:rsid w:val="00F4743E"/>
    <w:rsid w:val="00F50B0F"/>
    <w:rsid w:val="00F54AAE"/>
    <w:rsid w:val="00F648B7"/>
    <w:rsid w:val="00F72E82"/>
    <w:rsid w:val="00F770BC"/>
    <w:rsid w:val="00F81718"/>
    <w:rsid w:val="00F82A1D"/>
    <w:rsid w:val="00F83BF1"/>
    <w:rsid w:val="00F83D96"/>
    <w:rsid w:val="00FA1691"/>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peals2.az.gov/APL2NewDocs1/COA/945/3722318.PDF" TargetMode="External"/><Relationship Id="rId1" Type="http://schemas.openxmlformats.org/officeDocument/2006/relationships/hyperlink" Target="https://www.appeals2.az.gov/APL2NewDocs1/COA/958/37478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711</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4399</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7</cp:revision>
  <cp:lastPrinted>2012-05-18T16:39:00Z</cp:lastPrinted>
  <dcterms:created xsi:type="dcterms:W3CDTF">2023-04-20T17:59:00Z</dcterms:created>
  <dcterms:modified xsi:type="dcterms:W3CDTF">2023-05-01T16:20:00Z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