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Ind w:w="-342" w:type="dxa"/>
        <w:tblLayout w:type="fixed"/>
        <w:tblLook w:val="0000" w:firstRow="0" w:lastRow="0" w:firstColumn="0" w:lastColumn="0" w:noHBand="0" w:noVBand="0"/>
      </w:tblPr>
      <w:tblGrid>
        <w:gridCol w:w="5472"/>
        <w:gridCol w:w="4200"/>
      </w:tblGrid>
      <w:tr w:rsidR="001336C3" w:rsidRPr="00D46859" w14:paraId="14C0B6EF" w14:textId="77777777" w:rsidTr="00031657">
        <w:trPr>
          <w:cantSplit/>
          <w:trHeight w:val="2167"/>
        </w:trPr>
        <w:tc>
          <w:tcPr>
            <w:tcW w:w="5472" w:type="dxa"/>
          </w:tcPr>
          <w:p w14:paraId="53845264" w14:textId="77777777" w:rsidR="00055FC2" w:rsidRPr="00D46859" w:rsidRDefault="00055FC2" w:rsidP="00055FC2">
            <w:pPr>
              <w:spacing w:line="240" w:lineRule="auto"/>
              <w:jc w:val="both"/>
              <w:rPr>
                <w:sz w:val="28"/>
                <w:szCs w:val="28"/>
              </w:rPr>
            </w:pPr>
            <w:bookmarkStart w:id="0" w:name="_zzmpFIXED_CounselTable"/>
            <w:r w:rsidRPr="00D46859">
              <w:rPr>
                <w:sz w:val="28"/>
                <w:szCs w:val="28"/>
              </w:rPr>
              <w:t>Sara J. Agne</w:t>
            </w:r>
          </w:p>
          <w:p w14:paraId="16599E26" w14:textId="77777777" w:rsidR="00032767" w:rsidRPr="00D46859" w:rsidRDefault="00055FC2" w:rsidP="00055FC2">
            <w:pPr>
              <w:spacing w:line="240" w:lineRule="auto"/>
              <w:jc w:val="both"/>
              <w:rPr>
                <w:sz w:val="28"/>
                <w:szCs w:val="28"/>
              </w:rPr>
            </w:pPr>
            <w:r w:rsidRPr="00D46859">
              <w:rPr>
                <w:sz w:val="28"/>
                <w:szCs w:val="28"/>
              </w:rPr>
              <w:t>Co-Chair</w:t>
            </w:r>
          </w:p>
          <w:p w14:paraId="0714C6CA" w14:textId="77777777" w:rsidR="00055FC2" w:rsidRPr="00D46859" w:rsidRDefault="00055FC2" w:rsidP="00055FC2">
            <w:pPr>
              <w:spacing w:line="240" w:lineRule="auto"/>
              <w:jc w:val="both"/>
              <w:rPr>
                <w:sz w:val="28"/>
                <w:szCs w:val="28"/>
              </w:rPr>
            </w:pPr>
            <w:r w:rsidRPr="00D46859">
              <w:rPr>
                <w:sz w:val="28"/>
                <w:szCs w:val="28"/>
              </w:rPr>
              <w:t>Advisory Committee on Rules of</w:t>
            </w:r>
            <w:r w:rsidR="0029790B" w:rsidRPr="00D46859">
              <w:rPr>
                <w:sz w:val="28"/>
                <w:szCs w:val="28"/>
              </w:rPr>
              <w:t xml:space="preserve"> </w:t>
            </w:r>
            <w:r w:rsidRPr="00D46859">
              <w:rPr>
                <w:sz w:val="28"/>
                <w:szCs w:val="28"/>
              </w:rPr>
              <w:t>Evidence</w:t>
            </w:r>
          </w:p>
          <w:p w14:paraId="431AE296" w14:textId="77777777" w:rsidR="00055FC2" w:rsidRPr="00D46859" w:rsidRDefault="00055FC2" w:rsidP="00055FC2">
            <w:pPr>
              <w:spacing w:line="240" w:lineRule="auto"/>
              <w:jc w:val="both"/>
              <w:rPr>
                <w:sz w:val="28"/>
                <w:szCs w:val="28"/>
              </w:rPr>
            </w:pPr>
            <w:r w:rsidRPr="00D46859">
              <w:rPr>
                <w:sz w:val="28"/>
                <w:szCs w:val="28"/>
              </w:rPr>
              <w:t>Judge, Arizona Superior Court</w:t>
            </w:r>
          </w:p>
          <w:p w14:paraId="79737EF6" w14:textId="1880D3D0" w:rsidR="00055FC2" w:rsidRPr="00D46859" w:rsidRDefault="0079774E" w:rsidP="00055FC2">
            <w:pPr>
              <w:spacing w:line="240" w:lineRule="auto"/>
              <w:jc w:val="both"/>
              <w:rPr>
                <w:sz w:val="28"/>
                <w:szCs w:val="28"/>
              </w:rPr>
            </w:pPr>
            <w:r>
              <w:rPr>
                <w:sz w:val="28"/>
                <w:szCs w:val="28"/>
              </w:rPr>
              <w:t>101 W. Jefferson Street, Suite 912</w:t>
            </w:r>
          </w:p>
          <w:p w14:paraId="5EDAA7D7" w14:textId="4FEEB51C" w:rsidR="00055FC2" w:rsidRPr="00D46859" w:rsidRDefault="00055FC2" w:rsidP="00055FC2">
            <w:pPr>
              <w:spacing w:line="240" w:lineRule="auto"/>
              <w:jc w:val="both"/>
              <w:rPr>
                <w:sz w:val="28"/>
                <w:szCs w:val="28"/>
              </w:rPr>
            </w:pPr>
            <w:r w:rsidRPr="00D46859">
              <w:rPr>
                <w:sz w:val="28"/>
                <w:szCs w:val="28"/>
              </w:rPr>
              <w:t>Phoenix, AZ 8500</w:t>
            </w:r>
            <w:r w:rsidR="0079774E">
              <w:rPr>
                <w:sz w:val="28"/>
                <w:szCs w:val="28"/>
              </w:rPr>
              <w:t>3</w:t>
            </w:r>
          </w:p>
          <w:p w14:paraId="0565C258" w14:textId="77777777" w:rsidR="00055FC2" w:rsidRPr="00D46859" w:rsidRDefault="00055FC2" w:rsidP="00055FC2">
            <w:pPr>
              <w:spacing w:line="240" w:lineRule="auto"/>
              <w:jc w:val="both"/>
              <w:rPr>
                <w:sz w:val="28"/>
                <w:szCs w:val="28"/>
              </w:rPr>
            </w:pPr>
            <w:r w:rsidRPr="00D46859">
              <w:rPr>
                <w:sz w:val="28"/>
                <w:szCs w:val="28"/>
              </w:rPr>
              <w:t>Telephone: 602-506-8288</w:t>
            </w:r>
          </w:p>
          <w:p w14:paraId="2BDD5847" w14:textId="77777777" w:rsidR="00055FC2" w:rsidRPr="00D46859" w:rsidRDefault="00055FC2" w:rsidP="00055FC2">
            <w:pPr>
              <w:spacing w:line="240" w:lineRule="auto"/>
              <w:jc w:val="both"/>
              <w:rPr>
                <w:sz w:val="28"/>
                <w:szCs w:val="28"/>
              </w:rPr>
            </w:pPr>
            <w:r w:rsidRPr="00D46859">
              <w:rPr>
                <w:sz w:val="28"/>
                <w:szCs w:val="28"/>
              </w:rPr>
              <w:t>Facsimile: 602-372-5817</w:t>
            </w:r>
          </w:p>
          <w:p w14:paraId="65905902" w14:textId="77777777" w:rsidR="00055FC2" w:rsidRPr="00D46859" w:rsidRDefault="00055FC2" w:rsidP="00055FC2">
            <w:pPr>
              <w:spacing w:line="240" w:lineRule="auto"/>
              <w:jc w:val="both"/>
              <w:rPr>
                <w:sz w:val="28"/>
                <w:szCs w:val="28"/>
              </w:rPr>
            </w:pPr>
          </w:p>
          <w:p w14:paraId="6DB38AEC" w14:textId="77777777" w:rsidR="00055FC2" w:rsidRPr="00D46859" w:rsidRDefault="00055FC2" w:rsidP="00055FC2">
            <w:pPr>
              <w:spacing w:line="240" w:lineRule="auto"/>
              <w:jc w:val="both"/>
              <w:rPr>
                <w:sz w:val="28"/>
                <w:szCs w:val="28"/>
              </w:rPr>
            </w:pPr>
            <w:r w:rsidRPr="00D46859">
              <w:rPr>
                <w:sz w:val="28"/>
                <w:szCs w:val="28"/>
              </w:rPr>
              <w:t>Maria Elena Cruz</w:t>
            </w:r>
          </w:p>
          <w:p w14:paraId="1BE580D7" w14:textId="77777777" w:rsidR="00032767" w:rsidRPr="00D46859" w:rsidRDefault="00055FC2" w:rsidP="00055FC2">
            <w:pPr>
              <w:spacing w:line="240" w:lineRule="auto"/>
              <w:jc w:val="both"/>
              <w:rPr>
                <w:sz w:val="28"/>
                <w:szCs w:val="28"/>
              </w:rPr>
            </w:pPr>
            <w:r w:rsidRPr="00D46859">
              <w:rPr>
                <w:sz w:val="28"/>
                <w:szCs w:val="28"/>
              </w:rPr>
              <w:t>Co-Chair</w:t>
            </w:r>
          </w:p>
          <w:p w14:paraId="4E8C6A62" w14:textId="77777777" w:rsidR="00055FC2" w:rsidRPr="00D46859" w:rsidRDefault="00055FC2" w:rsidP="00055FC2">
            <w:pPr>
              <w:spacing w:line="240" w:lineRule="auto"/>
              <w:jc w:val="both"/>
              <w:rPr>
                <w:sz w:val="28"/>
                <w:szCs w:val="28"/>
              </w:rPr>
            </w:pPr>
            <w:r w:rsidRPr="00D46859">
              <w:rPr>
                <w:sz w:val="28"/>
                <w:szCs w:val="28"/>
              </w:rPr>
              <w:t>Advisory Committee on Rules of Evidence</w:t>
            </w:r>
          </w:p>
          <w:p w14:paraId="7BDA06DE" w14:textId="77777777" w:rsidR="00055FC2" w:rsidRPr="00D46859" w:rsidRDefault="00055FC2" w:rsidP="00055FC2">
            <w:pPr>
              <w:spacing w:line="240" w:lineRule="auto"/>
              <w:rPr>
                <w:sz w:val="28"/>
                <w:szCs w:val="28"/>
              </w:rPr>
            </w:pPr>
            <w:r w:rsidRPr="00D46859">
              <w:rPr>
                <w:sz w:val="28"/>
                <w:szCs w:val="28"/>
              </w:rPr>
              <w:t>Judge, Arizona Court of Appeals</w:t>
            </w:r>
          </w:p>
          <w:p w14:paraId="7646679C" w14:textId="77777777" w:rsidR="00055FC2" w:rsidRPr="00D46859" w:rsidRDefault="00055FC2" w:rsidP="00055FC2">
            <w:pPr>
              <w:spacing w:line="240" w:lineRule="auto"/>
              <w:rPr>
                <w:sz w:val="28"/>
                <w:szCs w:val="28"/>
              </w:rPr>
            </w:pPr>
            <w:r w:rsidRPr="00D46859">
              <w:rPr>
                <w:sz w:val="28"/>
                <w:szCs w:val="28"/>
              </w:rPr>
              <w:t>Division One</w:t>
            </w:r>
          </w:p>
          <w:p w14:paraId="0601BA58" w14:textId="77777777" w:rsidR="00055FC2" w:rsidRPr="00D46859" w:rsidRDefault="00055FC2" w:rsidP="00055FC2">
            <w:pPr>
              <w:spacing w:line="240" w:lineRule="auto"/>
              <w:rPr>
                <w:sz w:val="28"/>
                <w:szCs w:val="28"/>
              </w:rPr>
            </w:pPr>
            <w:r w:rsidRPr="00D46859">
              <w:rPr>
                <w:sz w:val="28"/>
                <w:szCs w:val="28"/>
              </w:rPr>
              <w:t>State Courts Building</w:t>
            </w:r>
          </w:p>
          <w:p w14:paraId="0B568063" w14:textId="77777777" w:rsidR="00055FC2" w:rsidRPr="00D46859" w:rsidRDefault="00055FC2" w:rsidP="00055FC2">
            <w:pPr>
              <w:spacing w:line="240" w:lineRule="auto"/>
              <w:rPr>
                <w:sz w:val="28"/>
                <w:szCs w:val="28"/>
              </w:rPr>
            </w:pPr>
            <w:r w:rsidRPr="00D46859">
              <w:rPr>
                <w:sz w:val="28"/>
                <w:szCs w:val="28"/>
              </w:rPr>
              <w:t>1501 West Washington</w:t>
            </w:r>
          </w:p>
          <w:p w14:paraId="10881535" w14:textId="77777777" w:rsidR="00055FC2" w:rsidRPr="00D46859" w:rsidRDefault="00055FC2" w:rsidP="00055FC2">
            <w:pPr>
              <w:spacing w:line="240" w:lineRule="auto"/>
              <w:rPr>
                <w:sz w:val="28"/>
                <w:szCs w:val="28"/>
              </w:rPr>
            </w:pPr>
            <w:r w:rsidRPr="00D46859">
              <w:rPr>
                <w:sz w:val="28"/>
                <w:szCs w:val="28"/>
              </w:rPr>
              <w:t>Phoenix, Arizona 85007</w:t>
            </w:r>
          </w:p>
          <w:p w14:paraId="4FA2516B" w14:textId="77777777" w:rsidR="00055FC2" w:rsidRPr="00D46859" w:rsidRDefault="00055FC2" w:rsidP="00055FC2">
            <w:pPr>
              <w:spacing w:line="240" w:lineRule="auto"/>
              <w:rPr>
                <w:sz w:val="28"/>
                <w:szCs w:val="28"/>
              </w:rPr>
            </w:pPr>
            <w:r w:rsidRPr="00D46859">
              <w:rPr>
                <w:sz w:val="28"/>
                <w:szCs w:val="28"/>
              </w:rPr>
              <w:t>Telephone: 602-452-6740</w:t>
            </w:r>
          </w:p>
          <w:p w14:paraId="211A546F" w14:textId="77777777" w:rsidR="00055FC2" w:rsidRPr="00D46859" w:rsidRDefault="00055FC2" w:rsidP="00055FC2">
            <w:pPr>
              <w:spacing w:line="240" w:lineRule="auto"/>
              <w:rPr>
                <w:sz w:val="28"/>
                <w:szCs w:val="28"/>
              </w:rPr>
            </w:pPr>
            <w:r w:rsidRPr="00D46859">
              <w:rPr>
                <w:sz w:val="28"/>
                <w:szCs w:val="28"/>
              </w:rPr>
              <w:t xml:space="preserve">Facsimile: 602-452-3228 </w:t>
            </w:r>
          </w:p>
          <w:p w14:paraId="0A25E2A5" w14:textId="77777777" w:rsidR="001336C3" w:rsidRPr="00D46859" w:rsidRDefault="001336C3" w:rsidP="00031657">
            <w:pPr>
              <w:pStyle w:val="FirmInformation"/>
              <w:spacing w:before="240" w:line="240" w:lineRule="auto"/>
              <w:rPr>
                <w:sz w:val="28"/>
                <w:szCs w:val="28"/>
              </w:rPr>
            </w:pPr>
          </w:p>
        </w:tc>
        <w:tc>
          <w:tcPr>
            <w:tcW w:w="4200" w:type="dxa"/>
          </w:tcPr>
          <w:p w14:paraId="6A748FE2" w14:textId="77777777" w:rsidR="001336C3" w:rsidRPr="00D46859" w:rsidRDefault="001336C3" w:rsidP="00031657">
            <w:pPr>
              <w:spacing w:line="240" w:lineRule="auto"/>
              <w:ind w:left="115" w:right="115"/>
              <w:jc w:val="center"/>
              <w:rPr>
                <w:b/>
                <w:sz w:val="28"/>
                <w:szCs w:val="28"/>
              </w:rPr>
            </w:pPr>
          </w:p>
        </w:tc>
      </w:tr>
    </w:tbl>
    <w:bookmarkEnd w:id="0"/>
    <w:p w14:paraId="40369C88" w14:textId="77777777" w:rsidR="001336C3" w:rsidRPr="00D46859" w:rsidRDefault="001336C3" w:rsidP="001336C3">
      <w:pPr>
        <w:pStyle w:val="Court"/>
        <w:spacing w:before="0" w:after="0" w:line="240" w:lineRule="auto"/>
        <w:ind w:left="-360"/>
        <w:rPr>
          <w:sz w:val="28"/>
          <w:szCs w:val="28"/>
        </w:rPr>
      </w:pPr>
      <w:r w:rsidRPr="00D46859">
        <w:rPr>
          <w:sz w:val="28"/>
          <w:szCs w:val="28"/>
        </w:rPr>
        <w:t xml:space="preserve">in the </w:t>
      </w:r>
      <w:r w:rsidR="006B6E14" w:rsidRPr="00D46859">
        <w:rPr>
          <w:sz w:val="28"/>
          <w:szCs w:val="28"/>
        </w:rPr>
        <w:t xml:space="preserve">ARizona </w:t>
      </w:r>
      <w:r w:rsidRPr="00D46859">
        <w:rPr>
          <w:sz w:val="28"/>
          <w:szCs w:val="28"/>
        </w:rPr>
        <w:t>supreme court</w:t>
      </w:r>
    </w:p>
    <w:p w14:paraId="0A1FDF9B" w14:textId="77777777" w:rsidR="001336C3" w:rsidRPr="00D46859" w:rsidRDefault="001336C3" w:rsidP="001336C3">
      <w:pPr>
        <w:pStyle w:val="Court"/>
        <w:spacing w:before="0" w:after="0" w:line="240" w:lineRule="auto"/>
        <w:rPr>
          <w:sz w:val="28"/>
          <w:szCs w:val="28"/>
        </w:rPr>
      </w:pPr>
    </w:p>
    <w:tbl>
      <w:tblPr>
        <w:tblW w:w="9978" w:type="dxa"/>
        <w:tblInd w:w="-252" w:type="dxa"/>
        <w:tblBorders>
          <w:insideH w:val="single" w:sz="4" w:space="0" w:color="auto"/>
        </w:tblBorders>
        <w:tblLayout w:type="fixed"/>
        <w:tblLook w:val="0000" w:firstRow="0" w:lastRow="0" w:firstColumn="0" w:lastColumn="0" w:noHBand="0" w:noVBand="0"/>
      </w:tblPr>
      <w:tblGrid>
        <w:gridCol w:w="4568"/>
        <w:gridCol w:w="5410"/>
      </w:tblGrid>
      <w:tr w:rsidR="001336C3" w:rsidRPr="00D46859" w14:paraId="624A3DA4" w14:textId="77777777" w:rsidTr="00B27699">
        <w:trPr>
          <w:trHeight w:val="2154"/>
        </w:trPr>
        <w:tc>
          <w:tcPr>
            <w:tcW w:w="4568" w:type="dxa"/>
            <w:tcBorders>
              <w:top w:val="nil"/>
              <w:bottom w:val="single" w:sz="4" w:space="0" w:color="auto"/>
              <w:right w:val="single" w:sz="4" w:space="0" w:color="auto"/>
            </w:tcBorders>
            <w:shd w:val="clear" w:color="auto" w:fill="auto"/>
          </w:tcPr>
          <w:p w14:paraId="03D1FAC1" w14:textId="77777777" w:rsidR="001336C3" w:rsidRPr="00D46859" w:rsidRDefault="001336C3" w:rsidP="004C643F">
            <w:pPr>
              <w:pStyle w:val="Caption"/>
              <w:spacing w:line="240" w:lineRule="auto"/>
              <w:jc w:val="both"/>
              <w:rPr>
                <w:sz w:val="28"/>
                <w:szCs w:val="28"/>
              </w:rPr>
            </w:pPr>
            <w:bookmarkStart w:id="1" w:name="_zzmpFIXED_CaptionTable"/>
            <w:r w:rsidRPr="00D46859">
              <w:rPr>
                <w:sz w:val="28"/>
                <w:szCs w:val="28"/>
              </w:rPr>
              <w:t>In the Matter of:</w:t>
            </w:r>
          </w:p>
          <w:p w14:paraId="298D6F7E" w14:textId="2E003641" w:rsidR="001336C3" w:rsidRPr="00D46859" w:rsidRDefault="004C643F" w:rsidP="004E4EAF">
            <w:pPr>
              <w:spacing w:before="240" w:line="240" w:lineRule="auto"/>
              <w:rPr>
                <w:sz w:val="28"/>
                <w:szCs w:val="28"/>
              </w:rPr>
            </w:pPr>
            <w:r w:rsidRPr="00D46859">
              <w:rPr>
                <w:sz w:val="28"/>
                <w:szCs w:val="28"/>
              </w:rPr>
              <w:t xml:space="preserve">PETITION TO </w:t>
            </w:r>
            <w:r w:rsidR="0079774E">
              <w:rPr>
                <w:sz w:val="28"/>
                <w:szCs w:val="28"/>
              </w:rPr>
              <w:t xml:space="preserve">AMEND RULE </w:t>
            </w:r>
            <w:r w:rsidR="00DE6110">
              <w:rPr>
                <w:sz w:val="28"/>
                <w:szCs w:val="28"/>
              </w:rPr>
              <w:t>902 OF THE</w:t>
            </w:r>
            <w:r w:rsidR="0079774E">
              <w:rPr>
                <w:sz w:val="28"/>
                <w:szCs w:val="28"/>
              </w:rPr>
              <w:t xml:space="preserve"> ARIZONA RULES OF EVIDENCE</w:t>
            </w:r>
          </w:p>
        </w:tc>
        <w:tc>
          <w:tcPr>
            <w:tcW w:w="5410" w:type="dxa"/>
            <w:tcBorders>
              <w:top w:val="nil"/>
              <w:left w:val="single" w:sz="4" w:space="0" w:color="auto"/>
            </w:tcBorders>
            <w:shd w:val="clear" w:color="auto" w:fill="auto"/>
          </w:tcPr>
          <w:p w14:paraId="31FB0326" w14:textId="592E2C03" w:rsidR="001336C3" w:rsidRDefault="001336C3" w:rsidP="004C643F">
            <w:pPr>
              <w:pStyle w:val="Caption"/>
              <w:tabs>
                <w:tab w:val="left" w:pos="1238"/>
              </w:tabs>
              <w:spacing w:line="240" w:lineRule="auto"/>
              <w:ind w:left="259" w:right="115"/>
              <w:jc w:val="both"/>
              <w:rPr>
                <w:sz w:val="28"/>
                <w:szCs w:val="28"/>
              </w:rPr>
            </w:pPr>
            <w:r w:rsidRPr="00D46859">
              <w:rPr>
                <w:sz w:val="28"/>
                <w:szCs w:val="28"/>
              </w:rPr>
              <w:t>Supreme Court No. R-2</w:t>
            </w:r>
            <w:r w:rsidR="0079774E">
              <w:rPr>
                <w:sz w:val="28"/>
                <w:szCs w:val="28"/>
              </w:rPr>
              <w:t>3</w:t>
            </w:r>
            <w:r w:rsidRPr="00D46859">
              <w:rPr>
                <w:sz w:val="28"/>
                <w:szCs w:val="28"/>
              </w:rPr>
              <w:t>-00</w:t>
            </w:r>
            <w:r w:rsidR="00DE6110">
              <w:rPr>
                <w:sz w:val="28"/>
                <w:szCs w:val="28"/>
              </w:rPr>
              <w:t>1</w:t>
            </w:r>
            <w:r w:rsidR="0079774E">
              <w:rPr>
                <w:sz w:val="28"/>
                <w:szCs w:val="28"/>
              </w:rPr>
              <w:t>5</w:t>
            </w:r>
          </w:p>
          <w:p w14:paraId="05B4A27F" w14:textId="77777777" w:rsidR="004C643F" w:rsidRPr="004C643F" w:rsidRDefault="004C643F" w:rsidP="004C643F">
            <w:pPr>
              <w:jc w:val="both"/>
            </w:pPr>
          </w:p>
          <w:p w14:paraId="7DCAA5DE" w14:textId="2D0DCE41" w:rsidR="001336C3" w:rsidRPr="003A788E" w:rsidRDefault="00521EAA" w:rsidP="004E4EAF">
            <w:pPr>
              <w:pStyle w:val="DocumentTitle"/>
              <w:spacing w:line="240" w:lineRule="auto"/>
              <w:rPr>
                <w:b/>
                <w:bCs/>
                <w:sz w:val="28"/>
                <w:szCs w:val="28"/>
              </w:rPr>
            </w:pPr>
            <w:r>
              <w:rPr>
                <w:b/>
                <w:bCs/>
                <w:sz w:val="28"/>
                <w:szCs w:val="28"/>
              </w:rPr>
              <w:t xml:space="preserve">COMMENT BY </w:t>
            </w:r>
            <w:r w:rsidR="001336C3" w:rsidRPr="003A788E">
              <w:rPr>
                <w:b/>
                <w:bCs/>
                <w:sz w:val="28"/>
                <w:szCs w:val="28"/>
              </w:rPr>
              <w:t xml:space="preserve">THE </w:t>
            </w:r>
            <w:r w:rsidR="00A50F39" w:rsidRPr="003A788E">
              <w:rPr>
                <w:b/>
                <w:bCs/>
                <w:sz w:val="28"/>
                <w:szCs w:val="28"/>
              </w:rPr>
              <w:t xml:space="preserve">ADVISORY COMMITTEE </w:t>
            </w:r>
            <w:r w:rsidR="001336C3" w:rsidRPr="003A788E">
              <w:rPr>
                <w:b/>
                <w:bCs/>
                <w:sz w:val="28"/>
                <w:szCs w:val="28"/>
              </w:rPr>
              <w:t>O</w:t>
            </w:r>
            <w:r w:rsidR="0029790B" w:rsidRPr="003A788E">
              <w:rPr>
                <w:b/>
                <w:bCs/>
                <w:sz w:val="28"/>
                <w:szCs w:val="28"/>
              </w:rPr>
              <w:t>N</w:t>
            </w:r>
            <w:r w:rsidR="001336C3" w:rsidRPr="003A788E">
              <w:rPr>
                <w:b/>
                <w:bCs/>
                <w:sz w:val="28"/>
                <w:szCs w:val="28"/>
              </w:rPr>
              <w:t xml:space="preserve"> </w:t>
            </w:r>
            <w:r w:rsidR="00A50F39" w:rsidRPr="003A788E">
              <w:rPr>
                <w:b/>
                <w:bCs/>
                <w:sz w:val="28"/>
                <w:szCs w:val="28"/>
              </w:rPr>
              <w:t xml:space="preserve">THE </w:t>
            </w:r>
            <w:r w:rsidR="001336C3" w:rsidRPr="003A788E">
              <w:rPr>
                <w:b/>
                <w:bCs/>
                <w:sz w:val="28"/>
                <w:szCs w:val="28"/>
              </w:rPr>
              <w:t xml:space="preserve">ARIZONA </w:t>
            </w:r>
            <w:r w:rsidR="00A50F39" w:rsidRPr="003A788E">
              <w:rPr>
                <w:b/>
                <w:bCs/>
                <w:sz w:val="28"/>
                <w:szCs w:val="28"/>
              </w:rPr>
              <w:t>RULES OF EVIDENCE</w:t>
            </w:r>
            <w:r w:rsidR="006A2DA6">
              <w:rPr>
                <w:b/>
                <w:bCs/>
                <w:sz w:val="28"/>
                <w:szCs w:val="28"/>
              </w:rPr>
              <w:t xml:space="preserve"> </w:t>
            </w:r>
            <w:r w:rsidR="00867872" w:rsidRPr="003A788E">
              <w:rPr>
                <w:b/>
                <w:bCs/>
                <w:sz w:val="28"/>
                <w:szCs w:val="28"/>
              </w:rPr>
              <w:t xml:space="preserve">IN SUPPORT OF </w:t>
            </w:r>
            <w:bookmarkStart w:id="2" w:name="_Hlk132033449"/>
            <w:r w:rsidR="00867872" w:rsidRPr="003A788E">
              <w:rPr>
                <w:b/>
                <w:bCs/>
                <w:caps/>
                <w:sz w:val="28"/>
                <w:szCs w:val="28"/>
              </w:rPr>
              <w:t>Petition R-23-0015 to Amend Rule 902 of the Arizona Rules of Evidence</w:t>
            </w:r>
            <w:bookmarkEnd w:id="2"/>
          </w:p>
        </w:tc>
      </w:tr>
      <w:bookmarkEnd w:id="1"/>
    </w:tbl>
    <w:p w14:paraId="552BB07E" w14:textId="77777777" w:rsidR="001336C3" w:rsidRPr="00D46859" w:rsidRDefault="001336C3" w:rsidP="001336C3">
      <w:pPr>
        <w:rPr>
          <w:sz w:val="28"/>
          <w:szCs w:val="28"/>
        </w:rPr>
      </w:pPr>
    </w:p>
    <w:p w14:paraId="1BA797D7" w14:textId="74579188" w:rsidR="004C643F" w:rsidRPr="00E25C78" w:rsidRDefault="004C643F" w:rsidP="004C643F">
      <w:pPr>
        <w:pStyle w:val="BodyText"/>
        <w:tabs>
          <w:tab w:val="left" w:pos="8565"/>
        </w:tabs>
        <w:spacing w:line="240" w:lineRule="auto"/>
        <w:ind w:firstLine="0"/>
        <w:rPr>
          <w:b/>
          <w:bCs/>
          <w:sz w:val="28"/>
          <w:szCs w:val="28"/>
        </w:rPr>
      </w:pPr>
    </w:p>
    <w:p w14:paraId="5662084D" w14:textId="0F8DD993" w:rsidR="00867872" w:rsidRDefault="0079774E" w:rsidP="004C643F">
      <w:pPr>
        <w:pStyle w:val="NormalWeb"/>
        <w:spacing w:before="0" w:beforeAutospacing="0" w:after="0" w:afterAutospacing="0" w:line="480" w:lineRule="auto"/>
        <w:ind w:firstLine="720"/>
        <w:jc w:val="both"/>
        <w:rPr>
          <w:color w:val="000000"/>
          <w:sz w:val="28"/>
          <w:szCs w:val="28"/>
        </w:rPr>
      </w:pPr>
      <w:r>
        <w:rPr>
          <w:color w:val="000000"/>
          <w:sz w:val="28"/>
          <w:szCs w:val="28"/>
        </w:rPr>
        <w:t>The Advisory Committee on Rules of Evidence</w:t>
      </w:r>
      <w:r w:rsidR="00A213F7">
        <w:rPr>
          <w:color w:val="000000"/>
          <w:sz w:val="28"/>
          <w:szCs w:val="28"/>
        </w:rPr>
        <w:t xml:space="preserve"> (“Committee”)</w:t>
      </w:r>
      <w:r>
        <w:rPr>
          <w:color w:val="000000"/>
          <w:sz w:val="28"/>
          <w:szCs w:val="28"/>
        </w:rPr>
        <w:t xml:space="preserve"> files this comment supporting </w:t>
      </w:r>
      <w:r w:rsidR="00867872" w:rsidRPr="00867872">
        <w:rPr>
          <w:color w:val="000000"/>
          <w:sz w:val="28"/>
          <w:szCs w:val="28"/>
        </w:rPr>
        <w:t>Petition R-23-0015</w:t>
      </w:r>
      <w:r w:rsidR="00867872">
        <w:rPr>
          <w:color w:val="000000"/>
          <w:sz w:val="28"/>
          <w:szCs w:val="28"/>
        </w:rPr>
        <w:t xml:space="preserve">, which proposes to </w:t>
      </w:r>
      <w:r w:rsidR="00867872" w:rsidRPr="00867872">
        <w:rPr>
          <w:color w:val="000000"/>
          <w:sz w:val="28"/>
          <w:szCs w:val="28"/>
        </w:rPr>
        <w:t>Amend Rule 902</w:t>
      </w:r>
      <w:r w:rsidR="00867872">
        <w:rPr>
          <w:color w:val="000000"/>
          <w:sz w:val="28"/>
          <w:szCs w:val="28"/>
        </w:rPr>
        <w:t>(1)(A)</w:t>
      </w:r>
      <w:r w:rsidR="00867872" w:rsidRPr="00867872">
        <w:rPr>
          <w:color w:val="000000"/>
          <w:sz w:val="28"/>
          <w:szCs w:val="28"/>
        </w:rPr>
        <w:t xml:space="preserve"> of the Arizona Rules of Evidence </w:t>
      </w:r>
      <w:r w:rsidR="00867872">
        <w:rPr>
          <w:color w:val="000000"/>
          <w:sz w:val="28"/>
          <w:szCs w:val="28"/>
        </w:rPr>
        <w:t xml:space="preserve">to allow the trial court to recognize documents </w:t>
      </w:r>
      <w:r w:rsidR="00867872">
        <w:rPr>
          <w:color w:val="000000"/>
          <w:sz w:val="28"/>
          <w:szCs w:val="28"/>
        </w:rPr>
        <w:lastRenderedPageBreak/>
        <w:t xml:space="preserve">sealed and signed by a </w:t>
      </w:r>
      <w:r w:rsidR="000F08D4">
        <w:rPr>
          <w:color w:val="000000"/>
          <w:sz w:val="28"/>
          <w:szCs w:val="28"/>
        </w:rPr>
        <w:t>f</w:t>
      </w:r>
      <w:r w:rsidR="00867872">
        <w:rPr>
          <w:color w:val="000000"/>
          <w:sz w:val="28"/>
          <w:szCs w:val="28"/>
        </w:rPr>
        <w:t>ederally recognized Indian Tribe or Nation as self-authe</w:t>
      </w:r>
      <w:r w:rsidR="00BE7592">
        <w:rPr>
          <w:color w:val="000000"/>
          <w:sz w:val="28"/>
          <w:szCs w:val="28"/>
        </w:rPr>
        <w:t>nt</w:t>
      </w:r>
      <w:r w:rsidR="00867872">
        <w:rPr>
          <w:color w:val="000000"/>
          <w:sz w:val="28"/>
          <w:szCs w:val="28"/>
        </w:rPr>
        <w:t>icating.</w:t>
      </w:r>
    </w:p>
    <w:p w14:paraId="1326B88C" w14:textId="00F31581" w:rsidR="00223616" w:rsidRDefault="00223616" w:rsidP="000358A5">
      <w:pPr>
        <w:pStyle w:val="NormalWeb"/>
        <w:spacing w:before="0" w:beforeAutospacing="0" w:after="0" w:afterAutospacing="0" w:line="480" w:lineRule="auto"/>
        <w:jc w:val="center"/>
        <w:rPr>
          <w:b/>
          <w:bCs/>
          <w:color w:val="000000"/>
          <w:sz w:val="28"/>
          <w:szCs w:val="28"/>
        </w:rPr>
      </w:pPr>
      <w:r>
        <w:rPr>
          <w:b/>
          <w:bCs/>
          <w:color w:val="000000"/>
          <w:sz w:val="28"/>
          <w:szCs w:val="28"/>
        </w:rPr>
        <w:t>INTRODUCTION</w:t>
      </w:r>
    </w:p>
    <w:p w14:paraId="600EAA7D" w14:textId="149CB4AF" w:rsidR="00BE7592" w:rsidRDefault="00BE7592" w:rsidP="001B0C78">
      <w:pPr>
        <w:pStyle w:val="NormalWeb"/>
        <w:spacing w:before="0" w:beforeAutospacing="0" w:after="0" w:afterAutospacing="0" w:line="480" w:lineRule="auto"/>
        <w:ind w:firstLine="720"/>
        <w:jc w:val="both"/>
        <w:rPr>
          <w:color w:val="000000"/>
          <w:sz w:val="28"/>
          <w:szCs w:val="28"/>
        </w:rPr>
      </w:pPr>
      <w:r>
        <w:rPr>
          <w:color w:val="000000"/>
          <w:sz w:val="28"/>
          <w:szCs w:val="28"/>
        </w:rPr>
        <w:t>T</w:t>
      </w:r>
      <w:r w:rsidRPr="00BE7592">
        <w:rPr>
          <w:color w:val="000000"/>
          <w:sz w:val="28"/>
          <w:szCs w:val="28"/>
        </w:rPr>
        <w:t xml:space="preserve">he Arizona State, Tribal and Federal Court Forum (“The Forum”) </w:t>
      </w:r>
      <w:r>
        <w:rPr>
          <w:color w:val="000000"/>
          <w:sz w:val="28"/>
          <w:szCs w:val="28"/>
        </w:rPr>
        <w:t>filed a petition on January 9, 2023</w:t>
      </w:r>
      <w:r w:rsidR="00D70447">
        <w:rPr>
          <w:color w:val="000000"/>
          <w:sz w:val="28"/>
          <w:szCs w:val="28"/>
        </w:rPr>
        <w:t>,</w:t>
      </w:r>
      <w:r>
        <w:rPr>
          <w:color w:val="000000"/>
          <w:sz w:val="28"/>
          <w:szCs w:val="28"/>
        </w:rPr>
        <w:t xml:space="preserve"> to amend </w:t>
      </w:r>
      <w:r w:rsidRPr="00BE7592">
        <w:rPr>
          <w:color w:val="000000"/>
          <w:sz w:val="28"/>
          <w:szCs w:val="28"/>
        </w:rPr>
        <w:t xml:space="preserve">Rule 902(1)(A) of the Arizona Rules of Evidence </w:t>
      </w:r>
      <w:r>
        <w:rPr>
          <w:color w:val="000000"/>
          <w:sz w:val="28"/>
          <w:szCs w:val="28"/>
        </w:rPr>
        <w:t xml:space="preserve">to add </w:t>
      </w:r>
      <w:bookmarkStart w:id="3" w:name="_Hlk132191708"/>
      <w:r w:rsidR="006A2DA6">
        <w:rPr>
          <w:color w:val="000000"/>
          <w:sz w:val="28"/>
          <w:szCs w:val="28"/>
        </w:rPr>
        <w:t>f</w:t>
      </w:r>
      <w:r w:rsidRPr="00BE7592">
        <w:rPr>
          <w:color w:val="000000"/>
          <w:sz w:val="28"/>
          <w:szCs w:val="28"/>
        </w:rPr>
        <w:t xml:space="preserve">ederally </w:t>
      </w:r>
      <w:r w:rsidR="006A2DA6">
        <w:rPr>
          <w:color w:val="000000"/>
          <w:sz w:val="28"/>
          <w:szCs w:val="28"/>
        </w:rPr>
        <w:t>r</w:t>
      </w:r>
      <w:r w:rsidRPr="00BE7592">
        <w:rPr>
          <w:color w:val="000000"/>
          <w:sz w:val="28"/>
          <w:szCs w:val="28"/>
        </w:rPr>
        <w:t>ecognized American Indian Tribe</w:t>
      </w:r>
      <w:r>
        <w:rPr>
          <w:color w:val="000000"/>
          <w:sz w:val="28"/>
          <w:szCs w:val="28"/>
        </w:rPr>
        <w:t xml:space="preserve">s and </w:t>
      </w:r>
      <w:r w:rsidRPr="00BE7592">
        <w:rPr>
          <w:color w:val="000000"/>
          <w:sz w:val="28"/>
          <w:szCs w:val="28"/>
        </w:rPr>
        <w:t>Nation</w:t>
      </w:r>
      <w:r>
        <w:rPr>
          <w:color w:val="000000"/>
          <w:sz w:val="28"/>
          <w:szCs w:val="28"/>
        </w:rPr>
        <w:t xml:space="preserve">s </w:t>
      </w:r>
      <w:bookmarkEnd w:id="3"/>
      <w:r>
        <w:rPr>
          <w:color w:val="000000"/>
          <w:sz w:val="28"/>
          <w:szCs w:val="28"/>
        </w:rPr>
        <w:t xml:space="preserve">to the list of governmental entities </w:t>
      </w:r>
      <w:r w:rsidR="000F08D4">
        <w:rPr>
          <w:color w:val="000000"/>
          <w:sz w:val="28"/>
          <w:szCs w:val="28"/>
        </w:rPr>
        <w:t>whose s</w:t>
      </w:r>
      <w:r>
        <w:rPr>
          <w:color w:val="000000"/>
          <w:sz w:val="28"/>
          <w:szCs w:val="28"/>
        </w:rPr>
        <w:t>eal</w:t>
      </w:r>
      <w:r w:rsidR="000F08D4">
        <w:rPr>
          <w:color w:val="000000"/>
          <w:sz w:val="28"/>
          <w:szCs w:val="28"/>
        </w:rPr>
        <w:t>ed</w:t>
      </w:r>
      <w:r>
        <w:rPr>
          <w:color w:val="000000"/>
          <w:sz w:val="28"/>
          <w:szCs w:val="28"/>
        </w:rPr>
        <w:t xml:space="preserve"> and sign</w:t>
      </w:r>
      <w:r w:rsidR="000F08D4">
        <w:rPr>
          <w:color w:val="000000"/>
          <w:sz w:val="28"/>
          <w:szCs w:val="28"/>
        </w:rPr>
        <w:t>ed</w:t>
      </w:r>
      <w:r>
        <w:rPr>
          <w:color w:val="000000"/>
          <w:sz w:val="28"/>
          <w:szCs w:val="28"/>
        </w:rPr>
        <w:t xml:space="preserve"> documents </w:t>
      </w:r>
      <w:r w:rsidR="000F08D4">
        <w:rPr>
          <w:color w:val="000000"/>
          <w:sz w:val="28"/>
          <w:szCs w:val="28"/>
        </w:rPr>
        <w:t xml:space="preserve">are </w:t>
      </w:r>
      <w:r>
        <w:rPr>
          <w:color w:val="000000"/>
          <w:sz w:val="28"/>
          <w:szCs w:val="28"/>
        </w:rPr>
        <w:t>self-authenticati</w:t>
      </w:r>
      <w:r w:rsidR="000F08D4">
        <w:rPr>
          <w:color w:val="000000"/>
          <w:sz w:val="28"/>
          <w:szCs w:val="28"/>
        </w:rPr>
        <w:t>ng</w:t>
      </w:r>
      <w:r>
        <w:rPr>
          <w:color w:val="000000"/>
          <w:sz w:val="28"/>
          <w:szCs w:val="28"/>
        </w:rPr>
        <w:t>.</w:t>
      </w:r>
    </w:p>
    <w:p w14:paraId="7652775F" w14:textId="02E7B330" w:rsidR="00661F52" w:rsidRPr="00661F52" w:rsidRDefault="00661F52" w:rsidP="003A788E">
      <w:pPr>
        <w:pStyle w:val="NormalWeb"/>
        <w:spacing w:before="0" w:beforeAutospacing="0" w:after="0" w:afterAutospacing="0" w:line="480" w:lineRule="auto"/>
        <w:jc w:val="center"/>
        <w:rPr>
          <w:b/>
          <w:bCs/>
          <w:color w:val="000000"/>
          <w:sz w:val="28"/>
          <w:szCs w:val="28"/>
        </w:rPr>
      </w:pPr>
      <w:bookmarkStart w:id="4" w:name="_Hlk132036718"/>
      <w:r>
        <w:rPr>
          <w:b/>
          <w:bCs/>
          <w:color w:val="000000"/>
          <w:sz w:val="28"/>
          <w:szCs w:val="28"/>
        </w:rPr>
        <w:t>ARIZONA’S CURRENT SELF-</w:t>
      </w:r>
      <w:r w:rsidR="00DE6110">
        <w:rPr>
          <w:b/>
          <w:bCs/>
          <w:color w:val="000000"/>
          <w:sz w:val="28"/>
          <w:szCs w:val="28"/>
        </w:rPr>
        <w:t xml:space="preserve">AUTHENTICATION </w:t>
      </w:r>
      <w:r>
        <w:rPr>
          <w:b/>
          <w:bCs/>
          <w:color w:val="000000"/>
          <w:sz w:val="28"/>
          <w:szCs w:val="28"/>
        </w:rPr>
        <w:t>RULE</w:t>
      </w:r>
    </w:p>
    <w:bookmarkEnd w:id="4"/>
    <w:p w14:paraId="520ADFF7" w14:textId="22C80ED4" w:rsidR="003A788E" w:rsidRDefault="00661F52" w:rsidP="00E8363D">
      <w:pPr>
        <w:pStyle w:val="NormalWeb"/>
        <w:spacing w:line="480" w:lineRule="auto"/>
        <w:ind w:firstLine="720"/>
        <w:contextualSpacing/>
        <w:jc w:val="both"/>
        <w:rPr>
          <w:color w:val="000000"/>
          <w:sz w:val="28"/>
          <w:szCs w:val="28"/>
        </w:rPr>
      </w:pPr>
      <w:r>
        <w:rPr>
          <w:color w:val="000000"/>
          <w:sz w:val="28"/>
          <w:szCs w:val="28"/>
        </w:rPr>
        <w:t>For an item of evidence to be admitted, “the proponent must produce evidence sufficient to support a finding that the item is what the proponent claims it is.”  Ariz. R. Evid.</w:t>
      </w:r>
      <w:r w:rsidR="00AD2359">
        <w:rPr>
          <w:color w:val="000000"/>
          <w:sz w:val="28"/>
          <w:szCs w:val="28"/>
        </w:rPr>
        <w:t xml:space="preserve"> 901(a).</w:t>
      </w:r>
      <w:r>
        <w:rPr>
          <w:color w:val="000000"/>
          <w:sz w:val="28"/>
          <w:szCs w:val="28"/>
        </w:rPr>
        <w:t xml:space="preserve">  This standard can </w:t>
      </w:r>
      <w:r w:rsidR="00CD0C25">
        <w:rPr>
          <w:color w:val="000000"/>
          <w:sz w:val="28"/>
          <w:szCs w:val="28"/>
        </w:rPr>
        <w:t>be met</w:t>
      </w:r>
      <w:r w:rsidR="00A565D9">
        <w:rPr>
          <w:color w:val="000000"/>
          <w:sz w:val="28"/>
          <w:szCs w:val="28"/>
        </w:rPr>
        <w:t xml:space="preserve"> by the use of extrinsic evidence under Rule 901, or by offering an item that is self-authenticating under Rule 902.  Among the documents that are self-authenticating</w:t>
      </w:r>
      <w:r w:rsidR="00E8363D">
        <w:rPr>
          <w:color w:val="000000"/>
          <w:sz w:val="28"/>
          <w:szCs w:val="28"/>
        </w:rPr>
        <w:t xml:space="preserve"> </w:t>
      </w:r>
      <w:r w:rsidR="00A565D9">
        <w:rPr>
          <w:color w:val="000000"/>
          <w:sz w:val="28"/>
          <w:szCs w:val="28"/>
        </w:rPr>
        <w:t xml:space="preserve">are </w:t>
      </w:r>
      <w:r w:rsidR="00521EAA">
        <w:rPr>
          <w:color w:val="000000"/>
          <w:sz w:val="28"/>
          <w:szCs w:val="28"/>
        </w:rPr>
        <w:t xml:space="preserve">those </w:t>
      </w:r>
      <w:r w:rsidR="00E8363D">
        <w:rPr>
          <w:color w:val="000000"/>
          <w:sz w:val="28"/>
          <w:szCs w:val="28"/>
        </w:rPr>
        <w:t xml:space="preserve">signed and sealed by a governmental entity. </w:t>
      </w:r>
      <w:r w:rsidR="003A788E">
        <w:rPr>
          <w:color w:val="000000"/>
          <w:sz w:val="28"/>
          <w:szCs w:val="28"/>
        </w:rPr>
        <w:t>This rule of self-authentication is based on the notion that</w:t>
      </w:r>
      <w:r w:rsidR="000F08D4">
        <w:rPr>
          <w:color w:val="000000"/>
          <w:sz w:val="28"/>
          <w:szCs w:val="28"/>
        </w:rPr>
        <w:t>:</w:t>
      </w:r>
    </w:p>
    <w:p w14:paraId="4158C2AC" w14:textId="1EDD514B" w:rsidR="003A788E" w:rsidRDefault="000F08D4" w:rsidP="003A788E">
      <w:pPr>
        <w:pStyle w:val="NormalWeb"/>
        <w:spacing w:line="280" w:lineRule="exact"/>
        <w:ind w:left="720" w:right="720"/>
        <w:jc w:val="both"/>
        <w:rPr>
          <w:color w:val="000000"/>
          <w:sz w:val="28"/>
          <w:szCs w:val="28"/>
        </w:rPr>
      </w:pPr>
      <w:r>
        <w:rPr>
          <w:color w:val="000000"/>
          <w:sz w:val="28"/>
          <w:szCs w:val="28"/>
        </w:rPr>
        <w:t>[P]</w:t>
      </w:r>
      <w:r w:rsidR="00E8363D" w:rsidRPr="00E8363D">
        <w:rPr>
          <w:color w:val="000000"/>
          <w:sz w:val="28"/>
          <w:szCs w:val="28"/>
        </w:rPr>
        <w:t>ublic documents have long been deemed entitled to relaxed standards for authentication due to the perceived unlikelihood that public officials would falsify public records for court proceedings, and because of the disruption in the conduct of public business that might result from requiring public officials or employees to appear personally and testify to the authenticity of such records.</w:t>
      </w:r>
      <w:r w:rsidR="00E8363D">
        <w:rPr>
          <w:color w:val="000000"/>
          <w:sz w:val="28"/>
          <w:szCs w:val="28"/>
        </w:rPr>
        <w:t xml:space="preserve"> </w:t>
      </w:r>
    </w:p>
    <w:p w14:paraId="51A97F29" w14:textId="771C077D" w:rsidR="00E8363D" w:rsidRDefault="00E8363D" w:rsidP="007B4B85">
      <w:pPr>
        <w:pStyle w:val="NormalWeb"/>
        <w:spacing w:line="480" w:lineRule="auto"/>
        <w:contextualSpacing/>
        <w:jc w:val="both"/>
        <w:rPr>
          <w:color w:val="000000"/>
          <w:sz w:val="28"/>
          <w:szCs w:val="28"/>
        </w:rPr>
      </w:pPr>
      <w:r w:rsidRPr="00E8363D">
        <w:rPr>
          <w:i/>
          <w:iCs/>
          <w:color w:val="000000"/>
          <w:sz w:val="28"/>
          <w:szCs w:val="28"/>
        </w:rPr>
        <w:t xml:space="preserve">Ariz. Prac., Law </w:t>
      </w:r>
      <w:r w:rsidR="00CD0C25">
        <w:rPr>
          <w:i/>
          <w:iCs/>
          <w:color w:val="000000"/>
          <w:sz w:val="28"/>
          <w:szCs w:val="28"/>
        </w:rPr>
        <w:t>o</w:t>
      </w:r>
      <w:r w:rsidRPr="00E8363D">
        <w:rPr>
          <w:i/>
          <w:iCs/>
          <w:color w:val="000000"/>
          <w:sz w:val="28"/>
          <w:szCs w:val="28"/>
        </w:rPr>
        <w:t>f Evidence</w:t>
      </w:r>
      <w:r w:rsidRPr="00E8363D">
        <w:rPr>
          <w:color w:val="000000"/>
          <w:sz w:val="28"/>
          <w:szCs w:val="28"/>
        </w:rPr>
        <w:t xml:space="preserve"> § 902:1 (4th ed.)</w:t>
      </w:r>
      <w:r>
        <w:rPr>
          <w:color w:val="000000"/>
          <w:sz w:val="28"/>
          <w:szCs w:val="28"/>
        </w:rPr>
        <w:t>.</w:t>
      </w:r>
    </w:p>
    <w:p w14:paraId="7C7DBA26" w14:textId="0505E7FF" w:rsidR="007B4B85" w:rsidRPr="007B4B85" w:rsidRDefault="007B4B85" w:rsidP="007B4B85">
      <w:pPr>
        <w:pStyle w:val="NormalWeb"/>
        <w:spacing w:line="480" w:lineRule="auto"/>
        <w:ind w:firstLine="720"/>
        <w:contextualSpacing/>
        <w:jc w:val="both"/>
        <w:rPr>
          <w:color w:val="000000"/>
          <w:sz w:val="28"/>
          <w:szCs w:val="28"/>
        </w:rPr>
      </w:pPr>
      <w:r>
        <w:rPr>
          <w:color w:val="000000"/>
          <w:sz w:val="28"/>
          <w:szCs w:val="28"/>
        </w:rPr>
        <w:lastRenderedPageBreak/>
        <w:t>The Wright and Miller treatise also counsels that extrinsic evidence is not needed to authenticate public documents because “t</w:t>
      </w:r>
      <w:r w:rsidRPr="007B4B85">
        <w:rPr>
          <w:color w:val="000000"/>
          <w:sz w:val="28"/>
          <w:szCs w:val="28"/>
        </w:rPr>
        <w:t>he type of writings described by Rule 902 are almost always exactly what they seem to be.</w:t>
      </w:r>
      <w:r w:rsidR="00577B6E">
        <w:rPr>
          <w:color w:val="000000"/>
          <w:sz w:val="28"/>
          <w:szCs w:val="28"/>
        </w:rPr>
        <w:t xml:space="preserve">” </w:t>
      </w:r>
      <w:r w:rsidRPr="007B4B85">
        <w:rPr>
          <w:color w:val="000000"/>
          <w:sz w:val="28"/>
          <w:szCs w:val="28"/>
        </w:rPr>
        <w:t xml:space="preserve">31 </w:t>
      </w:r>
      <w:r w:rsidRPr="007B4B85">
        <w:rPr>
          <w:i/>
          <w:iCs/>
          <w:color w:val="000000"/>
          <w:sz w:val="28"/>
          <w:szCs w:val="28"/>
        </w:rPr>
        <w:t>Fed. Prac. &amp; Proc. Evid.</w:t>
      </w:r>
      <w:r w:rsidRPr="007B4B85">
        <w:rPr>
          <w:color w:val="000000"/>
          <w:sz w:val="28"/>
          <w:szCs w:val="28"/>
        </w:rPr>
        <w:t xml:space="preserve"> § 7132 (2d ed.)</w:t>
      </w:r>
      <w:r w:rsidR="00577B6E">
        <w:rPr>
          <w:color w:val="000000"/>
          <w:sz w:val="28"/>
          <w:szCs w:val="28"/>
        </w:rPr>
        <w:t>.</w:t>
      </w:r>
    </w:p>
    <w:p w14:paraId="6DEF1ACC" w14:textId="38285EC6" w:rsidR="00E8363D" w:rsidRDefault="00E8363D" w:rsidP="003A788E">
      <w:pPr>
        <w:pStyle w:val="NormalWeb"/>
        <w:spacing w:line="480" w:lineRule="auto"/>
        <w:ind w:firstLine="720"/>
        <w:contextualSpacing/>
        <w:jc w:val="both"/>
        <w:rPr>
          <w:color w:val="000000"/>
          <w:sz w:val="28"/>
          <w:szCs w:val="28"/>
        </w:rPr>
      </w:pPr>
      <w:r>
        <w:rPr>
          <w:color w:val="000000"/>
          <w:sz w:val="28"/>
          <w:szCs w:val="28"/>
        </w:rPr>
        <w:t xml:space="preserve">Currently, </w:t>
      </w:r>
      <w:r w:rsidR="00CD0C25">
        <w:rPr>
          <w:color w:val="000000"/>
          <w:sz w:val="28"/>
          <w:szCs w:val="28"/>
        </w:rPr>
        <w:t xml:space="preserve">public </w:t>
      </w:r>
      <w:r>
        <w:rPr>
          <w:color w:val="000000"/>
          <w:sz w:val="28"/>
          <w:szCs w:val="28"/>
        </w:rPr>
        <w:t>documents from the following governmental entities, including their</w:t>
      </w:r>
      <w:r w:rsidRPr="00E8363D">
        <w:rPr>
          <w:color w:val="000000"/>
          <w:sz w:val="28"/>
          <w:szCs w:val="28"/>
        </w:rPr>
        <w:t xml:space="preserve"> political subdivision</w:t>
      </w:r>
      <w:r>
        <w:rPr>
          <w:color w:val="000000"/>
          <w:sz w:val="28"/>
          <w:szCs w:val="28"/>
        </w:rPr>
        <w:t xml:space="preserve">s, </w:t>
      </w:r>
      <w:r w:rsidRPr="00E8363D">
        <w:rPr>
          <w:color w:val="000000"/>
          <w:sz w:val="28"/>
          <w:szCs w:val="28"/>
        </w:rPr>
        <w:t>department</w:t>
      </w:r>
      <w:r>
        <w:rPr>
          <w:color w:val="000000"/>
          <w:sz w:val="28"/>
          <w:szCs w:val="28"/>
        </w:rPr>
        <w:t>s</w:t>
      </w:r>
      <w:r w:rsidRPr="00E8363D">
        <w:rPr>
          <w:color w:val="000000"/>
          <w:sz w:val="28"/>
          <w:szCs w:val="28"/>
        </w:rPr>
        <w:t>, agenc</w:t>
      </w:r>
      <w:r>
        <w:rPr>
          <w:color w:val="000000"/>
          <w:sz w:val="28"/>
          <w:szCs w:val="28"/>
        </w:rPr>
        <w:t xml:space="preserve">ies, </w:t>
      </w:r>
      <w:r w:rsidRPr="00E8363D">
        <w:rPr>
          <w:color w:val="000000"/>
          <w:sz w:val="28"/>
          <w:szCs w:val="28"/>
        </w:rPr>
        <w:t>or officer</w:t>
      </w:r>
      <w:r>
        <w:rPr>
          <w:color w:val="000000"/>
          <w:sz w:val="28"/>
          <w:szCs w:val="28"/>
        </w:rPr>
        <w:t>s</w:t>
      </w:r>
      <w:r w:rsidR="003A788E">
        <w:rPr>
          <w:color w:val="000000"/>
          <w:sz w:val="28"/>
          <w:szCs w:val="28"/>
        </w:rPr>
        <w:t>,</w:t>
      </w:r>
      <w:r>
        <w:rPr>
          <w:color w:val="000000"/>
          <w:sz w:val="28"/>
          <w:szCs w:val="28"/>
        </w:rPr>
        <w:t xml:space="preserve"> can be self-</w:t>
      </w:r>
      <w:r w:rsidR="00DE6110">
        <w:rPr>
          <w:color w:val="000000"/>
          <w:sz w:val="28"/>
          <w:szCs w:val="28"/>
        </w:rPr>
        <w:t xml:space="preserve">authenticating </w:t>
      </w:r>
      <w:r>
        <w:rPr>
          <w:color w:val="000000"/>
          <w:sz w:val="28"/>
          <w:szCs w:val="28"/>
        </w:rPr>
        <w:t>under Rule 902</w:t>
      </w:r>
      <w:r w:rsidR="006458AA">
        <w:rPr>
          <w:color w:val="000000"/>
          <w:sz w:val="28"/>
          <w:szCs w:val="28"/>
        </w:rPr>
        <w:t>(</w:t>
      </w:r>
      <w:r w:rsidR="00AD2359">
        <w:rPr>
          <w:color w:val="000000"/>
          <w:sz w:val="28"/>
          <w:szCs w:val="28"/>
        </w:rPr>
        <w:t>1</w:t>
      </w:r>
      <w:r w:rsidR="006458AA">
        <w:rPr>
          <w:color w:val="000000"/>
          <w:sz w:val="28"/>
          <w:szCs w:val="28"/>
        </w:rPr>
        <w:t>)(</w:t>
      </w:r>
      <w:r w:rsidR="00AD2359">
        <w:rPr>
          <w:color w:val="000000"/>
          <w:sz w:val="28"/>
          <w:szCs w:val="28"/>
        </w:rPr>
        <w:t>A</w:t>
      </w:r>
      <w:r w:rsidR="006458AA">
        <w:rPr>
          <w:color w:val="000000"/>
          <w:sz w:val="28"/>
          <w:szCs w:val="28"/>
        </w:rPr>
        <w:t>), Ariz. R. Evid.</w:t>
      </w:r>
      <w:r>
        <w:rPr>
          <w:color w:val="000000"/>
          <w:sz w:val="28"/>
          <w:szCs w:val="28"/>
        </w:rPr>
        <w:t>:</w:t>
      </w:r>
    </w:p>
    <w:p w14:paraId="0421E104" w14:textId="29263D28" w:rsidR="003A788E" w:rsidRDefault="003A788E" w:rsidP="003A788E">
      <w:pPr>
        <w:pStyle w:val="NormalWeb"/>
        <w:numPr>
          <w:ilvl w:val="0"/>
          <w:numId w:val="6"/>
        </w:numPr>
        <w:spacing w:line="480" w:lineRule="auto"/>
        <w:contextualSpacing/>
        <w:jc w:val="both"/>
        <w:rPr>
          <w:color w:val="000000"/>
          <w:sz w:val="28"/>
          <w:szCs w:val="28"/>
        </w:rPr>
      </w:pPr>
      <w:r>
        <w:rPr>
          <w:color w:val="000000"/>
          <w:sz w:val="28"/>
          <w:szCs w:val="28"/>
        </w:rPr>
        <w:t xml:space="preserve">The </w:t>
      </w:r>
      <w:r w:rsidR="00E8363D" w:rsidRPr="00E8363D">
        <w:rPr>
          <w:color w:val="000000"/>
          <w:sz w:val="28"/>
          <w:szCs w:val="28"/>
        </w:rPr>
        <w:t>United States</w:t>
      </w:r>
      <w:r>
        <w:rPr>
          <w:color w:val="000000"/>
          <w:sz w:val="28"/>
          <w:szCs w:val="28"/>
        </w:rPr>
        <w:t>;</w:t>
      </w:r>
    </w:p>
    <w:p w14:paraId="4181920E" w14:textId="77777777" w:rsidR="003A788E" w:rsidRDefault="003A788E" w:rsidP="00521EAA">
      <w:pPr>
        <w:pStyle w:val="NormalWeb"/>
        <w:numPr>
          <w:ilvl w:val="0"/>
          <w:numId w:val="6"/>
        </w:numPr>
        <w:spacing w:after="120" w:afterAutospacing="0" w:line="240" w:lineRule="exact"/>
        <w:jc w:val="both"/>
        <w:rPr>
          <w:color w:val="000000"/>
          <w:sz w:val="28"/>
          <w:szCs w:val="28"/>
        </w:rPr>
      </w:pPr>
      <w:r w:rsidRPr="003A788E">
        <w:rPr>
          <w:color w:val="000000"/>
          <w:sz w:val="28"/>
          <w:szCs w:val="28"/>
        </w:rPr>
        <w:t xml:space="preserve">Any </w:t>
      </w:r>
      <w:r w:rsidR="00E8363D" w:rsidRPr="003A788E">
        <w:rPr>
          <w:color w:val="000000"/>
          <w:sz w:val="28"/>
          <w:szCs w:val="28"/>
        </w:rPr>
        <w:t>state, district, commonwealth, territory, or insular possession of the United States;</w:t>
      </w:r>
    </w:p>
    <w:p w14:paraId="4650871C" w14:textId="2B6EE1BB" w:rsidR="003A788E" w:rsidRDefault="003A788E" w:rsidP="00521EAA">
      <w:pPr>
        <w:pStyle w:val="NormalWeb"/>
        <w:numPr>
          <w:ilvl w:val="0"/>
          <w:numId w:val="6"/>
        </w:numPr>
        <w:spacing w:before="0" w:line="480" w:lineRule="auto"/>
        <w:jc w:val="both"/>
        <w:rPr>
          <w:color w:val="000000"/>
          <w:sz w:val="28"/>
          <w:szCs w:val="28"/>
        </w:rPr>
      </w:pPr>
      <w:r>
        <w:rPr>
          <w:color w:val="000000"/>
          <w:sz w:val="28"/>
          <w:szCs w:val="28"/>
        </w:rPr>
        <w:t>T</w:t>
      </w:r>
      <w:r w:rsidR="00E8363D" w:rsidRPr="003A788E">
        <w:rPr>
          <w:color w:val="000000"/>
          <w:sz w:val="28"/>
          <w:szCs w:val="28"/>
        </w:rPr>
        <w:t>he former Panama Canal Zone;</w:t>
      </w:r>
      <w:r>
        <w:rPr>
          <w:color w:val="000000"/>
          <w:sz w:val="28"/>
          <w:szCs w:val="28"/>
        </w:rPr>
        <w:t xml:space="preserve"> and</w:t>
      </w:r>
    </w:p>
    <w:p w14:paraId="67C91FFD" w14:textId="7598599F" w:rsidR="00E8363D" w:rsidRDefault="003A788E" w:rsidP="003A788E">
      <w:pPr>
        <w:pStyle w:val="NormalWeb"/>
        <w:numPr>
          <w:ilvl w:val="0"/>
          <w:numId w:val="6"/>
        </w:numPr>
        <w:spacing w:line="480" w:lineRule="auto"/>
        <w:contextualSpacing/>
        <w:jc w:val="both"/>
        <w:rPr>
          <w:color w:val="000000"/>
          <w:sz w:val="28"/>
          <w:szCs w:val="28"/>
        </w:rPr>
      </w:pPr>
      <w:r>
        <w:rPr>
          <w:color w:val="000000"/>
          <w:sz w:val="28"/>
          <w:szCs w:val="28"/>
        </w:rPr>
        <w:t>T</w:t>
      </w:r>
      <w:r w:rsidR="00E8363D" w:rsidRPr="003A788E">
        <w:rPr>
          <w:color w:val="000000"/>
          <w:sz w:val="28"/>
          <w:szCs w:val="28"/>
        </w:rPr>
        <w:t>he Trust Territory of the Pacific Islands</w:t>
      </w:r>
      <w:r>
        <w:rPr>
          <w:color w:val="000000"/>
          <w:sz w:val="28"/>
          <w:szCs w:val="28"/>
        </w:rPr>
        <w:t>.</w:t>
      </w:r>
    </w:p>
    <w:p w14:paraId="70B32E95" w14:textId="7FC89CEE" w:rsidR="003A788E" w:rsidRPr="003A788E" w:rsidRDefault="003A788E" w:rsidP="003A788E">
      <w:pPr>
        <w:pStyle w:val="NormalWeb"/>
        <w:spacing w:line="480" w:lineRule="auto"/>
        <w:ind w:left="720"/>
        <w:contextualSpacing/>
        <w:jc w:val="both"/>
        <w:rPr>
          <w:color w:val="000000"/>
          <w:sz w:val="28"/>
          <w:szCs w:val="28"/>
        </w:rPr>
      </w:pPr>
      <w:r>
        <w:rPr>
          <w:color w:val="000000"/>
          <w:sz w:val="28"/>
          <w:szCs w:val="28"/>
        </w:rPr>
        <w:t>Indian Tribes and Nations are</w:t>
      </w:r>
      <w:r w:rsidR="00DE6110">
        <w:rPr>
          <w:color w:val="000000"/>
          <w:sz w:val="28"/>
          <w:szCs w:val="28"/>
        </w:rPr>
        <w:t xml:space="preserve"> presently</w:t>
      </w:r>
      <w:r>
        <w:rPr>
          <w:color w:val="000000"/>
          <w:sz w:val="28"/>
          <w:szCs w:val="28"/>
        </w:rPr>
        <w:t xml:space="preserve"> </w:t>
      </w:r>
      <w:r w:rsidR="00DE6110">
        <w:rPr>
          <w:color w:val="000000"/>
          <w:sz w:val="28"/>
          <w:szCs w:val="28"/>
        </w:rPr>
        <w:t xml:space="preserve">omitted </w:t>
      </w:r>
      <w:r>
        <w:rPr>
          <w:color w:val="000000"/>
          <w:sz w:val="28"/>
          <w:szCs w:val="28"/>
        </w:rPr>
        <w:t>from th</w:t>
      </w:r>
      <w:r w:rsidR="006458AA">
        <w:rPr>
          <w:color w:val="000000"/>
          <w:sz w:val="28"/>
          <w:szCs w:val="28"/>
        </w:rPr>
        <w:t>is</w:t>
      </w:r>
      <w:r>
        <w:rPr>
          <w:color w:val="000000"/>
          <w:sz w:val="28"/>
          <w:szCs w:val="28"/>
        </w:rPr>
        <w:t xml:space="preserve"> list.</w:t>
      </w:r>
    </w:p>
    <w:p w14:paraId="61187CF1" w14:textId="224608C6" w:rsidR="003A788E" w:rsidRPr="003A788E" w:rsidRDefault="003A788E" w:rsidP="0026090C">
      <w:pPr>
        <w:pStyle w:val="NormalWeb"/>
        <w:jc w:val="center"/>
        <w:rPr>
          <w:b/>
          <w:bCs/>
          <w:color w:val="000000"/>
          <w:sz w:val="28"/>
          <w:szCs w:val="28"/>
        </w:rPr>
      </w:pPr>
      <w:r>
        <w:rPr>
          <w:b/>
          <w:bCs/>
          <w:color w:val="000000"/>
          <w:sz w:val="28"/>
          <w:szCs w:val="28"/>
        </w:rPr>
        <w:t xml:space="preserve">THE FEDERAL RULE DOES NOT ALLOW </w:t>
      </w:r>
      <w:r w:rsidR="0026090C">
        <w:rPr>
          <w:b/>
          <w:bCs/>
          <w:color w:val="000000"/>
          <w:sz w:val="28"/>
          <w:szCs w:val="28"/>
        </w:rPr>
        <w:t>PUBLIC DOC</w:t>
      </w:r>
      <w:r w:rsidR="003F6CC3">
        <w:rPr>
          <w:b/>
          <w:bCs/>
          <w:color w:val="000000"/>
          <w:sz w:val="28"/>
          <w:szCs w:val="28"/>
        </w:rPr>
        <w:t>U</w:t>
      </w:r>
      <w:r w:rsidR="0026090C">
        <w:rPr>
          <w:b/>
          <w:bCs/>
          <w:color w:val="000000"/>
          <w:sz w:val="28"/>
          <w:szCs w:val="28"/>
        </w:rPr>
        <w:t xml:space="preserve">MENTS FROM </w:t>
      </w:r>
      <w:r w:rsidR="0026090C" w:rsidRPr="0026090C">
        <w:rPr>
          <w:b/>
          <w:bCs/>
          <w:caps/>
          <w:color w:val="000000"/>
          <w:sz w:val="28"/>
          <w:szCs w:val="28"/>
        </w:rPr>
        <w:t>Indian Tribes and Nations</w:t>
      </w:r>
      <w:r w:rsidR="0026090C" w:rsidRPr="0026090C">
        <w:rPr>
          <w:b/>
          <w:bCs/>
          <w:color w:val="000000"/>
          <w:sz w:val="28"/>
          <w:szCs w:val="28"/>
        </w:rPr>
        <w:t xml:space="preserve"> </w:t>
      </w:r>
      <w:r w:rsidR="0026090C">
        <w:rPr>
          <w:b/>
          <w:bCs/>
          <w:color w:val="000000"/>
          <w:sz w:val="28"/>
          <w:szCs w:val="28"/>
        </w:rPr>
        <w:t xml:space="preserve">TO BE </w:t>
      </w:r>
      <w:r w:rsidRPr="003A788E">
        <w:rPr>
          <w:b/>
          <w:bCs/>
          <w:color w:val="000000"/>
          <w:sz w:val="28"/>
          <w:szCs w:val="28"/>
        </w:rPr>
        <w:t>SELF-AUTHENTICA</w:t>
      </w:r>
      <w:r w:rsidR="0026090C">
        <w:rPr>
          <w:b/>
          <w:bCs/>
          <w:color w:val="000000"/>
          <w:sz w:val="28"/>
          <w:szCs w:val="28"/>
        </w:rPr>
        <w:t>TED</w:t>
      </w:r>
    </w:p>
    <w:p w14:paraId="20E293B5" w14:textId="7840FA22" w:rsidR="00E8363D" w:rsidRDefault="00DE6110" w:rsidP="0026090C">
      <w:pPr>
        <w:pStyle w:val="NormalWeb"/>
        <w:spacing w:before="240" w:line="480" w:lineRule="auto"/>
        <w:ind w:firstLine="720"/>
        <w:contextualSpacing/>
        <w:jc w:val="both"/>
        <w:rPr>
          <w:color w:val="000000"/>
          <w:sz w:val="28"/>
          <w:szCs w:val="28"/>
        </w:rPr>
      </w:pPr>
      <w:r>
        <w:rPr>
          <w:color w:val="000000"/>
          <w:sz w:val="28"/>
          <w:szCs w:val="28"/>
        </w:rPr>
        <w:t xml:space="preserve">It is worth noting that </w:t>
      </w:r>
      <w:r w:rsidR="0026090C">
        <w:rPr>
          <w:color w:val="000000"/>
          <w:sz w:val="28"/>
          <w:szCs w:val="28"/>
        </w:rPr>
        <w:t>Rule 902(1)(A) of the Federal Rules of Evidence</w:t>
      </w:r>
      <w:r w:rsidR="00521EAA">
        <w:rPr>
          <w:color w:val="000000"/>
          <w:sz w:val="28"/>
          <w:szCs w:val="28"/>
        </w:rPr>
        <w:t xml:space="preserve">, which uses the same </w:t>
      </w:r>
      <w:r w:rsidR="00F530A8">
        <w:rPr>
          <w:color w:val="000000"/>
          <w:sz w:val="28"/>
          <w:szCs w:val="28"/>
        </w:rPr>
        <w:t>language</w:t>
      </w:r>
      <w:r w:rsidR="00521EAA">
        <w:rPr>
          <w:color w:val="000000"/>
          <w:sz w:val="28"/>
          <w:szCs w:val="28"/>
        </w:rPr>
        <w:t xml:space="preserve"> as Arizona Rule</w:t>
      </w:r>
      <w:r w:rsidR="00F530A8">
        <w:rPr>
          <w:color w:val="000000"/>
          <w:sz w:val="28"/>
          <w:szCs w:val="28"/>
        </w:rPr>
        <w:t xml:space="preserve"> of Evidence</w:t>
      </w:r>
      <w:r w:rsidR="00521EAA">
        <w:rPr>
          <w:color w:val="000000"/>
          <w:sz w:val="28"/>
          <w:szCs w:val="28"/>
        </w:rPr>
        <w:t xml:space="preserve"> 902(1)(A)</w:t>
      </w:r>
      <w:r w:rsidR="00F530A8">
        <w:rPr>
          <w:color w:val="000000"/>
          <w:sz w:val="28"/>
          <w:szCs w:val="28"/>
        </w:rPr>
        <w:t>,</w:t>
      </w:r>
      <w:r w:rsidR="0026090C">
        <w:rPr>
          <w:color w:val="000000"/>
          <w:sz w:val="28"/>
          <w:szCs w:val="28"/>
        </w:rPr>
        <w:t xml:space="preserve"> does not </w:t>
      </w:r>
      <w:r w:rsidR="0083080B">
        <w:rPr>
          <w:color w:val="000000"/>
          <w:sz w:val="28"/>
          <w:szCs w:val="28"/>
        </w:rPr>
        <w:t xml:space="preserve">include </w:t>
      </w:r>
      <w:r w:rsidR="0083080B" w:rsidRPr="0083080B">
        <w:rPr>
          <w:color w:val="000000"/>
          <w:sz w:val="28"/>
          <w:szCs w:val="28"/>
        </w:rPr>
        <w:t xml:space="preserve">federally recognized American Indian Tribes and Nations </w:t>
      </w:r>
      <w:r w:rsidR="0083080B">
        <w:rPr>
          <w:color w:val="000000"/>
          <w:sz w:val="28"/>
          <w:szCs w:val="28"/>
        </w:rPr>
        <w:t xml:space="preserve">in the list of governmental entities whose </w:t>
      </w:r>
      <w:r w:rsidR="0026090C">
        <w:rPr>
          <w:color w:val="000000"/>
          <w:sz w:val="28"/>
          <w:szCs w:val="28"/>
        </w:rPr>
        <w:t xml:space="preserve">public documents </w:t>
      </w:r>
      <w:r w:rsidR="00780510">
        <w:rPr>
          <w:color w:val="000000"/>
          <w:sz w:val="28"/>
          <w:szCs w:val="28"/>
        </w:rPr>
        <w:t>are</w:t>
      </w:r>
      <w:r w:rsidR="0083080B">
        <w:rPr>
          <w:color w:val="000000"/>
          <w:sz w:val="28"/>
          <w:szCs w:val="28"/>
        </w:rPr>
        <w:t xml:space="preserve"> self-authenticating</w:t>
      </w:r>
      <w:r w:rsidR="0026090C">
        <w:rPr>
          <w:color w:val="000000"/>
          <w:sz w:val="28"/>
          <w:szCs w:val="28"/>
        </w:rPr>
        <w:t>.</w:t>
      </w:r>
    </w:p>
    <w:p w14:paraId="2CF5BC6F" w14:textId="67460E1B" w:rsidR="00666F4E" w:rsidRDefault="00CD4B56" w:rsidP="00CD0C25">
      <w:pPr>
        <w:pStyle w:val="NormalWeb"/>
        <w:spacing w:before="240" w:line="480" w:lineRule="auto"/>
        <w:ind w:firstLine="720"/>
        <w:contextualSpacing/>
        <w:jc w:val="both"/>
        <w:rPr>
          <w:color w:val="000000"/>
          <w:sz w:val="28"/>
          <w:szCs w:val="28"/>
        </w:rPr>
      </w:pPr>
      <w:r>
        <w:rPr>
          <w:color w:val="000000"/>
          <w:sz w:val="28"/>
          <w:szCs w:val="28"/>
        </w:rPr>
        <w:lastRenderedPageBreak/>
        <w:t>Prompted by a then-recent appellate ruling</w:t>
      </w:r>
      <w:r w:rsidR="006C15E8">
        <w:rPr>
          <w:color w:val="000000"/>
          <w:sz w:val="28"/>
          <w:szCs w:val="28"/>
        </w:rPr>
        <w:t>, Ninth Circuit</w:t>
      </w:r>
      <w:r w:rsidR="00DE6110">
        <w:rPr>
          <w:color w:val="000000"/>
          <w:sz w:val="28"/>
          <w:szCs w:val="28"/>
        </w:rPr>
        <w:t xml:space="preserve"> Court of Appeals</w:t>
      </w:r>
      <w:r w:rsidR="006C15E8">
        <w:rPr>
          <w:color w:val="000000"/>
          <w:sz w:val="28"/>
          <w:szCs w:val="28"/>
        </w:rPr>
        <w:t xml:space="preserve"> </w:t>
      </w:r>
      <w:r w:rsidR="00DE6110">
        <w:rPr>
          <w:color w:val="000000"/>
          <w:sz w:val="28"/>
          <w:szCs w:val="28"/>
        </w:rPr>
        <w:t>J</w:t>
      </w:r>
      <w:r w:rsidR="006C15E8">
        <w:rPr>
          <w:color w:val="000000"/>
          <w:sz w:val="28"/>
          <w:szCs w:val="28"/>
        </w:rPr>
        <w:t>udge</w:t>
      </w:r>
      <w:r w:rsidR="00DE6110">
        <w:rPr>
          <w:color w:val="000000"/>
          <w:sz w:val="28"/>
          <w:szCs w:val="28"/>
        </w:rPr>
        <w:t xml:space="preserve"> Andrew Hurwitz</w:t>
      </w:r>
      <w:r w:rsidR="00DE6110">
        <w:rPr>
          <w:rStyle w:val="FootnoteReference"/>
          <w:color w:val="000000"/>
          <w:sz w:val="28"/>
          <w:szCs w:val="28"/>
        </w:rPr>
        <w:footnoteReference w:id="1"/>
      </w:r>
      <w:r w:rsidR="006C15E8">
        <w:rPr>
          <w:color w:val="000000"/>
          <w:sz w:val="28"/>
          <w:szCs w:val="28"/>
        </w:rPr>
        <w:t xml:space="preserve"> </w:t>
      </w:r>
      <w:r>
        <w:rPr>
          <w:color w:val="000000"/>
          <w:sz w:val="28"/>
          <w:szCs w:val="28"/>
        </w:rPr>
        <w:t xml:space="preserve">had </w:t>
      </w:r>
      <w:r w:rsidR="00577B6E">
        <w:rPr>
          <w:color w:val="000000"/>
          <w:sz w:val="28"/>
          <w:szCs w:val="28"/>
        </w:rPr>
        <w:t xml:space="preserve">contacted </w:t>
      </w:r>
      <w:r w:rsidR="006C15E8">
        <w:rPr>
          <w:color w:val="000000"/>
          <w:sz w:val="28"/>
          <w:szCs w:val="28"/>
        </w:rPr>
        <w:t>the</w:t>
      </w:r>
      <w:r w:rsidR="00D70447">
        <w:rPr>
          <w:color w:val="000000"/>
          <w:sz w:val="28"/>
          <w:szCs w:val="28"/>
        </w:rPr>
        <w:t xml:space="preserve"> Reporter for the</w:t>
      </w:r>
      <w:r w:rsidR="006C15E8">
        <w:rPr>
          <w:color w:val="000000"/>
          <w:sz w:val="28"/>
          <w:szCs w:val="28"/>
        </w:rPr>
        <w:t xml:space="preserve"> </w:t>
      </w:r>
      <w:r w:rsidR="00CD0C25">
        <w:rPr>
          <w:color w:val="000000"/>
          <w:sz w:val="28"/>
          <w:szCs w:val="28"/>
        </w:rPr>
        <w:t xml:space="preserve">federal </w:t>
      </w:r>
      <w:r w:rsidR="006C15E8" w:rsidRPr="006C15E8">
        <w:rPr>
          <w:color w:val="000000"/>
          <w:sz w:val="28"/>
          <w:szCs w:val="28"/>
        </w:rPr>
        <w:t>Advisory Committee on Evidence Rules</w:t>
      </w:r>
      <w:r w:rsidR="006C15E8">
        <w:rPr>
          <w:color w:val="000000"/>
          <w:sz w:val="28"/>
          <w:szCs w:val="28"/>
        </w:rPr>
        <w:t xml:space="preserve"> </w:t>
      </w:r>
      <w:r w:rsidR="000F08D4">
        <w:rPr>
          <w:color w:val="000000"/>
          <w:sz w:val="28"/>
          <w:szCs w:val="28"/>
        </w:rPr>
        <w:t xml:space="preserve">to </w:t>
      </w:r>
      <w:r w:rsidR="00577B6E">
        <w:rPr>
          <w:color w:val="000000"/>
          <w:sz w:val="28"/>
          <w:szCs w:val="28"/>
        </w:rPr>
        <w:t xml:space="preserve">suggest that </w:t>
      </w:r>
      <w:r w:rsidR="006C15E8">
        <w:rPr>
          <w:color w:val="000000"/>
          <w:sz w:val="28"/>
          <w:szCs w:val="28"/>
        </w:rPr>
        <w:t xml:space="preserve">Federal Rule of Evidence 902 </w:t>
      </w:r>
      <w:r w:rsidR="00577B6E">
        <w:rPr>
          <w:color w:val="000000"/>
          <w:sz w:val="28"/>
          <w:szCs w:val="28"/>
        </w:rPr>
        <w:t xml:space="preserve">be amended </w:t>
      </w:r>
      <w:r w:rsidR="006C15E8">
        <w:rPr>
          <w:color w:val="000000"/>
          <w:sz w:val="28"/>
          <w:szCs w:val="28"/>
        </w:rPr>
        <w:t xml:space="preserve">to </w:t>
      </w:r>
      <w:r w:rsidR="008016F9">
        <w:rPr>
          <w:color w:val="000000"/>
          <w:sz w:val="28"/>
          <w:szCs w:val="28"/>
        </w:rPr>
        <w:t xml:space="preserve">add </w:t>
      </w:r>
      <w:r w:rsidR="006C15E8" w:rsidRPr="006C15E8">
        <w:rPr>
          <w:color w:val="000000"/>
          <w:sz w:val="28"/>
          <w:szCs w:val="28"/>
        </w:rPr>
        <w:t>federally</w:t>
      </w:r>
      <w:r w:rsidR="008016F9">
        <w:rPr>
          <w:color w:val="000000"/>
          <w:sz w:val="28"/>
          <w:szCs w:val="28"/>
        </w:rPr>
        <w:t xml:space="preserve"> </w:t>
      </w:r>
      <w:r w:rsidR="008016F9" w:rsidRPr="006C15E8">
        <w:rPr>
          <w:color w:val="000000"/>
          <w:sz w:val="28"/>
          <w:szCs w:val="28"/>
        </w:rPr>
        <w:t>re</w:t>
      </w:r>
      <w:r w:rsidR="008016F9">
        <w:rPr>
          <w:color w:val="000000"/>
          <w:sz w:val="28"/>
          <w:szCs w:val="28"/>
        </w:rPr>
        <w:t xml:space="preserve">cognized </w:t>
      </w:r>
      <w:r w:rsidR="006C15E8" w:rsidRPr="006C15E8">
        <w:rPr>
          <w:color w:val="000000"/>
          <w:sz w:val="28"/>
          <w:szCs w:val="28"/>
        </w:rPr>
        <w:t xml:space="preserve">Indian tribes </w:t>
      </w:r>
      <w:r w:rsidR="008016F9">
        <w:rPr>
          <w:color w:val="000000"/>
          <w:sz w:val="28"/>
          <w:szCs w:val="28"/>
        </w:rPr>
        <w:t xml:space="preserve">to </w:t>
      </w:r>
      <w:r w:rsidR="006C15E8" w:rsidRPr="006C15E8">
        <w:rPr>
          <w:color w:val="000000"/>
          <w:sz w:val="28"/>
          <w:szCs w:val="28"/>
        </w:rPr>
        <w:t xml:space="preserve">the list of </w:t>
      </w:r>
      <w:r w:rsidR="00F530A8">
        <w:rPr>
          <w:color w:val="000000"/>
          <w:sz w:val="28"/>
          <w:szCs w:val="28"/>
        </w:rPr>
        <w:t xml:space="preserve">government </w:t>
      </w:r>
      <w:r w:rsidR="006C15E8" w:rsidRPr="006C15E8">
        <w:rPr>
          <w:color w:val="000000"/>
          <w:sz w:val="28"/>
          <w:szCs w:val="28"/>
        </w:rPr>
        <w:t xml:space="preserve">entities that </w:t>
      </w:r>
      <w:r w:rsidR="008016F9">
        <w:rPr>
          <w:color w:val="000000"/>
          <w:sz w:val="28"/>
          <w:szCs w:val="28"/>
        </w:rPr>
        <w:t xml:space="preserve">can </w:t>
      </w:r>
      <w:r w:rsidR="006C15E8" w:rsidRPr="006C15E8">
        <w:rPr>
          <w:color w:val="000000"/>
          <w:sz w:val="28"/>
          <w:szCs w:val="28"/>
        </w:rPr>
        <w:t xml:space="preserve">issue self-authenticating </w:t>
      </w:r>
      <w:r w:rsidR="00F530A8">
        <w:rPr>
          <w:color w:val="000000"/>
          <w:sz w:val="28"/>
          <w:szCs w:val="28"/>
        </w:rPr>
        <w:t xml:space="preserve">public </w:t>
      </w:r>
      <w:r w:rsidR="006C15E8" w:rsidRPr="006C15E8">
        <w:rPr>
          <w:color w:val="000000"/>
          <w:sz w:val="28"/>
          <w:szCs w:val="28"/>
        </w:rPr>
        <w:t>documents</w:t>
      </w:r>
      <w:r w:rsidR="008016F9">
        <w:rPr>
          <w:color w:val="000000"/>
          <w:sz w:val="28"/>
          <w:szCs w:val="28"/>
        </w:rPr>
        <w:t xml:space="preserve">. </w:t>
      </w:r>
      <w:r>
        <w:rPr>
          <w:color w:val="000000"/>
          <w:sz w:val="28"/>
          <w:szCs w:val="28"/>
        </w:rPr>
        <w:t>The ruling was in</w:t>
      </w:r>
      <w:r w:rsidR="00BA576D">
        <w:rPr>
          <w:color w:val="000000"/>
          <w:sz w:val="28"/>
          <w:szCs w:val="28"/>
        </w:rPr>
        <w:t xml:space="preserve"> </w:t>
      </w:r>
      <w:r w:rsidR="00577B6E">
        <w:rPr>
          <w:color w:val="000000"/>
          <w:sz w:val="28"/>
          <w:szCs w:val="28"/>
        </w:rPr>
        <w:t>the</w:t>
      </w:r>
      <w:r w:rsidR="008016F9">
        <w:rPr>
          <w:color w:val="000000"/>
          <w:sz w:val="28"/>
          <w:szCs w:val="28"/>
        </w:rPr>
        <w:t xml:space="preserve"> case of </w:t>
      </w:r>
      <w:r w:rsidR="008016F9" w:rsidRPr="008016F9">
        <w:rPr>
          <w:i/>
          <w:iCs/>
          <w:color w:val="000000"/>
          <w:sz w:val="28"/>
          <w:szCs w:val="28"/>
        </w:rPr>
        <w:t>United States v. Alvirez</w:t>
      </w:r>
      <w:r>
        <w:rPr>
          <w:color w:val="000000"/>
          <w:sz w:val="28"/>
          <w:szCs w:val="28"/>
        </w:rPr>
        <w:t>, which held</w:t>
      </w:r>
      <w:r w:rsidR="008016F9">
        <w:rPr>
          <w:color w:val="000000"/>
          <w:sz w:val="28"/>
          <w:szCs w:val="28"/>
        </w:rPr>
        <w:t xml:space="preserve"> </w:t>
      </w:r>
      <w:r w:rsidR="006C15E8" w:rsidRPr="006C15E8">
        <w:rPr>
          <w:color w:val="000000"/>
          <w:sz w:val="28"/>
          <w:szCs w:val="28"/>
        </w:rPr>
        <w:t xml:space="preserve">that documents bearing the seal of </w:t>
      </w:r>
      <w:r w:rsidR="008016F9">
        <w:rPr>
          <w:color w:val="000000"/>
          <w:sz w:val="28"/>
          <w:szCs w:val="28"/>
        </w:rPr>
        <w:t xml:space="preserve">the </w:t>
      </w:r>
      <w:r w:rsidR="008016F9" w:rsidRPr="008016F9">
        <w:rPr>
          <w:color w:val="000000"/>
          <w:sz w:val="28"/>
          <w:szCs w:val="28"/>
        </w:rPr>
        <w:t>Colorado River Indian Tribe</w:t>
      </w:r>
      <w:r w:rsidR="008016F9">
        <w:rPr>
          <w:color w:val="000000"/>
          <w:sz w:val="28"/>
          <w:szCs w:val="28"/>
        </w:rPr>
        <w:t xml:space="preserve">s, a </w:t>
      </w:r>
      <w:r w:rsidR="006C15E8" w:rsidRPr="006C15E8">
        <w:rPr>
          <w:color w:val="000000"/>
          <w:sz w:val="28"/>
          <w:szCs w:val="28"/>
        </w:rPr>
        <w:t>federally</w:t>
      </w:r>
      <w:r w:rsidR="008016F9">
        <w:rPr>
          <w:color w:val="000000"/>
          <w:sz w:val="28"/>
          <w:szCs w:val="28"/>
        </w:rPr>
        <w:t xml:space="preserve"> </w:t>
      </w:r>
      <w:r w:rsidR="006C15E8" w:rsidRPr="006C15E8">
        <w:rPr>
          <w:color w:val="000000"/>
          <w:sz w:val="28"/>
          <w:szCs w:val="28"/>
        </w:rPr>
        <w:t>recognized Indian tribe</w:t>
      </w:r>
      <w:r w:rsidR="008016F9">
        <w:rPr>
          <w:color w:val="000000"/>
          <w:sz w:val="28"/>
          <w:szCs w:val="28"/>
        </w:rPr>
        <w:t xml:space="preserve">, </w:t>
      </w:r>
      <w:r w:rsidR="006C15E8" w:rsidRPr="006C15E8">
        <w:rPr>
          <w:color w:val="000000"/>
          <w:sz w:val="28"/>
          <w:szCs w:val="28"/>
        </w:rPr>
        <w:t>were not self-authenticating under Rule 902(1)</w:t>
      </w:r>
      <w:r w:rsidR="00CD0C25">
        <w:rPr>
          <w:color w:val="000000"/>
          <w:sz w:val="28"/>
          <w:szCs w:val="28"/>
        </w:rPr>
        <w:t xml:space="preserve"> because Indian Tribes were not included in the list of governmental entities that could sign and seal public documents.</w:t>
      </w:r>
      <w:r w:rsidR="005E4866">
        <w:rPr>
          <w:color w:val="000000"/>
          <w:sz w:val="28"/>
          <w:szCs w:val="28"/>
        </w:rPr>
        <w:t xml:space="preserve"> </w:t>
      </w:r>
      <w:r w:rsidR="0083080B" w:rsidRPr="0083080B">
        <w:rPr>
          <w:i/>
          <w:iCs/>
          <w:color w:val="000000"/>
          <w:sz w:val="28"/>
          <w:szCs w:val="28"/>
        </w:rPr>
        <w:t>United States v. Alvirez</w:t>
      </w:r>
      <w:r w:rsidR="00FF40B2">
        <w:rPr>
          <w:color w:val="000000"/>
          <w:sz w:val="28"/>
          <w:szCs w:val="28"/>
        </w:rPr>
        <w:t>,</w:t>
      </w:r>
      <w:r w:rsidR="0083080B" w:rsidRPr="0083080B">
        <w:rPr>
          <w:color w:val="000000"/>
          <w:sz w:val="28"/>
          <w:szCs w:val="28"/>
        </w:rPr>
        <w:t xml:space="preserve"> 831 F.3d 1115</w:t>
      </w:r>
      <w:r>
        <w:rPr>
          <w:color w:val="000000"/>
          <w:sz w:val="28"/>
          <w:szCs w:val="28"/>
        </w:rPr>
        <w:t>, 1122</w:t>
      </w:r>
      <w:r w:rsidR="0083080B" w:rsidRPr="0083080B">
        <w:rPr>
          <w:color w:val="000000"/>
          <w:sz w:val="28"/>
          <w:szCs w:val="28"/>
        </w:rPr>
        <w:t xml:space="preserve"> (9th Cir. 2016)</w:t>
      </w:r>
      <w:r w:rsidR="0083080B">
        <w:rPr>
          <w:color w:val="000000"/>
          <w:sz w:val="28"/>
          <w:szCs w:val="28"/>
        </w:rPr>
        <w:t>.</w:t>
      </w:r>
    </w:p>
    <w:p w14:paraId="157FCE25" w14:textId="2B377502" w:rsidR="00666F4E" w:rsidRDefault="00666F4E" w:rsidP="0026090C">
      <w:pPr>
        <w:pStyle w:val="NormalWeb"/>
        <w:spacing w:before="240" w:line="480" w:lineRule="auto"/>
        <w:ind w:firstLine="720"/>
        <w:contextualSpacing/>
        <w:jc w:val="both"/>
        <w:rPr>
          <w:color w:val="000000"/>
          <w:sz w:val="28"/>
          <w:szCs w:val="28"/>
        </w:rPr>
      </w:pPr>
      <w:r>
        <w:rPr>
          <w:color w:val="000000"/>
          <w:sz w:val="28"/>
          <w:szCs w:val="28"/>
        </w:rPr>
        <w:t>“</w:t>
      </w:r>
      <w:r w:rsidR="00CD4B56">
        <w:rPr>
          <w:color w:val="000000"/>
          <w:sz w:val="28"/>
          <w:szCs w:val="28"/>
        </w:rPr>
        <w:t>F</w:t>
      </w:r>
      <w:r w:rsidR="006C15E8" w:rsidRPr="006C15E8">
        <w:rPr>
          <w:color w:val="000000"/>
          <w:sz w:val="28"/>
          <w:szCs w:val="28"/>
        </w:rPr>
        <w:t>ollowing a wide-ranging discussion</w:t>
      </w:r>
      <w:r w:rsidR="00CD3EB3">
        <w:rPr>
          <w:color w:val="000000"/>
          <w:sz w:val="28"/>
          <w:szCs w:val="28"/>
        </w:rPr>
        <w:t>,</w:t>
      </w:r>
      <w:r w:rsidR="00BA576D">
        <w:rPr>
          <w:color w:val="000000"/>
          <w:sz w:val="28"/>
          <w:szCs w:val="28"/>
        </w:rPr>
        <w:t>”</w:t>
      </w:r>
      <w:r w:rsidR="006C15E8" w:rsidRPr="006C15E8">
        <w:rPr>
          <w:color w:val="000000"/>
          <w:sz w:val="28"/>
          <w:szCs w:val="28"/>
        </w:rPr>
        <w:t xml:space="preserve"> </w:t>
      </w:r>
      <w:r w:rsidR="00BA576D">
        <w:rPr>
          <w:color w:val="000000"/>
          <w:sz w:val="28"/>
          <w:szCs w:val="28"/>
        </w:rPr>
        <w:t>th</w:t>
      </w:r>
      <w:r w:rsidR="00BA576D" w:rsidRPr="00BA576D">
        <w:rPr>
          <w:color w:val="000000"/>
          <w:sz w:val="28"/>
          <w:szCs w:val="28"/>
        </w:rPr>
        <w:t>e federal Advisory Committee on Evidence Rules</w:t>
      </w:r>
      <w:r>
        <w:rPr>
          <w:color w:val="000000"/>
          <w:sz w:val="28"/>
          <w:szCs w:val="28"/>
        </w:rPr>
        <w:t xml:space="preserve"> </w:t>
      </w:r>
      <w:r w:rsidR="00BA576D">
        <w:rPr>
          <w:color w:val="000000"/>
          <w:sz w:val="28"/>
          <w:szCs w:val="28"/>
        </w:rPr>
        <w:t>“</w:t>
      </w:r>
      <w:r w:rsidR="006C15E8" w:rsidRPr="006C15E8">
        <w:rPr>
          <w:color w:val="000000"/>
          <w:sz w:val="28"/>
          <w:szCs w:val="28"/>
        </w:rPr>
        <w:t xml:space="preserve">concluded that it should not proceed </w:t>
      </w:r>
      <w:r w:rsidR="00DE6110">
        <w:rPr>
          <w:color w:val="000000"/>
          <w:sz w:val="28"/>
          <w:szCs w:val="28"/>
        </w:rPr>
        <w:t>. . .</w:t>
      </w:r>
      <w:r w:rsidR="00DE6110" w:rsidRPr="006C15E8">
        <w:rPr>
          <w:color w:val="000000"/>
          <w:sz w:val="28"/>
          <w:szCs w:val="28"/>
        </w:rPr>
        <w:t xml:space="preserve"> </w:t>
      </w:r>
      <w:r w:rsidR="006C15E8" w:rsidRPr="006C15E8">
        <w:rPr>
          <w:color w:val="000000"/>
          <w:sz w:val="28"/>
          <w:szCs w:val="28"/>
        </w:rPr>
        <w:t>to consider an amendment to Rule 902</w:t>
      </w:r>
      <w:r>
        <w:rPr>
          <w:color w:val="000000"/>
          <w:sz w:val="28"/>
          <w:szCs w:val="28"/>
        </w:rPr>
        <w:t xml:space="preserve"> </w:t>
      </w:r>
      <w:r w:rsidR="00DE6110">
        <w:rPr>
          <w:color w:val="000000"/>
          <w:sz w:val="28"/>
          <w:szCs w:val="28"/>
        </w:rPr>
        <w:t>. . .</w:t>
      </w:r>
      <w:r>
        <w:rPr>
          <w:color w:val="000000"/>
          <w:sz w:val="28"/>
          <w:szCs w:val="28"/>
        </w:rPr>
        <w:t xml:space="preserve"> </w:t>
      </w:r>
      <w:r w:rsidR="006C15E8" w:rsidRPr="006C15E8">
        <w:rPr>
          <w:color w:val="000000"/>
          <w:sz w:val="28"/>
          <w:szCs w:val="28"/>
        </w:rPr>
        <w:t>because the treatment of Indian tribal documents raises questions that potentially impact rules other than the Evidence Rules</w:t>
      </w:r>
      <w:r>
        <w:rPr>
          <w:color w:val="000000"/>
          <w:sz w:val="28"/>
          <w:szCs w:val="28"/>
        </w:rPr>
        <w:t>.”</w:t>
      </w:r>
      <w:r w:rsidR="00BA576D">
        <w:rPr>
          <w:rStyle w:val="FootnoteReference"/>
          <w:color w:val="000000"/>
          <w:sz w:val="28"/>
          <w:szCs w:val="28"/>
        </w:rPr>
        <w:footnoteReference w:id="2"/>
      </w:r>
    </w:p>
    <w:p w14:paraId="4C6491F1" w14:textId="2BA59E1C" w:rsidR="00AD2359" w:rsidRDefault="00AD2359" w:rsidP="0026090C">
      <w:pPr>
        <w:pStyle w:val="NormalWeb"/>
        <w:spacing w:before="240" w:line="480" w:lineRule="auto"/>
        <w:ind w:firstLine="720"/>
        <w:contextualSpacing/>
        <w:jc w:val="both"/>
        <w:rPr>
          <w:color w:val="000000"/>
          <w:sz w:val="28"/>
          <w:szCs w:val="28"/>
        </w:rPr>
      </w:pPr>
      <w:r>
        <w:rPr>
          <w:color w:val="000000"/>
          <w:sz w:val="28"/>
          <w:szCs w:val="28"/>
        </w:rPr>
        <w:lastRenderedPageBreak/>
        <w:t>After considered discussion itself, our Committee voted unanimously to file this Comment supporting the Petition for the change here, and the Committee does not harbor concerns that the rule change will negatively impact other Arizona rules or pose difficulties by slightly differing from the federal rule. Indeed, a neighboring state has had this particular change in its rules for more than a decade without any noted ill effects.</w:t>
      </w:r>
    </w:p>
    <w:p w14:paraId="75C0C66A" w14:textId="11B3404F" w:rsidR="00BA576D" w:rsidRPr="00CD0C25" w:rsidRDefault="00CD0C25" w:rsidP="00CD0C25">
      <w:pPr>
        <w:pStyle w:val="NormalWeb"/>
        <w:spacing w:before="240" w:line="480" w:lineRule="auto"/>
        <w:contextualSpacing/>
        <w:jc w:val="center"/>
        <w:rPr>
          <w:b/>
          <w:bCs/>
          <w:caps/>
          <w:color w:val="000000"/>
          <w:sz w:val="28"/>
          <w:szCs w:val="28"/>
        </w:rPr>
      </w:pPr>
      <w:r w:rsidRPr="00CD0C25">
        <w:rPr>
          <w:b/>
          <w:bCs/>
          <w:caps/>
          <w:color w:val="000000"/>
          <w:sz w:val="28"/>
          <w:szCs w:val="28"/>
        </w:rPr>
        <w:t>The Forum’s Petition</w:t>
      </w:r>
    </w:p>
    <w:p w14:paraId="5CA96FBD" w14:textId="2F080CB8" w:rsidR="003538F9" w:rsidRDefault="00CD0C25" w:rsidP="003538F9">
      <w:pPr>
        <w:pStyle w:val="NormalWeb"/>
        <w:spacing w:before="240" w:line="480" w:lineRule="auto"/>
        <w:ind w:firstLine="720"/>
        <w:contextualSpacing/>
        <w:jc w:val="both"/>
        <w:rPr>
          <w:sz w:val="28"/>
          <w:szCs w:val="28"/>
        </w:rPr>
      </w:pPr>
      <w:r>
        <w:rPr>
          <w:color w:val="000000"/>
          <w:sz w:val="28"/>
          <w:szCs w:val="28"/>
        </w:rPr>
        <w:t>In its petition, the Forum points out that the New Mexico Supreme Court</w:t>
      </w:r>
      <w:r w:rsidR="005E4866">
        <w:rPr>
          <w:color w:val="000000"/>
          <w:sz w:val="28"/>
          <w:szCs w:val="28"/>
        </w:rPr>
        <w:t xml:space="preserve"> in 2012</w:t>
      </w:r>
      <w:r>
        <w:rPr>
          <w:color w:val="000000"/>
          <w:sz w:val="28"/>
          <w:szCs w:val="28"/>
        </w:rPr>
        <w:t xml:space="preserve"> added </w:t>
      </w:r>
      <w:r w:rsidRPr="00CD0C25">
        <w:rPr>
          <w:color w:val="000000"/>
          <w:sz w:val="28"/>
          <w:szCs w:val="28"/>
        </w:rPr>
        <w:t xml:space="preserve">“Federally Recognized American Indian Tribe or Nation” to the list of government seals that would make a document self-authenticating under </w:t>
      </w:r>
      <w:r w:rsidR="003538F9">
        <w:rPr>
          <w:color w:val="000000"/>
          <w:sz w:val="28"/>
          <w:szCs w:val="28"/>
        </w:rPr>
        <w:t>P</w:t>
      </w:r>
      <w:r w:rsidRPr="00CD0C25">
        <w:rPr>
          <w:color w:val="000000"/>
          <w:sz w:val="28"/>
          <w:szCs w:val="28"/>
        </w:rPr>
        <w:t>aragraph (1)(a) of its Rule 11-902.</w:t>
      </w:r>
      <w:r w:rsidR="003538F9">
        <w:rPr>
          <w:color w:val="000000"/>
          <w:sz w:val="28"/>
          <w:szCs w:val="28"/>
        </w:rPr>
        <w:t xml:space="preserve"> The Forum further suggests that “[t]</w:t>
      </w:r>
      <w:r w:rsidR="003538F9">
        <w:rPr>
          <w:sz w:val="28"/>
          <w:szCs w:val="28"/>
        </w:rPr>
        <w:t xml:space="preserve">he proposed amendment </w:t>
      </w:r>
      <w:r w:rsidR="00F530A8">
        <w:rPr>
          <w:sz w:val="28"/>
          <w:szCs w:val="28"/>
        </w:rPr>
        <w:t>[</w:t>
      </w:r>
      <w:r w:rsidR="005E4866">
        <w:rPr>
          <w:sz w:val="28"/>
          <w:szCs w:val="28"/>
        </w:rPr>
        <w:t>t</w:t>
      </w:r>
      <w:r w:rsidR="00F530A8">
        <w:rPr>
          <w:sz w:val="28"/>
          <w:szCs w:val="28"/>
        </w:rPr>
        <w:t xml:space="preserve">o the Arizona rule] </w:t>
      </w:r>
      <w:r w:rsidR="003538F9">
        <w:rPr>
          <w:sz w:val="28"/>
          <w:szCs w:val="28"/>
        </w:rPr>
        <w:t>would ensure consistency across cases and across the jurisdictional boundaries of the neighboring states of New Mexico and Arizona, which include the Navajo Nation, a federally recognized tribe that straddles the New Mexico and Arizona border. Amending the rule would be efficient, promote fairness, and eliminate unjustifiable expense and delay.”</w:t>
      </w:r>
      <w:r w:rsidR="0019754C">
        <w:rPr>
          <w:sz w:val="28"/>
          <w:szCs w:val="28"/>
        </w:rPr>
        <w:t xml:space="preserve"> (Pet’n, at 3.)</w:t>
      </w:r>
    </w:p>
    <w:p w14:paraId="62DCCD54" w14:textId="218870F8" w:rsidR="00CD3EB3" w:rsidRDefault="00CD4B56" w:rsidP="003538F9">
      <w:pPr>
        <w:pStyle w:val="NormalWeb"/>
        <w:spacing w:before="240" w:line="480" w:lineRule="auto"/>
        <w:ind w:firstLine="720"/>
        <w:contextualSpacing/>
        <w:jc w:val="both"/>
        <w:rPr>
          <w:sz w:val="28"/>
          <w:szCs w:val="28"/>
        </w:rPr>
      </w:pPr>
      <w:r>
        <w:rPr>
          <w:sz w:val="28"/>
          <w:szCs w:val="28"/>
        </w:rPr>
        <w:t>///</w:t>
      </w:r>
    </w:p>
    <w:p w14:paraId="0DE39291" w14:textId="6CB0228E" w:rsidR="00CD4B56" w:rsidRDefault="00CD4B56" w:rsidP="003538F9">
      <w:pPr>
        <w:pStyle w:val="NormalWeb"/>
        <w:spacing w:before="240" w:line="480" w:lineRule="auto"/>
        <w:ind w:firstLine="720"/>
        <w:contextualSpacing/>
        <w:jc w:val="both"/>
        <w:rPr>
          <w:sz w:val="28"/>
          <w:szCs w:val="28"/>
        </w:rPr>
      </w:pPr>
      <w:r>
        <w:rPr>
          <w:sz w:val="28"/>
          <w:szCs w:val="28"/>
        </w:rPr>
        <w:t>///</w:t>
      </w:r>
    </w:p>
    <w:p w14:paraId="6B7460EF" w14:textId="65987DF3" w:rsidR="00CD4B56" w:rsidRDefault="00CD4B56" w:rsidP="003538F9">
      <w:pPr>
        <w:pStyle w:val="NormalWeb"/>
        <w:spacing w:before="240" w:line="480" w:lineRule="auto"/>
        <w:ind w:firstLine="720"/>
        <w:contextualSpacing/>
        <w:jc w:val="both"/>
        <w:rPr>
          <w:sz w:val="28"/>
          <w:szCs w:val="28"/>
        </w:rPr>
      </w:pPr>
      <w:r>
        <w:rPr>
          <w:sz w:val="28"/>
          <w:szCs w:val="28"/>
        </w:rPr>
        <w:t>///</w:t>
      </w:r>
    </w:p>
    <w:p w14:paraId="720A5EC9" w14:textId="6AD8D8D6" w:rsidR="00501058" w:rsidRPr="00501058" w:rsidRDefault="00501058" w:rsidP="00501058">
      <w:pPr>
        <w:pStyle w:val="NormalWeb"/>
        <w:spacing w:before="240" w:line="480" w:lineRule="auto"/>
        <w:contextualSpacing/>
        <w:jc w:val="center"/>
        <w:rPr>
          <w:b/>
          <w:bCs/>
          <w:sz w:val="28"/>
          <w:szCs w:val="28"/>
        </w:rPr>
      </w:pPr>
      <w:r>
        <w:rPr>
          <w:b/>
          <w:bCs/>
          <w:sz w:val="28"/>
          <w:szCs w:val="28"/>
        </w:rPr>
        <w:lastRenderedPageBreak/>
        <w:t xml:space="preserve">THE </w:t>
      </w:r>
      <w:r w:rsidR="000F08D4">
        <w:rPr>
          <w:b/>
          <w:bCs/>
          <w:sz w:val="28"/>
          <w:szCs w:val="28"/>
        </w:rPr>
        <w:t xml:space="preserve">SUPREME </w:t>
      </w:r>
      <w:r>
        <w:rPr>
          <w:b/>
          <w:bCs/>
          <w:sz w:val="28"/>
          <w:szCs w:val="28"/>
        </w:rPr>
        <w:t>COURT SHOULD APPROVE THE PETITION</w:t>
      </w:r>
    </w:p>
    <w:p w14:paraId="2178423F" w14:textId="023868AD" w:rsidR="00E95E6A" w:rsidRDefault="00501058" w:rsidP="00E95E6A">
      <w:pPr>
        <w:pStyle w:val="NormalWeb"/>
        <w:spacing w:before="240" w:line="480" w:lineRule="auto"/>
        <w:ind w:firstLine="720"/>
        <w:contextualSpacing/>
        <w:jc w:val="both"/>
        <w:rPr>
          <w:sz w:val="28"/>
          <w:szCs w:val="28"/>
        </w:rPr>
      </w:pPr>
      <w:r>
        <w:rPr>
          <w:sz w:val="28"/>
          <w:szCs w:val="28"/>
        </w:rPr>
        <w:t>Arizona is home to 22 federally recognized Indian Tribes or Nations.</w:t>
      </w:r>
      <w:r>
        <w:rPr>
          <w:rStyle w:val="FootnoteReference"/>
          <w:sz w:val="28"/>
          <w:szCs w:val="28"/>
        </w:rPr>
        <w:footnoteReference w:id="3"/>
      </w:r>
      <w:r>
        <w:rPr>
          <w:sz w:val="28"/>
          <w:szCs w:val="28"/>
        </w:rPr>
        <w:t xml:space="preserve">  Consequently, </w:t>
      </w:r>
      <w:r w:rsidR="00577B6E">
        <w:rPr>
          <w:sz w:val="28"/>
          <w:szCs w:val="28"/>
        </w:rPr>
        <w:t xml:space="preserve">from time to time, </w:t>
      </w:r>
      <w:r>
        <w:rPr>
          <w:sz w:val="28"/>
          <w:szCs w:val="28"/>
        </w:rPr>
        <w:t xml:space="preserve">Arizona courts </w:t>
      </w:r>
      <w:r w:rsidR="00577B6E">
        <w:rPr>
          <w:sz w:val="28"/>
          <w:szCs w:val="28"/>
        </w:rPr>
        <w:t xml:space="preserve">are asked to determine whether </w:t>
      </w:r>
      <w:r>
        <w:rPr>
          <w:sz w:val="28"/>
          <w:szCs w:val="28"/>
        </w:rPr>
        <w:t>public documents from Indian Tribes and Nations</w:t>
      </w:r>
      <w:r w:rsidR="00577B6E">
        <w:rPr>
          <w:sz w:val="28"/>
          <w:szCs w:val="28"/>
        </w:rPr>
        <w:t xml:space="preserve"> are admissible</w:t>
      </w:r>
      <w:r>
        <w:rPr>
          <w:sz w:val="28"/>
          <w:szCs w:val="28"/>
        </w:rPr>
        <w:t>.</w:t>
      </w:r>
      <w:r w:rsidR="0003170D">
        <w:rPr>
          <w:sz w:val="28"/>
          <w:szCs w:val="28"/>
        </w:rPr>
        <w:t xml:space="preserve"> </w:t>
      </w:r>
      <w:r w:rsidR="003731B7">
        <w:rPr>
          <w:sz w:val="28"/>
          <w:szCs w:val="28"/>
        </w:rPr>
        <w:t xml:space="preserve">For example, in a child dependency case, when determining whether the federal Indian Child Welfare Act applies, the juvenile court must determine whether the child is an “Indian child.” 25 U.S.C. </w:t>
      </w:r>
      <w:r w:rsidR="00E95E6A">
        <w:rPr>
          <w:sz w:val="28"/>
          <w:szCs w:val="28"/>
        </w:rPr>
        <w:t>§ 1903(3) and (4). To make that determination, juvenile court</w:t>
      </w:r>
      <w:r w:rsidR="005E4866">
        <w:rPr>
          <w:sz w:val="28"/>
          <w:szCs w:val="28"/>
        </w:rPr>
        <w:t>s</w:t>
      </w:r>
      <w:r w:rsidR="00E95E6A">
        <w:rPr>
          <w:sz w:val="28"/>
          <w:szCs w:val="28"/>
        </w:rPr>
        <w:t xml:space="preserve"> rely on information provided by the Indian Tribe or Nation.  25</w:t>
      </w:r>
      <w:r w:rsidR="000F08D4">
        <w:rPr>
          <w:sz w:val="28"/>
          <w:szCs w:val="28"/>
        </w:rPr>
        <w:t> </w:t>
      </w:r>
      <w:r w:rsidR="00E95E6A">
        <w:rPr>
          <w:sz w:val="28"/>
          <w:szCs w:val="28"/>
        </w:rPr>
        <w:t xml:space="preserve">C.F.R. § 23.108. Tribes and Nations may provide </w:t>
      </w:r>
      <w:r w:rsidR="00E95E6A" w:rsidRPr="003731B7">
        <w:rPr>
          <w:sz w:val="28"/>
          <w:szCs w:val="28"/>
        </w:rPr>
        <w:t>Tribal enrollment documentation</w:t>
      </w:r>
      <w:r w:rsidR="00E95E6A">
        <w:rPr>
          <w:sz w:val="28"/>
          <w:szCs w:val="28"/>
        </w:rPr>
        <w:t xml:space="preserve"> to show enrollment.  </w:t>
      </w:r>
      <w:r w:rsidR="00E95E6A">
        <w:rPr>
          <w:i/>
          <w:iCs/>
          <w:sz w:val="28"/>
          <w:szCs w:val="28"/>
        </w:rPr>
        <w:t>Id</w:t>
      </w:r>
      <w:r w:rsidR="00E95E6A" w:rsidRPr="003731B7">
        <w:rPr>
          <w:sz w:val="28"/>
          <w:szCs w:val="28"/>
        </w:rPr>
        <w:t xml:space="preserve">. </w:t>
      </w:r>
    </w:p>
    <w:p w14:paraId="090F61AA" w14:textId="366DAA1A" w:rsidR="00E95E6A" w:rsidRDefault="00E95E6A" w:rsidP="00E95E6A">
      <w:pPr>
        <w:pStyle w:val="NormalWeb"/>
        <w:spacing w:before="240" w:line="480" w:lineRule="auto"/>
        <w:ind w:firstLine="720"/>
        <w:contextualSpacing/>
        <w:jc w:val="both"/>
        <w:rPr>
          <w:sz w:val="28"/>
          <w:szCs w:val="28"/>
        </w:rPr>
      </w:pPr>
      <w:r>
        <w:rPr>
          <w:sz w:val="28"/>
          <w:szCs w:val="28"/>
        </w:rPr>
        <w:t xml:space="preserve">This type of enrollment documentation </w:t>
      </w:r>
      <w:r w:rsidR="00FF40B2">
        <w:rPr>
          <w:sz w:val="28"/>
          <w:szCs w:val="28"/>
        </w:rPr>
        <w:t xml:space="preserve">provided by </w:t>
      </w:r>
      <w:r w:rsidR="002E3262">
        <w:rPr>
          <w:sz w:val="28"/>
          <w:szCs w:val="28"/>
        </w:rPr>
        <w:t xml:space="preserve">an Indian Tribe or Nation </w:t>
      </w:r>
      <w:r w:rsidR="006458AA">
        <w:rPr>
          <w:sz w:val="28"/>
          <w:szCs w:val="28"/>
        </w:rPr>
        <w:t>is</w:t>
      </w:r>
      <w:r w:rsidR="002E3262">
        <w:rPr>
          <w:sz w:val="28"/>
          <w:szCs w:val="28"/>
        </w:rPr>
        <w:t xml:space="preserve"> the</w:t>
      </w:r>
      <w:r w:rsidR="00FF40B2">
        <w:rPr>
          <w:sz w:val="28"/>
          <w:szCs w:val="28"/>
        </w:rPr>
        <w:t xml:space="preserve"> </w:t>
      </w:r>
      <w:r w:rsidR="002E3262">
        <w:rPr>
          <w:sz w:val="28"/>
          <w:szCs w:val="28"/>
        </w:rPr>
        <w:t xml:space="preserve">evidence the Ninth Circuit </w:t>
      </w:r>
      <w:r w:rsidR="00FF40B2">
        <w:rPr>
          <w:sz w:val="28"/>
          <w:szCs w:val="28"/>
        </w:rPr>
        <w:t xml:space="preserve">said </w:t>
      </w:r>
      <w:r w:rsidR="006458AA">
        <w:rPr>
          <w:sz w:val="28"/>
          <w:szCs w:val="28"/>
        </w:rPr>
        <w:t xml:space="preserve">was </w:t>
      </w:r>
      <w:r w:rsidR="002E3262">
        <w:rPr>
          <w:sz w:val="28"/>
          <w:szCs w:val="28"/>
        </w:rPr>
        <w:t>not self-authenticat</w:t>
      </w:r>
      <w:r w:rsidR="006458AA">
        <w:rPr>
          <w:sz w:val="28"/>
          <w:szCs w:val="28"/>
        </w:rPr>
        <w:t>ing</w:t>
      </w:r>
      <w:r w:rsidR="002E3262">
        <w:rPr>
          <w:sz w:val="28"/>
          <w:szCs w:val="28"/>
        </w:rPr>
        <w:t xml:space="preserve"> because Indian Tribes and Nations </w:t>
      </w:r>
      <w:r w:rsidR="006458AA">
        <w:rPr>
          <w:sz w:val="28"/>
          <w:szCs w:val="28"/>
        </w:rPr>
        <w:t>are</w:t>
      </w:r>
      <w:r w:rsidR="002E3262">
        <w:rPr>
          <w:sz w:val="28"/>
          <w:szCs w:val="28"/>
        </w:rPr>
        <w:t xml:space="preserve"> not </w:t>
      </w:r>
      <w:r w:rsidR="005E4866">
        <w:rPr>
          <w:sz w:val="28"/>
          <w:szCs w:val="28"/>
        </w:rPr>
        <w:t xml:space="preserve">presently </w:t>
      </w:r>
      <w:r w:rsidR="002E3262">
        <w:rPr>
          <w:sz w:val="28"/>
          <w:szCs w:val="28"/>
        </w:rPr>
        <w:t xml:space="preserve">included on the list of government entities in </w:t>
      </w:r>
      <w:r w:rsidR="002E3262">
        <w:rPr>
          <w:sz w:val="28"/>
          <w:szCs w:val="28"/>
        </w:rPr>
        <w:lastRenderedPageBreak/>
        <w:t>Federal Rule of Evidence 902(</w:t>
      </w:r>
      <w:r w:rsidR="002D1CBC">
        <w:rPr>
          <w:sz w:val="28"/>
          <w:szCs w:val="28"/>
        </w:rPr>
        <w:t>1</w:t>
      </w:r>
      <w:r w:rsidR="002E3262">
        <w:rPr>
          <w:sz w:val="28"/>
          <w:szCs w:val="28"/>
        </w:rPr>
        <w:t>)(</w:t>
      </w:r>
      <w:r w:rsidR="002D1CBC">
        <w:rPr>
          <w:sz w:val="28"/>
          <w:szCs w:val="28"/>
        </w:rPr>
        <w:t>A</w:t>
      </w:r>
      <w:r w:rsidR="002E3262">
        <w:rPr>
          <w:sz w:val="28"/>
          <w:szCs w:val="28"/>
        </w:rPr>
        <w:t xml:space="preserve">) </w:t>
      </w:r>
      <w:r w:rsidR="00FF40B2">
        <w:rPr>
          <w:sz w:val="28"/>
          <w:szCs w:val="28"/>
        </w:rPr>
        <w:t>whose public documents are self-authenticating</w:t>
      </w:r>
      <w:r w:rsidR="002E3262">
        <w:rPr>
          <w:sz w:val="28"/>
          <w:szCs w:val="28"/>
        </w:rPr>
        <w:t>.  Specifically, the Ninth Circuit overruled the trial judge’s ruling a</w:t>
      </w:r>
      <w:r w:rsidR="006458AA">
        <w:rPr>
          <w:sz w:val="28"/>
          <w:szCs w:val="28"/>
        </w:rPr>
        <w:t>dmitt</w:t>
      </w:r>
      <w:r w:rsidR="00182267">
        <w:rPr>
          <w:sz w:val="28"/>
          <w:szCs w:val="28"/>
        </w:rPr>
        <w:t>ing as self-authenticating</w:t>
      </w:r>
      <w:r w:rsidR="006458AA">
        <w:rPr>
          <w:sz w:val="28"/>
          <w:szCs w:val="28"/>
        </w:rPr>
        <w:t xml:space="preserve"> a</w:t>
      </w:r>
      <w:r w:rsidR="002E3262">
        <w:rPr>
          <w:sz w:val="28"/>
          <w:szCs w:val="28"/>
        </w:rPr>
        <w:t xml:space="preserve"> c</w:t>
      </w:r>
      <w:r w:rsidR="002E3262" w:rsidRPr="002E3262">
        <w:rPr>
          <w:sz w:val="28"/>
          <w:szCs w:val="28"/>
        </w:rPr>
        <w:t xml:space="preserve">ertificate of </w:t>
      </w:r>
      <w:r w:rsidR="002E3262">
        <w:rPr>
          <w:sz w:val="28"/>
          <w:szCs w:val="28"/>
        </w:rPr>
        <w:t>I</w:t>
      </w:r>
      <w:r w:rsidR="002E3262" w:rsidRPr="002E3262">
        <w:rPr>
          <w:sz w:val="28"/>
          <w:szCs w:val="28"/>
        </w:rPr>
        <w:t xml:space="preserve">ndian </w:t>
      </w:r>
      <w:r w:rsidR="002E3262">
        <w:rPr>
          <w:sz w:val="28"/>
          <w:szCs w:val="28"/>
        </w:rPr>
        <w:t>b</w:t>
      </w:r>
      <w:r w:rsidR="002E3262" w:rsidRPr="002E3262">
        <w:rPr>
          <w:sz w:val="28"/>
          <w:szCs w:val="28"/>
        </w:rPr>
        <w:t>lood</w:t>
      </w:r>
      <w:r w:rsidR="002E3262">
        <w:rPr>
          <w:sz w:val="28"/>
          <w:szCs w:val="28"/>
        </w:rPr>
        <w:t xml:space="preserve"> the Colorado River Indian Tribes </w:t>
      </w:r>
      <w:r w:rsidR="006458AA">
        <w:rPr>
          <w:sz w:val="28"/>
          <w:szCs w:val="28"/>
        </w:rPr>
        <w:t xml:space="preserve">issued </w:t>
      </w:r>
      <w:r w:rsidR="002E3262">
        <w:rPr>
          <w:sz w:val="28"/>
          <w:szCs w:val="28"/>
        </w:rPr>
        <w:t>showing that the defendant was a member of that Tribe.</w:t>
      </w:r>
    </w:p>
    <w:p w14:paraId="7743F6B2" w14:textId="3D1598E4" w:rsidR="002E3262" w:rsidRPr="00182267" w:rsidRDefault="002E3262" w:rsidP="00E95E6A">
      <w:pPr>
        <w:pStyle w:val="NormalWeb"/>
        <w:spacing w:before="240" w:line="480" w:lineRule="auto"/>
        <w:ind w:firstLine="720"/>
        <w:contextualSpacing/>
        <w:jc w:val="both"/>
        <w:rPr>
          <w:sz w:val="28"/>
          <w:szCs w:val="28"/>
        </w:rPr>
      </w:pPr>
      <w:r>
        <w:rPr>
          <w:sz w:val="28"/>
          <w:szCs w:val="28"/>
        </w:rPr>
        <w:t xml:space="preserve">Given that courts must generally accept evidence issued by an Indian Tribe or Nation </w:t>
      </w:r>
      <w:r w:rsidR="00FF40B2">
        <w:rPr>
          <w:sz w:val="28"/>
          <w:szCs w:val="28"/>
        </w:rPr>
        <w:t xml:space="preserve">identifying a person as an </w:t>
      </w:r>
      <w:r>
        <w:rPr>
          <w:sz w:val="28"/>
          <w:szCs w:val="28"/>
        </w:rPr>
        <w:t>enrolled member,</w:t>
      </w:r>
      <w:r w:rsidR="00182267">
        <w:rPr>
          <w:rStyle w:val="FootnoteReference"/>
          <w:sz w:val="28"/>
          <w:szCs w:val="28"/>
        </w:rPr>
        <w:footnoteReference w:id="4"/>
      </w:r>
      <w:r>
        <w:rPr>
          <w:sz w:val="28"/>
          <w:szCs w:val="28"/>
        </w:rPr>
        <w:t xml:space="preserve"> it makes common sense that such documentation should be self-authenticating.</w:t>
      </w:r>
      <w:r w:rsidR="000F08D4">
        <w:rPr>
          <w:color w:val="000000"/>
          <w:sz w:val="28"/>
          <w:szCs w:val="28"/>
        </w:rPr>
        <w:t xml:space="preserve"> </w:t>
      </w:r>
      <w:r w:rsidR="000F08D4" w:rsidRPr="000F08D4">
        <w:rPr>
          <w:sz w:val="28"/>
          <w:szCs w:val="28"/>
        </w:rPr>
        <w:t xml:space="preserve">If an actual dispute arose as to whether </w:t>
      </w:r>
      <w:r w:rsidR="00182267">
        <w:rPr>
          <w:sz w:val="28"/>
          <w:szCs w:val="28"/>
        </w:rPr>
        <w:t>a</w:t>
      </w:r>
      <w:r w:rsidR="00182267" w:rsidRPr="000F08D4">
        <w:rPr>
          <w:sz w:val="28"/>
          <w:szCs w:val="28"/>
        </w:rPr>
        <w:t xml:space="preserve"> </w:t>
      </w:r>
      <w:r w:rsidR="000F08D4" w:rsidRPr="000F08D4">
        <w:rPr>
          <w:sz w:val="28"/>
          <w:szCs w:val="28"/>
        </w:rPr>
        <w:t xml:space="preserve">signed and sealed tribal document was authentic, the trial court could still </w:t>
      </w:r>
      <w:r w:rsidR="00182267">
        <w:rPr>
          <w:sz w:val="28"/>
          <w:szCs w:val="28"/>
        </w:rPr>
        <w:t>consider and/or admit</w:t>
      </w:r>
      <w:r w:rsidR="00182267" w:rsidRPr="000F08D4">
        <w:rPr>
          <w:sz w:val="28"/>
          <w:szCs w:val="28"/>
        </w:rPr>
        <w:t xml:space="preserve"> </w:t>
      </w:r>
      <w:r w:rsidR="000C72BA">
        <w:rPr>
          <w:sz w:val="28"/>
          <w:szCs w:val="28"/>
        </w:rPr>
        <w:t xml:space="preserve">contrary </w:t>
      </w:r>
      <w:r w:rsidR="000F08D4" w:rsidRPr="000F08D4">
        <w:rPr>
          <w:sz w:val="28"/>
          <w:szCs w:val="28"/>
        </w:rPr>
        <w:t xml:space="preserve">evidence contesting </w:t>
      </w:r>
      <w:r w:rsidR="000C72BA">
        <w:rPr>
          <w:sz w:val="28"/>
          <w:szCs w:val="28"/>
        </w:rPr>
        <w:t>that</w:t>
      </w:r>
      <w:r w:rsidR="000F08D4" w:rsidRPr="000F08D4">
        <w:rPr>
          <w:sz w:val="28"/>
          <w:szCs w:val="28"/>
        </w:rPr>
        <w:t>.</w:t>
      </w:r>
      <w:r w:rsidR="00182267">
        <w:rPr>
          <w:sz w:val="28"/>
          <w:szCs w:val="28"/>
        </w:rPr>
        <w:t xml:space="preserve"> </w:t>
      </w:r>
      <w:r w:rsidR="00CD4B56">
        <w:rPr>
          <w:i/>
          <w:iCs/>
          <w:sz w:val="28"/>
          <w:szCs w:val="28"/>
        </w:rPr>
        <w:t xml:space="preserve">Cf. </w:t>
      </w:r>
      <w:r w:rsidR="00182267">
        <w:rPr>
          <w:sz w:val="28"/>
          <w:szCs w:val="28"/>
        </w:rPr>
        <w:t>Ariz. R. Evid. 803(8)(B) (allowing for the opponent to</w:t>
      </w:r>
      <w:r w:rsidR="003F6CC3">
        <w:rPr>
          <w:sz w:val="28"/>
          <w:szCs w:val="28"/>
        </w:rPr>
        <w:t xml:space="preserve"> the</w:t>
      </w:r>
      <w:r w:rsidR="00182267">
        <w:rPr>
          <w:sz w:val="28"/>
          <w:szCs w:val="28"/>
        </w:rPr>
        <w:t xml:space="preserve"> admission of a public record to challenge its trustworthiness).</w:t>
      </w:r>
    </w:p>
    <w:p w14:paraId="5746FE85" w14:textId="4FF5F67F" w:rsidR="00CC43A7" w:rsidRDefault="009C0DB2" w:rsidP="00CC43A7">
      <w:pPr>
        <w:pStyle w:val="NormalWeb"/>
        <w:spacing w:before="240" w:line="480" w:lineRule="auto"/>
        <w:ind w:firstLine="720"/>
        <w:contextualSpacing/>
        <w:jc w:val="both"/>
        <w:rPr>
          <w:color w:val="000000"/>
          <w:sz w:val="28"/>
          <w:szCs w:val="28"/>
        </w:rPr>
      </w:pPr>
      <w:r>
        <w:rPr>
          <w:color w:val="000000"/>
          <w:sz w:val="28"/>
          <w:szCs w:val="28"/>
        </w:rPr>
        <w:t>Finally</w:t>
      </w:r>
      <w:r w:rsidR="00CC43A7">
        <w:rPr>
          <w:color w:val="000000"/>
          <w:sz w:val="28"/>
          <w:szCs w:val="28"/>
        </w:rPr>
        <w:t>, “</w:t>
      </w:r>
      <w:r w:rsidR="00CC43A7" w:rsidRPr="00CC43A7">
        <w:rPr>
          <w:color w:val="000000"/>
          <w:sz w:val="28"/>
          <w:szCs w:val="28"/>
        </w:rPr>
        <w:t>Arizona courts have generally recognized tribal court judgments as a matter of comity.</w:t>
      </w:r>
      <w:r w:rsidR="00CC43A7">
        <w:rPr>
          <w:color w:val="000000"/>
          <w:sz w:val="28"/>
          <w:szCs w:val="28"/>
        </w:rPr>
        <w:t xml:space="preserve">” </w:t>
      </w:r>
      <w:r w:rsidR="00CC43A7" w:rsidRPr="00CC43A7">
        <w:rPr>
          <w:i/>
          <w:iCs/>
          <w:color w:val="000000"/>
          <w:sz w:val="28"/>
          <w:szCs w:val="28"/>
        </w:rPr>
        <w:t>Beltran v. Harrah</w:t>
      </w:r>
      <w:r w:rsidR="00CC43A7">
        <w:rPr>
          <w:i/>
          <w:iCs/>
          <w:color w:val="000000"/>
          <w:sz w:val="28"/>
          <w:szCs w:val="28"/>
        </w:rPr>
        <w:t>’</w:t>
      </w:r>
      <w:r w:rsidR="00CC43A7" w:rsidRPr="00CC43A7">
        <w:rPr>
          <w:i/>
          <w:iCs/>
          <w:color w:val="000000"/>
          <w:sz w:val="28"/>
          <w:szCs w:val="28"/>
        </w:rPr>
        <w:t>s Arizona Corp.</w:t>
      </w:r>
      <w:r w:rsidR="00CC43A7" w:rsidRPr="00CC43A7">
        <w:rPr>
          <w:color w:val="000000"/>
          <w:sz w:val="28"/>
          <w:szCs w:val="28"/>
        </w:rPr>
        <w:t>, 220 Ariz. 29, 33, ¶ 11</w:t>
      </w:r>
      <w:r w:rsidR="002F4A23">
        <w:rPr>
          <w:color w:val="000000"/>
          <w:sz w:val="28"/>
          <w:szCs w:val="28"/>
        </w:rPr>
        <w:t xml:space="preserve"> </w:t>
      </w:r>
      <w:r w:rsidR="00CC43A7" w:rsidRPr="00CC43A7">
        <w:rPr>
          <w:color w:val="000000"/>
          <w:sz w:val="28"/>
          <w:szCs w:val="28"/>
        </w:rPr>
        <w:t>(App. 2008)</w:t>
      </w:r>
      <w:r w:rsidR="00CC43A7">
        <w:rPr>
          <w:color w:val="000000"/>
          <w:sz w:val="28"/>
          <w:szCs w:val="28"/>
        </w:rPr>
        <w:t>.</w:t>
      </w:r>
      <w:r w:rsidR="0083080B">
        <w:rPr>
          <w:color w:val="000000"/>
          <w:sz w:val="28"/>
          <w:szCs w:val="28"/>
        </w:rPr>
        <w:t xml:space="preserve">  Comity would also generally suggest that Arizona courts should recognize tribal documents as </w:t>
      </w:r>
      <w:r w:rsidR="00182267">
        <w:rPr>
          <w:color w:val="000000"/>
          <w:sz w:val="28"/>
          <w:szCs w:val="28"/>
        </w:rPr>
        <w:t>self-</w:t>
      </w:r>
      <w:r w:rsidR="0083080B">
        <w:rPr>
          <w:color w:val="000000"/>
          <w:sz w:val="28"/>
          <w:szCs w:val="28"/>
        </w:rPr>
        <w:t>authentic</w:t>
      </w:r>
      <w:r w:rsidR="00182267">
        <w:rPr>
          <w:color w:val="000000"/>
          <w:sz w:val="28"/>
          <w:szCs w:val="28"/>
        </w:rPr>
        <w:t>ating as well</w:t>
      </w:r>
      <w:r w:rsidR="0083080B">
        <w:rPr>
          <w:color w:val="000000"/>
          <w:sz w:val="28"/>
          <w:szCs w:val="28"/>
        </w:rPr>
        <w:t>.</w:t>
      </w:r>
      <w:r w:rsidR="00FF40B2">
        <w:rPr>
          <w:color w:val="000000"/>
          <w:sz w:val="28"/>
          <w:szCs w:val="28"/>
        </w:rPr>
        <w:t xml:space="preserve">  </w:t>
      </w:r>
    </w:p>
    <w:p w14:paraId="29FE4B97" w14:textId="77777777" w:rsidR="00CD3EB3" w:rsidRPr="00CC43A7" w:rsidRDefault="00CD3EB3" w:rsidP="00CC43A7">
      <w:pPr>
        <w:pStyle w:val="NormalWeb"/>
        <w:spacing w:before="240" w:line="480" w:lineRule="auto"/>
        <w:ind w:firstLine="720"/>
        <w:contextualSpacing/>
        <w:jc w:val="both"/>
        <w:rPr>
          <w:color w:val="000000"/>
          <w:sz w:val="28"/>
          <w:szCs w:val="28"/>
        </w:rPr>
      </w:pPr>
    </w:p>
    <w:p w14:paraId="49249F30" w14:textId="4A2ABDD1" w:rsidR="00223616" w:rsidRDefault="00223616" w:rsidP="000358A5">
      <w:pPr>
        <w:pStyle w:val="NormalWeb"/>
        <w:spacing w:before="0" w:beforeAutospacing="0" w:after="0" w:afterAutospacing="0" w:line="480" w:lineRule="auto"/>
        <w:jc w:val="center"/>
        <w:rPr>
          <w:b/>
          <w:bCs/>
          <w:color w:val="000000"/>
          <w:sz w:val="28"/>
          <w:szCs w:val="28"/>
        </w:rPr>
      </w:pPr>
      <w:r>
        <w:rPr>
          <w:b/>
          <w:bCs/>
          <w:color w:val="000000"/>
          <w:sz w:val="28"/>
          <w:szCs w:val="28"/>
        </w:rPr>
        <w:lastRenderedPageBreak/>
        <w:t>CONCLUSION</w:t>
      </w:r>
    </w:p>
    <w:p w14:paraId="6411E112" w14:textId="025E3641" w:rsidR="0083080B" w:rsidRDefault="0083080B" w:rsidP="004C643F">
      <w:pPr>
        <w:pStyle w:val="NormalWeb"/>
        <w:spacing w:before="0" w:beforeAutospacing="0" w:after="0" w:afterAutospacing="0" w:line="480" w:lineRule="auto"/>
        <w:ind w:firstLine="720"/>
        <w:jc w:val="both"/>
        <w:rPr>
          <w:color w:val="000000"/>
          <w:sz w:val="28"/>
          <w:szCs w:val="28"/>
        </w:rPr>
      </w:pPr>
      <w:r>
        <w:rPr>
          <w:color w:val="000000"/>
          <w:sz w:val="28"/>
          <w:szCs w:val="28"/>
        </w:rPr>
        <w:t>T</w:t>
      </w:r>
      <w:r w:rsidR="00223616">
        <w:rPr>
          <w:color w:val="000000"/>
          <w:sz w:val="28"/>
          <w:szCs w:val="28"/>
        </w:rPr>
        <w:t>he Committee</w:t>
      </w:r>
      <w:r>
        <w:rPr>
          <w:color w:val="000000"/>
          <w:sz w:val="28"/>
          <w:szCs w:val="28"/>
        </w:rPr>
        <w:t xml:space="preserve"> supports the </w:t>
      </w:r>
      <w:r w:rsidR="00FF40B2">
        <w:rPr>
          <w:color w:val="000000"/>
          <w:sz w:val="28"/>
          <w:szCs w:val="28"/>
        </w:rPr>
        <w:t xml:space="preserve">Forum’s </w:t>
      </w:r>
      <w:r>
        <w:rPr>
          <w:color w:val="000000"/>
          <w:sz w:val="28"/>
          <w:szCs w:val="28"/>
        </w:rPr>
        <w:t>petition to amend Rule 902(</w:t>
      </w:r>
      <w:r w:rsidR="00BD7CBC">
        <w:rPr>
          <w:color w:val="000000"/>
          <w:sz w:val="28"/>
          <w:szCs w:val="28"/>
        </w:rPr>
        <w:t>1</w:t>
      </w:r>
      <w:r>
        <w:rPr>
          <w:color w:val="000000"/>
          <w:sz w:val="28"/>
          <w:szCs w:val="28"/>
        </w:rPr>
        <w:t>)(</w:t>
      </w:r>
      <w:r w:rsidR="00BD7CBC">
        <w:rPr>
          <w:color w:val="000000"/>
          <w:sz w:val="28"/>
          <w:szCs w:val="28"/>
        </w:rPr>
        <w:t>A</w:t>
      </w:r>
      <w:r>
        <w:rPr>
          <w:color w:val="000000"/>
          <w:sz w:val="28"/>
          <w:szCs w:val="28"/>
        </w:rPr>
        <w:t xml:space="preserve">), Arizona Rule of Evidence, to add the </w:t>
      </w:r>
      <w:r w:rsidR="00FF40B2">
        <w:rPr>
          <w:color w:val="000000"/>
          <w:sz w:val="28"/>
          <w:szCs w:val="28"/>
        </w:rPr>
        <w:t>phrase</w:t>
      </w:r>
      <w:r>
        <w:rPr>
          <w:color w:val="000000"/>
          <w:sz w:val="28"/>
          <w:szCs w:val="28"/>
        </w:rPr>
        <w:t xml:space="preserve"> </w:t>
      </w:r>
      <w:r w:rsidRPr="0083080B">
        <w:rPr>
          <w:color w:val="000000"/>
          <w:sz w:val="28"/>
          <w:szCs w:val="28"/>
        </w:rPr>
        <w:t>“a Federally Recognized American Indian Tribe or Nation</w:t>
      </w:r>
      <w:r>
        <w:rPr>
          <w:color w:val="000000"/>
          <w:sz w:val="28"/>
          <w:szCs w:val="28"/>
        </w:rPr>
        <w:t>” to the list of governmental entities whose documents can be self-authenticating.</w:t>
      </w:r>
    </w:p>
    <w:p w14:paraId="0BE9BD82" w14:textId="77777777" w:rsidR="00194A3C" w:rsidRPr="00D46859" w:rsidRDefault="00194A3C" w:rsidP="00641D73">
      <w:pPr>
        <w:jc w:val="both"/>
        <w:rPr>
          <w:sz w:val="28"/>
          <w:szCs w:val="28"/>
        </w:rPr>
      </w:pPr>
    </w:p>
    <w:p w14:paraId="2117DE73" w14:textId="6D7A3C63" w:rsidR="00641D73" w:rsidRPr="00D46859" w:rsidRDefault="00641D73" w:rsidP="008222BC">
      <w:pPr>
        <w:ind w:firstLine="720"/>
        <w:jc w:val="both"/>
        <w:rPr>
          <w:sz w:val="28"/>
          <w:szCs w:val="28"/>
        </w:rPr>
      </w:pPr>
      <w:r w:rsidRPr="00D46859">
        <w:rPr>
          <w:sz w:val="28"/>
          <w:szCs w:val="28"/>
        </w:rPr>
        <w:t xml:space="preserve">DATED this </w:t>
      </w:r>
      <w:r w:rsidR="00AE16F6">
        <w:rPr>
          <w:sz w:val="28"/>
          <w:szCs w:val="28"/>
        </w:rPr>
        <w:t>30</w:t>
      </w:r>
      <w:r w:rsidR="00080FE1" w:rsidRPr="00080FE1">
        <w:rPr>
          <w:sz w:val="28"/>
          <w:szCs w:val="28"/>
          <w:vertAlign w:val="superscript"/>
        </w:rPr>
        <w:t>th</w:t>
      </w:r>
      <w:r w:rsidR="00080FE1">
        <w:rPr>
          <w:sz w:val="28"/>
          <w:szCs w:val="28"/>
        </w:rPr>
        <w:t xml:space="preserve"> </w:t>
      </w:r>
      <w:r w:rsidRPr="00D46859">
        <w:rPr>
          <w:sz w:val="28"/>
          <w:szCs w:val="28"/>
        </w:rPr>
        <w:t xml:space="preserve">day of </w:t>
      </w:r>
      <w:r w:rsidR="00D46859" w:rsidRPr="00D46859">
        <w:rPr>
          <w:sz w:val="28"/>
          <w:szCs w:val="28"/>
        </w:rPr>
        <w:t>April</w:t>
      </w:r>
      <w:r w:rsidRPr="00D46859">
        <w:rPr>
          <w:sz w:val="28"/>
          <w:szCs w:val="28"/>
        </w:rPr>
        <w:t>, 202</w:t>
      </w:r>
      <w:r w:rsidR="0079774E">
        <w:rPr>
          <w:sz w:val="28"/>
          <w:szCs w:val="28"/>
        </w:rPr>
        <w:t>3</w:t>
      </w:r>
      <w:r w:rsidRPr="00D46859">
        <w:rPr>
          <w:sz w:val="28"/>
          <w:szCs w:val="28"/>
        </w:rPr>
        <w:t>.</w:t>
      </w:r>
    </w:p>
    <w:p w14:paraId="2BBD9A6D" w14:textId="77777777" w:rsidR="00D46859" w:rsidRPr="004E4EAF" w:rsidRDefault="00D46859" w:rsidP="00641D73">
      <w:pPr>
        <w:jc w:val="both"/>
        <w:rPr>
          <w:sz w:val="28"/>
          <w:szCs w:val="28"/>
        </w:rPr>
      </w:pPr>
    </w:p>
    <w:p w14:paraId="23DA075D" w14:textId="77777777" w:rsidR="00641D73" w:rsidRPr="00D46859" w:rsidRDefault="00641D73" w:rsidP="00641D73">
      <w:pPr>
        <w:jc w:val="both"/>
        <w:rPr>
          <w:sz w:val="28"/>
          <w:szCs w:val="28"/>
        </w:rPr>
      </w:pPr>
    </w:p>
    <w:p w14:paraId="7E59445C" w14:textId="77777777" w:rsidR="00641D73" w:rsidRPr="00D46859" w:rsidRDefault="00641D73" w:rsidP="00641D73">
      <w:pPr>
        <w:jc w:val="both"/>
        <w:rPr>
          <w:sz w:val="28"/>
          <w:szCs w:val="28"/>
        </w:rPr>
      </w:pPr>
    </w:p>
    <w:p w14:paraId="41A08BDC" w14:textId="0B20BE0F" w:rsidR="00641D73" w:rsidRPr="00D46859" w:rsidRDefault="00641D73" w:rsidP="00641D73">
      <w:pPr>
        <w:jc w:val="both"/>
        <w:rPr>
          <w:iCs/>
          <w:sz w:val="28"/>
          <w:szCs w:val="28"/>
          <w:u w:val="single"/>
        </w:rPr>
      </w:pPr>
      <w:r w:rsidRPr="00D46859">
        <w:rPr>
          <w:sz w:val="28"/>
          <w:szCs w:val="28"/>
        </w:rPr>
        <w:tab/>
      </w:r>
      <w:r w:rsidRPr="00D46859">
        <w:rPr>
          <w:sz w:val="28"/>
          <w:szCs w:val="28"/>
        </w:rPr>
        <w:tab/>
      </w:r>
      <w:r w:rsidRPr="00D46859">
        <w:rPr>
          <w:sz w:val="28"/>
          <w:szCs w:val="28"/>
        </w:rPr>
        <w:tab/>
      </w:r>
      <w:r w:rsidRPr="00D46859">
        <w:rPr>
          <w:sz w:val="28"/>
          <w:szCs w:val="28"/>
        </w:rPr>
        <w:tab/>
      </w:r>
      <w:r w:rsidRPr="00D46859">
        <w:rPr>
          <w:iCs/>
          <w:sz w:val="28"/>
          <w:szCs w:val="28"/>
          <w:u w:val="single"/>
        </w:rPr>
        <w:tab/>
      </w:r>
      <w:r w:rsidR="00080FE1">
        <w:rPr>
          <w:i/>
          <w:sz w:val="28"/>
          <w:szCs w:val="28"/>
          <w:u w:val="single"/>
        </w:rPr>
        <w:t>/s/ Sara J. Agne</w:t>
      </w:r>
      <w:r w:rsidRPr="00D46859">
        <w:rPr>
          <w:iCs/>
          <w:sz w:val="28"/>
          <w:szCs w:val="28"/>
          <w:u w:val="single"/>
        </w:rPr>
        <w:tab/>
      </w:r>
      <w:r w:rsidRPr="00D46859">
        <w:rPr>
          <w:iCs/>
          <w:sz w:val="28"/>
          <w:szCs w:val="28"/>
          <w:u w:val="single"/>
        </w:rPr>
        <w:tab/>
      </w:r>
      <w:r w:rsidRPr="00D46859">
        <w:rPr>
          <w:iCs/>
          <w:sz w:val="28"/>
          <w:szCs w:val="28"/>
          <w:u w:val="single"/>
        </w:rPr>
        <w:tab/>
      </w:r>
      <w:r w:rsidRPr="00D46859">
        <w:rPr>
          <w:iCs/>
          <w:sz w:val="28"/>
          <w:szCs w:val="28"/>
          <w:u w:val="single"/>
        </w:rPr>
        <w:tab/>
      </w:r>
      <w:r w:rsidRPr="00D46859">
        <w:rPr>
          <w:iCs/>
          <w:sz w:val="28"/>
          <w:szCs w:val="28"/>
          <w:u w:val="single"/>
        </w:rPr>
        <w:tab/>
      </w:r>
    </w:p>
    <w:p w14:paraId="47225C4D" w14:textId="77777777"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t>Sara J. Agne</w:t>
      </w:r>
    </w:p>
    <w:p w14:paraId="0C3BC699" w14:textId="77777777"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t>Co-Chair, Advisory Committee on Rules of Evidence</w:t>
      </w:r>
    </w:p>
    <w:p w14:paraId="6C3EA024" w14:textId="77777777" w:rsidR="00D46859" w:rsidRPr="00D46859" w:rsidRDefault="00D46859" w:rsidP="00641D73">
      <w:pPr>
        <w:spacing w:line="240" w:lineRule="auto"/>
        <w:jc w:val="both"/>
        <w:rPr>
          <w:sz w:val="28"/>
          <w:szCs w:val="28"/>
        </w:rPr>
      </w:pPr>
    </w:p>
    <w:p w14:paraId="399266A3" w14:textId="77777777" w:rsidR="00641D73" w:rsidRPr="00D46859" w:rsidRDefault="00641D73" w:rsidP="00641D73">
      <w:pPr>
        <w:spacing w:line="240" w:lineRule="auto"/>
        <w:jc w:val="both"/>
        <w:rPr>
          <w:sz w:val="28"/>
          <w:szCs w:val="28"/>
        </w:rPr>
      </w:pPr>
    </w:p>
    <w:p w14:paraId="407841DF" w14:textId="15F24A80" w:rsidR="00641D73" w:rsidRPr="00D46859" w:rsidRDefault="00641D73" w:rsidP="00641D73">
      <w:pPr>
        <w:spacing w:line="240" w:lineRule="auto"/>
        <w:jc w:val="both"/>
        <w:rPr>
          <w:sz w:val="28"/>
          <w:szCs w:val="28"/>
          <w:u w:val="single"/>
        </w:rPr>
      </w:pPr>
      <w:r w:rsidRPr="00D46859">
        <w:rPr>
          <w:sz w:val="28"/>
          <w:szCs w:val="28"/>
        </w:rPr>
        <w:t xml:space="preserve">                                         </w:t>
      </w:r>
      <w:r w:rsidRPr="00D46859">
        <w:rPr>
          <w:sz w:val="28"/>
          <w:szCs w:val="28"/>
          <w:u w:val="single"/>
        </w:rPr>
        <w:tab/>
      </w:r>
      <w:r w:rsidRPr="00D46859">
        <w:rPr>
          <w:sz w:val="28"/>
          <w:szCs w:val="28"/>
          <w:u w:val="single"/>
        </w:rPr>
        <w:tab/>
      </w:r>
      <w:r w:rsidR="00080FE1">
        <w:rPr>
          <w:i/>
          <w:iCs/>
          <w:sz w:val="28"/>
          <w:szCs w:val="28"/>
          <w:u w:val="single"/>
        </w:rPr>
        <w:t>/s/ Maria Elena Cruz w/ permission</w:t>
      </w:r>
      <w:r w:rsidRPr="00D46859">
        <w:rPr>
          <w:sz w:val="28"/>
          <w:szCs w:val="28"/>
          <w:u w:val="single"/>
        </w:rPr>
        <w:tab/>
      </w:r>
      <w:r w:rsidRPr="00D46859">
        <w:rPr>
          <w:sz w:val="28"/>
          <w:szCs w:val="28"/>
          <w:u w:val="single"/>
        </w:rPr>
        <w:tab/>
      </w:r>
    </w:p>
    <w:p w14:paraId="6083ECDD" w14:textId="77777777" w:rsidR="00641D73" w:rsidRPr="00D46859" w:rsidRDefault="00641D73" w:rsidP="00641D73">
      <w:pPr>
        <w:spacing w:line="240" w:lineRule="auto"/>
        <w:jc w:val="both"/>
        <w:rPr>
          <w:sz w:val="28"/>
          <w:szCs w:val="28"/>
        </w:rPr>
      </w:pPr>
      <w:r w:rsidRPr="00D46859">
        <w:rPr>
          <w:sz w:val="28"/>
          <w:szCs w:val="28"/>
        </w:rPr>
        <w:t xml:space="preserve">                                         Maria Elena Cruz</w:t>
      </w:r>
    </w:p>
    <w:p w14:paraId="4022C6DB" w14:textId="77777777" w:rsidR="006D5C1E" w:rsidRPr="00D46859" w:rsidRDefault="00641D73" w:rsidP="00E17152">
      <w:pPr>
        <w:spacing w:line="240" w:lineRule="auto"/>
        <w:jc w:val="both"/>
        <w:rPr>
          <w:sz w:val="28"/>
          <w:szCs w:val="28"/>
        </w:rPr>
      </w:pPr>
      <w:r w:rsidRPr="00D46859">
        <w:rPr>
          <w:sz w:val="28"/>
          <w:szCs w:val="28"/>
        </w:rPr>
        <w:t xml:space="preserve">                                         Co-Chair, Advisory Committee on Rules of Evidence</w:t>
      </w:r>
    </w:p>
    <w:sectPr w:rsidR="006D5C1E" w:rsidRPr="00D46859" w:rsidSect="001B0C78">
      <w:headerReference w:type="even" r:id="rId11"/>
      <w:headerReference w:type="default" r:id="rId12"/>
      <w:footerReference w:type="even" r:id="rId13"/>
      <w:footerReference w:type="default" r:id="rId14"/>
      <w:headerReference w:type="first" r:id="rId15"/>
      <w:footerReference w:type="first" r:id="rId16"/>
      <w:pgSz w:w="12240" w:h="15840"/>
      <w:pgMar w:top="-1944" w:right="1440" w:bottom="-1613" w:left="1440" w:header="432" w:footer="36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35C0" w14:textId="77777777" w:rsidR="00EE3170" w:rsidRDefault="00EE3170" w:rsidP="001336C3">
      <w:pPr>
        <w:spacing w:line="240" w:lineRule="auto"/>
      </w:pPr>
      <w:r>
        <w:separator/>
      </w:r>
    </w:p>
  </w:endnote>
  <w:endnote w:type="continuationSeparator" w:id="0">
    <w:p w14:paraId="3B230336" w14:textId="77777777" w:rsidR="00EE3170" w:rsidRDefault="00EE3170" w:rsidP="0013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8AE5" w14:textId="77777777" w:rsidR="00EB60C2" w:rsidRDefault="00AE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032"/>
      <w:gridCol w:w="1555"/>
      <w:gridCol w:w="4032"/>
    </w:tblGrid>
    <w:tr w:rsidR="005B2F3D" w14:paraId="45555DC5" w14:textId="77777777">
      <w:trPr>
        <w:cantSplit/>
        <w:trHeight w:val="320"/>
      </w:trPr>
      <w:tc>
        <w:tcPr>
          <w:tcW w:w="4032" w:type="dxa"/>
        </w:tcPr>
        <w:p w14:paraId="17D7A681" w14:textId="77777777" w:rsidR="005B2F3D" w:rsidRDefault="00AE16F6"/>
      </w:tc>
      <w:tc>
        <w:tcPr>
          <w:tcW w:w="1555" w:type="dxa"/>
        </w:tcPr>
        <w:p w14:paraId="471B65B3" w14:textId="7C581612" w:rsidR="005B2F3D" w:rsidRDefault="001336C3">
          <w:pPr>
            <w:jc w:val="center"/>
            <w:rPr>
              <w:rStyle w:val="PageNumber"/>
            </w:rPr>
          </w:pPr>
          <w:r>
            <w:rPr>
              <w:rStyle w:val="PageNumber"/>
            </w:rPr>
            <w:t>-</w:t>
          </w:r>
          <w:r w:rsidR="004C2CE2">
            <w:rPr>
              <w:rStyle w:val="PageNumber"/>
            </w:rPr>
            <w:fldChar w:fldCharType="begin"/>
          </w:r>
          <w:r>
            <w:rPr>
              <w:rStyle w:val="PageNumber"/>
            </w:rPr>
            <w:instrText xml:space="preserve"> PAGE \* MERGEFORMAT </w:instrText>
          </w:r>
          <w:r w:rsidR="004C2CE2">
            <w:rPr>
              <w:rStyle w:val="PageNumber"/>
            </w:rPr>
            <w:fldChar w:fldCharType="separate"/>
          </w:r>
          <w:r w:rsidR="00A275BB">
            <w:rPr>
              <w:rStyle w:val="PageNumber"/>
              <w:noProof/>
            </w:rPr>
            <w:t>2</w:t>
          </w:r>
          <w:r w:rsidR="004C2CE2">
            <w:rPr>
              <w:rStyle w:val="PageNumber"/>
            </w:rPr>
            <w:fldChar w:fldCharType="end"/>
          </w:r>
          <w:r>
            <w:rPr>
              <w:rStyle w:val="PageNumber"/>
            </w:rPr>
            <w:t>-</w:t>
          </w:r>
        </w:p>
      </w:tc>
      <w:tc>
        <w:tcPr>
          <w:tcW w:w="4032" w:type="dxa"/>
        </w:tcPr>
        <w:p w14:paraId="01195EC5" w14:textId="77777777" w:rsidR="005B2F3D" w:rsidRDefault="00AE16F6">
          <w:pPr>
            <w:pStyle w:val="FooterDocumentTitle"/>
          </w:pPr>
        </w:p>
      </w:tc>
    </w:tr>
  </w:tbl>
  <w:p w14:paraId="76FB1CDD" w14:textId="77777777" w:rsidR="005B2F3D" w:rsidRDefault="00AE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032"/>
      <w:gridCol w:w="1555"/>
      <w:gridCol w:w="4032"/>
    </w:tblGrid>
    <w:tr w:rsidR="005B2F3D" w14:paraId="0F44D1E3" w14:textId="77777777">
      <w:trPr>
        <w:cantSplit/>
        <w:trHeight w:val="320"/>
      </w:trPr>
      <w:tc>
        <w:tcPr>
          <w:tcW w:w="4032" w:type="dxa"/>
        </w:tcPr>
        <w:p w14:paraId="18A81436" w14:textId="77777777" w:rsidR="005B2F3D" w:rsidRDefault="00AE16F6"/>
      </w:tc>
      <w:tc>
        <w:tcPr>
          <w:tcW w:w="1555" w:type="dxa"/>
        </w:tcPr>
        <w:p w14:paraId="031C1AA3" w14:textId="4921D6A1" w:rsidR="005B2F3D" w:rsidRDefault="001336C3">
          <w:pPr>
            <w:jc w:val="center"/>
            <w:rPr>
              <w:rStyle w:val="PageNumber"/>
            </w:rPr>
          </w:pPr>
          <w:r>
            <w:rPr>
              <w:rStyle w:val="PageNumber"/>
            </w:rPr>
            <w:t>-</w:t>
          </w:r>
          <w:r w:rsidR="004C2CE2">
            <w:rPr>
              <w:rStyle w:val="PageNumber"/>
            </w:rPr>
            <w:fldChar w:fldCharType="begin"/>
          </w:r>
          <w:r>
            <w:rPr>
              <w:rStyle w:val="PageNumber"/>
            </w:rPr>
            <w:instrText xml:space="preserve"> PAGE \* MERGEFORMAT </w:instrText>
          </w:r>
          <w:r w:rsidR="004C2CE2">
            <w:rPr>
              <w:rStyle w:val="PageNumber"/>
            </w:rPr>
            <w:fldChar w:fldCharType="separate"/>
          </w:r>
          <w:r w:rsidR="00A275BB">
            <w:rPr>
              <w:rStyle w:val="PageNumber"/>
              <w:noProof/>
            </w:rPr>
            <w:t>1</w:t>
          </w:r>
          <w:r w:rsidR="004C2CE2">
            <w:rPr>
              <w:rStyle w:val="PageNumber"/>
            </w:rPr>
            <w:fldChar w:fldCharType="end"/>
          </w:r>
          <w:r>
            <w:rPr>
              <w:rStyle w:val="PageNumber"/>
            </w:rPr>
            <w:t>-</w:t>
          </w:r>
        </w:p>
      </w:tc>
      <w:tc>
        <w:tcPr>
          <w:tcW w:w="4032" w:type="dxa"/>
        </w:tcPr>
        <w:p w14:paraId="68368979" w14:textId="77777777" w:rsidR="005B2F3D" w:rsidRDefault="00AE16F6">
          <w:pPr>
            <w:pStyle w:val="FooterDocumentTitle"/>
          </w:pPr>
        </w:p>
      </w:tc>
    </w:tr>
  </w:tbl>
  <w:p w14:paraId="5E349D4C" w14:textId="77777777" w:rsidR="005B2F3D" w:rsidRDefault="00AE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B35E" w14:textId="77777777" w:rsidR="00EE3170" w:rsidRDefault="00EE3170" w:rsidP="001336C3">
      <w:pPr>
        <w:spacing w:line="240" w:lineRule="auto"/>
      </w:pPr>
      <w:r>
        <w:separator/>
      </w:r>
    </w:p>
  </w:footnote>
  <w:footnote w:type="continuationSeparator" w:id="0">
    <w:p w14:paraId="166CAFE3" w14:textId="77777777" w:rsidR="00EE3170" w:rsidRDefault="00EE3170" w:rsidP="001336C3">
      <w:pPr>
        <w:spacing w:line="240" w:lineRule="auto"/>
      </w:pPr>
      <w:r>
        <w:continuationSeparator/>
      </w:r>
    </w:p>
  </w:footnote>
  <w:footnote w:id="1">
    <w:p w14:paraId="03EAD2B4" w14:textId="5C99F5CC" w:rsidR="00DE6110" w:rsidRPr="006717AB" w:rsidRDefault="00DE6110" w:rsidP="00CD3EB3">
      <w:pPr>
        <w:pStyle w:val="FootnoteText"/>
        <w:spacing w:after="120"/>
        <w:rPr>
          <w:sz w:val="28"/>
          <w:szCs w:val="28"/>
        </w:rPr>
      </w:pPr>
      <w:r w:rsidRPr="006717AB">
        <w:rPr>
          <w:rStyle w:val="FootnoteReference"/>
          <w:sz w:val="28"/>
          <w:szCs w:val="28"/>
        </w:rPr>
        <w:footnoteRef/>
      </w:r>
      <w:r w:rsidRPr="006717AB">
        <w:rPr>
          <w:sz w:val="28"/>
          <w:szCs w:val="28"/>
        </w:rPr>
        <w:t xml:space="preserve">  Judge Hurwitz</w:t>
      </w:r>
      <w:r w:rsidR="00D70447" w:rsidRPr="006717AB">
        <w:rPr>
          <w:sz w:val="28"/>
          <w:szCs w:val="28"/>
        </w:rPr>
        <w:t>—when he served as Justice Hurwitz on the Court—</w:t>
      </w:r>
      <w:r w:rsidRPr="006717AB">
        <w:rPr>
          <w:sz w:val="28"/>
          <w:szCs w:val="28"/>
        </w:rPr>
        <w:t>chaired the Committee’s predecessor, the Ad Hoc</w:t>
      </w:r>
      <w:r w:rsidR="00D70447" w:rsidRPr="006717AB">
        <w:rPr>
          <w:sz w:val="28"/>
          <w:szCs w:val="28"/>
        </w:rPr>
        <w:t xml:space="preserve"> Committee on Rules of Evidence, after appointment by this Court’s Admin. Order 2010-42.</w:t>
      </w:r>
    </w:p>
  </w:footnote>
  <w:footnote w:id="2">
    <w:p w14:paraId="786F2775" w14:textId="0241F2D3" w:rsidR="00BA576D" w:rsidRPr="00182267" w:rsidRDefault="00BA576D" w:rsidP="00CD3EB3">
      <w:pPr>
        <w:pStyle w:val="FootnoteText"/>
        <w:spacing w:after="120"/>
        <w:rPr>
          <w:sz w:val="28"/>
          <w:szCs w:val="28"/>
        </w:rPr>
      </w:pPr>
      <w:r w:rsidRPr="00182267">
        <w:rPr>
          <w:rStyle w:val="FootnoteReference"/>
          <w:sz w:val="28"/>
          <w:szCs w:val="28"/>
        </w:rPr>
        <w:footnoteRef/>
      </w:r>
      <w:r w:rsidR="00D70447" w:rsidRPr="00182267">
        <w:rPr>
          <w:sz w:val="28"/>
          <w:szCs w:val="28"/>
        </w:rPr>
        <w:t xml:space="preserve"> </w:t>
      </w:r>
      <w:r w:rsidRPr="00182267">
        <w:rPr>
          <w:sz w:val="28"/>
          <w:szCs w:val="28"/>
        </w:rPr>
        <w:t>Report of the Advisory Committee on Evidence Rules, May 7, 2013</w:t>
      </w:r>
      <w:r w:rsidR="005E4866" w:rsidRPr="00182267">
        <w:rPr>
          <w:sz w:val="28"/>
          <w:szCs w:val="28"/>
        </w:rPr>
        <w:t>, at 5</w:t>
      </w:r>
      <w:r w:rsidRPr="00182267">
        <w:rPr>
          <w:sz w:val="28"/>
          <w:szCs w:val="28"/>
        </w:rPr>
        <w:t xml:space="preserve">, </w:t>
      </w:r>
      <w:r w:rsidR="00D70447" w:rsidRPr="00182267">
        <w:rPr>
          <w:i/>
          <w:iCs/>
          <w:sz w:val="28"/>
          <w:szCs w:val="28"/>
        </w:rPr>
        <w:t>available at</w:t>
      </w:r>
      <w:r w:rsidRPr="00182267">
        <w:rPr>
          <w:sz w:val="28"/>
          <w:szCs w:val="28"/>
        </w:rPr>
        <w:t xml:space="preserve"> </w:t>
      </w:r>
      <w:hyperlink r:id="rId1" w:history="1">
        <w:r w:rsidR="00D70447" w:rsidRPr="006717AB">
          <w:rPr>
            <w:rStyle w:val="Hyperlink"/>
            <w:color w:val="auto"/>
            <w:sz w:val="28"/>
            <w:szCs w:val="28"/>
          </w:rPr>
          <w:t>https://www.uscourts.gov/sites/default/files/fr_import/EV05-2013.pdf</w:t>
        </w:r>
      </w:hyperlink>
      <w:r w:rsidRPr="00182267">
        <w:rPr>
          <w:sz w:val="28"/>
          <w:szCs w:val="28"/>
        </w:rPr>
        <w:t>.</w:t>
      </w:r>
    </w:p>
    <w:p w14:paraId="610260FF" w14:textId="5B499E6D" w:rsidR="00BA576D" w:rsidRPr="006717AB" w:rsidRDefault="00BA576D" w:rsidP="00CD3EB3">
      <w:pPr>
        <w:pStyle w:val="FootnoteText"/>
        <w:spacing w:after="120"/>
        <w:rPr>
          <w:sz w:val="28"/>
          <w:szCs w:val="28"/>
        </w:rPr>
      </w:pPr>
    </w:p>
  </w:footnote>
  <w:footnote w:id="3">
    <w:p w14:paraId="006B79A5" w14:textId="203B97E3" w:rsidR="00501058" w:rsidRPr="00182267" w:rsidRDefault="00501058" w:rsidP="00CD3EB3">
      <w:pPr>
        <w:pStyle w:val="FootnoteText"/>
        <w:spacing w:after="120"/>
        <w:rPr>
          <w:sz w:val="28"/>
          <w:szCs w:val="28"/>
        </w:rPr>
      </w:pPr>
      <w:r w:rsidRPr="00182267">
        <w:rPr>
          <w:rStyle w:val="FootnoteReference"/>
          <w:sz w:val="28"/>
          <w:szCs w:val="28"/>
        </w:rPr>
        <w:footnoteRef/>
      </w:r>
      <w:r w:rsidRPr="00182267">
        <w:rPr>
          <w:sz w:val="28"/>
          <w:szCs w:val="28"/>
        </w:rPr>
        <w:t xml:space="preserve"> 1. Ak-Chin Indian Community, 2. Cocopah Indian Tribe, 3. Colorado River Indian Tribes, 4. Fort McDowell Yavapai Nation, 5. Fort Mojave Indian Tribe, 6. Fort Yuma Quechan Tribe, 7. Gila River Indian Community, 8. Havasupai Tribe, 9. Hopi Tribe, 10. Hualapai Tribe, 11. Kaibab Band of Paiute Indians, 12. Navajo Nation, 13. Pascua Yaqui Tribe, 14. Pueblo of Zuni, 15. Salt River Pima-Maricopa Indian Community, 16. San Carlos Apache Tribe, 17. San Juan Southern Paiute Tribe, 18. Tohono O</w:t>
      </w:r>
      <w:r w:rsidR="005E4866" w:rsidRPr="00182267">
        <w:rPr>
          <w:sz w:val="28"/>
          <w:szCs w:val="28"/>
        </w:rPr>
        <w:t>’</w:t>
      </w:r>
      <w:r w:rsidRPr="00182267">
        <w:rPr>
          <w:sz w:val="28"/>
          <w:szCs w:val="28"/>
        </w:rPr>
        <w:t xml:space="preserve">odham Nation, 19. Tonto Apache Tribe, 20. White Mountain Apache Tribe, 21. Yavapai-Apache Tribe, and 22. Yavapai-Prescott Indian Tribe.  </w:t>
      </w:r>
      <w:r w:rsidR="005E4866" w:rsidRPr="00182267">
        <w:rPr>
          <w:i/>
          <w:iCs/>
          <w:sz w:val="28"/>
          <w:szCs w:val="28"/>
        </w:rPr>
        <w:t>See</w:t>
      </w:r>
      <w:r w:rsidR="005E4866" w:rsidRPr="00182267">
        <w:rPr>
          <w:sz w:val="28"/>
          <w:szCs w:val="28"/>
        </w:rPr>
        <w:t xml:space="preserve"> Arizona State Museum list of federally recognized Native Nations in Arizona, </w:t>
      </w:r>
      <w:r w:rsidR="005E4866" w:rsidRPr="00182267">
        <w:rPr>
          <w:i/>
          <w:iCs/>
          <w:sz w:val="28"/>
          <w:szCs w:val="28"/>
        </w:rPr>
        <w:t>available at</w:t>
      </w:r>
      <w:r w:rsidRPr="00182267">
        <w:rPr>
          <w:sz w:val="28"/>
          <w:szCs w:val="28"/>
        </w:rPr>
        <w:t xml:space="preserve"> </w:t>
      </w:r>
      <w:hyperlink r:id="rId2" w:history="1">
        <w:r w:rsidR="005E4866" w:rsidRPr="006717AB">
          <w:rPr>
            <w:rStyle w:val="Hyperlink"/>
            <w:color w:val="auto"/>
            <w:sz w:val="28"/>
            <w:szCs w:val="28"/>
          </w:rPr>
          <w:t>https://statemuseum.arizona.edu/programs/american-indian-relations/tribes-arizona</w:t>
        </w:r>
      </w:hyperlink>
    </w:p>
  </w:footnote>
  <w:footnote w:id="4">
    <w:p w14:paraId="61F7B05A" w14:textId="2624C5FF" w:rsidR="00182267" w:rsidRPr="006717AB" w:rsidRDefault="00182267" w:rsidP="00CD3EB3">
      <w:pPr>
        <w:widowControl/>
        <w:spacing w:after="120" w:line="240" w:lineRule="auto"/>
        <w:rPr>
          <w:sz w:val="28"/>
          <w:szCs w:val="28"/>
        </w:rPr>
      </w:pPr>
      <w:r w:rsidRPr="006717AB">
        <w:rPr>
          <w:rStyle w:val="FootnoteReference"/>
          <w:sz w:val="28"/>
          <w:szCs w:val="28"/>
        </w:rPr>
        <w:footnoteRef/>
      </w:r>
      <w:r w:rsidRPr="006717AB">
        <w:rPr>
          <w:sz w:val="28"/>
          <w:szCs w:val="28"/>
        </w:rPr>
        <w:t xml:space="preserve"> </w:t>
      </w:r>
      <w:r w:rsidRPr="006717AB">
        <w:rPr>
          <w:i/>
          <w:iCs/>
          <w:sz w:val="28"/>
          <w:szCs w:val="28"/>
        </w:rPr>
        <w:t xml:space="preserve">See </w:t>
      </w:r>
      <w:r w:rsidRPr="006717AB">
        <w:rPr>
          <w:sz w:val="28"/>
          <w:szCs w:val="28"/>
        </w:rPr>
        <w:t>25 C.F.R. § 23.108(b) (“</w:t>
      </w:r>
      <w:r w:rsidRPr="006717AB">
        <w:rPr>
          <w:sz w:val="28"/>
          <w:szCs w:val="28"/>
          <w:shd w:val="clear" w:color="auto" w:fill="FFFFFF"/>
        </w:rPr>
        <w:t>The State court may not substitute its own determination regarding a child’s membership in a Tribe, a child’s eligibility for membership in a Tribe, or a parent’s membership in a Tribe.”)</w:t>
      </w:r>
      <w:r w:rsidR="00CD4B56">
        <w:rPr>
          <w:sz w:val="28"/>
          <w:szCs w:val="2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CC0D" w14:textId="77777777" w:rsidR="00EB60C2" w:rsidRDefault="00AE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3755A6D6" w14:textId="77777777">
      <w:trPr>
        <w:trHeight w:hRule="exact" w:val="14880"/>
      </w:trPr>
      <w:tc>
        <w:tcPr>
          <w:tcW w:w="287" w:type="dxa"/>
        </w:tcPr>
        <w:p w14:paraId="5A7D8382" w14:textId="77777777" w:rsidR="005B2F3D" w:rsidRDefault="00AE16F6">
          <w:pPr>
            <w:pStyle w:val="HeaderNumbers"/>
            <w:spacing w:before="1320"/>
          </w:pPr>
        </w:p>
      </w:tc>
      <w:tc>
        <w:tcPr>
          <w:tcW w:w="10080" w:type="dxa"/>
        </w:tcPr>
        <w:p w14:paraId="1C2AF715" w14:textId="77777777" w:rsidR="005B2F3D" w:rsidRDefault="00AE16F6">
          <w:pPr>
            <w:tabs>
              <w:tab w:val="center" w:pos="4853"/>
              <w:tab w:val="right" w:pos="9547"/>
            </w:tabs>
            <w:ind w:left="113" w:right="113"/>
          </w:pPr>
        </w:p>
      </w:tc>
    </w:tr>
  </w:tbl>
  <w:p w14:paraId="6BEE4126" w14:textId="77777777" w:rsidR="005B2F3D" w:rsidRDefault="00AE1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3BC2EDB1" w14:textId="77777777">
      <w:trPr>
        <w:trHeight w:hRule="exact" w:val="14880"/>
      </w:trPr>
      <w:tc>
        <w:tcPr>
          <w:tcW w:w="287" w:type="dxa"/>
        </w:tcPr>
        <w:p w14:paraId="06D027A9" w14:textId="77777777" w:rsidR="005B2F3D" w:rsidRDefault="00AE16F6">
          <w:pPr>
            <w:pStyle w:val="HeaderNumbers"/>
            <w:spacing w:before="1320"/>
          </w:pPr>
        </w:p>
      </w:tc>
      <w:tc>
        <w:tcPr>
          <w:tcW w:w="10080" w:type="dxa"/>
        </w:tcPr>
        <w:p w14:paraId="7A8E2F8B" w14:textId="77777777" w:rsidR="005B2F3D" w:rsidRDefault="00AE16F6">
          <w:pPr>
            <w:tabs>
              <w:tab w:val="center" w:pos="4853"/>
              <w:tab w:val="right" w:pos="9547"/>
            </w:tabs>
            <w:ind w:left="113" w:right="113"/>
          </w:pPr>
        </w:p>
      </w:tc>
    </w:tr>
  </w:tbl>
  <w:p w14:paraId="4025856E" w14:textId="77777777" w:rsidR="005B2F3D" w:rsidRDefault="00AE16F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561A"/>
    <w:multiLevelType w:val="hybridMultilevel"/>
    <w:tmpl w:val="69B003F0"/>
    <w:lvl w:ilvl="0" w:tplc="2CA62C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6C16"/>
    <w:multiLevelType w:val="hybridMultilevel"/>
    <w:tmpl w:val="B77A5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D31E5F"/>
    <w:multiLevelType w:val="hybridMultilevel"/>
    <w:tmpl w:val="F16A3648"/>
    <w:lvl w:ilvl="0" w:tplc="C046CE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D27CA"/>
    <w:multiLevelType w:val="hybridMultilevel"/>
    <w:tmpl w:val="9B6C2B52"/>
    <w:lvl w:ilvl="0" w:tplc="06D0B1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B724A"/>
    <w:multiLevelType w:val="hybridMultilevel"/>
    <w:tmpl w:val="2DFEE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65595"/>
    <w:multiLevelType w:val="hybridMultilevel"/>
    <w:tmpl w:val="E6AA8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8335532">
    <w:abstractNumId w:val="3"/>
  </w:num>
  <w:num w:numId="2" w16cid:durableId="515191343">
    <w:abstractNumId w:val="0"/>
  </w:num>
  <w:num w:numId="3" w16cid:durableId="1585531999">
    <w:abstractNumId w:val="1"/>
  </w:num>
  <w:num w:numId="4" w16cid:durableId="672681447">
    <w:abstractNumId w:val="4"/>
  </w:num>
  <w:num w:numId="5" w16cid:durableId="1647081467">
    <w:abstractNumId w:val="2"/>
  </w:num>
  <w:num w:numId="6" w16cid:durableId="146978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C3"/>
    <w:rsid w:val="00001963"/>
    <w:rsid w:val="000021D6"/>
    <w:rsid w:val="0003170D"/>
    <w:rsid w:val="00032767"/>
    <w:rsid w:val="000358A5"/>
    <w:rsid w:val="00037B9B"/>
    <w:rsid w:val="00042CF7"/>
    <w:rsid w:val="00055FC2"/>
    <w:rsid w:val="00080FE1"/>
    <w:rsid w:val="0008660D"/>
    <w:rsid w:val="000B0459"/>
    <w:rsid w:val="000C706D"/>
    <w:rsid w:val="000C72BA"/>
    <w:rsid w:val="000D0FB9"/>
    <w:rsid w:val="000E1ADD"/>
    <w:rsid w:val="000E245D"/>
    <w:rsid w:val="000F08D4"/>
    <w:rsid w:val="00102623"/>
    <w:rsid w:val="001204FF"/>
    <w:rsid w:val="001336C3"/>
    <w:rsid w:val="00152F39"/>
    <w:rsid w:val="00182267"/>
    <w:rsid w:val="001845FA"/>
    <w:rsid w:val="001851B1"/>
    <w:rsid w:val="001913C0"/>
    <w:rsid w:val="00194A3C"/>
    <w:rsid w:val="00196085"/>
    <w:rsid w:val="0019754C"/>
    <w:rsid w:val="001979BA"/>
    <w:rsid w:val="001B0C78"/>
    <w:rsid w:val="001B627F"/>
    <w:rsid w:val="001B7B57"/>
    <w:rsid w:val="001D1829"/>
    <w:rsid w:val="001D2B32"/>
    <w:rsid w:val="001E3AAE"/>
    <w:rsid w:val="001F1C3A"/>
    <w:rsid w:val="001F7964"/>
    <w:rsid w:val="00205107"/>
    <w:rsid w:val="0020668D"/>
    <w:rsid w:val="00223616"/>
    <w:rsid w:val="00230490"/>
    <w:rsid w:val="0023474A"/>
    <w:rsid w:val="00235C74"/>
    <w:rsid w:val="00252AD7"/>
    <w:rsid w:val="0026090C"/>
    <w:rsid w:val="0026534C"/>
    <w:rsid w:val="00277B13"/>
    <w:rsid w:val="002969F7"/>
    <w:rsid w:val="0029790B"/>
    <w:rsid w:val="002A003F"/>
    <w:rsid w:val="002D19E1"/>
    <w:rsid w:val="002D1CBC"/>
    <w:rsid w:val="002D6734"/>
    <w:rsid w:val="002E0F86"/>
    <w:rsid w:val="002E3262"/>
    <w:rsid w:val="002F0E00"/>
    <w:rsid w:val="002F4A23"/>
    <w:rsid w:val="003136B3"/>
    <w:rsid w:val="00331EDE"/>
    <w:rsid w:val="003538F9"/>
    <w:rsid w:val="003557B1"/>
    <w:rsid w:val="003639FD"/>
    <w:rsid w:val="003731B7"/>
    <w:rsid w:val="00395A14"/>
    <w:rsid w:val="00397BDF"/>
    <w:rsid w:val="003A75B2"/>
    <w:rsid w:val="003A788E"/>
    <w:rsid w:val="003A7E90"/>
    <w:rsid w:val="003C2725"/>
    <w:rsid w:val="003D4A4F"/>
    <w:rsid w:val="003F2048"/>
    <w:rsid w:val="003F4D38"/>
    <w:rsid w:val="003F6CC3"/>
    <w:rsid w:val="00433B1A"/>
    <w:rsid w:val="004402B4"/>
    <w:rsid w:val="00443224"/>
    <w:rsid w:val="004507CC"/>
    <w:rsid w:val="00480502"/>
    <w:rsid w:val="004A170E"/>
    <w:rsid w:val="004C2CE2"/>
    <w:rsid w:val="004C643F"/>
    <w:rsid w:val="004E4EAF"/>
    <w:rsid w:val="004F286B"/>
    <w:rsid w:val="00501058"/>
    <w:rsid w:val="005052F5"/>
    <w:rsid w:val="005160D3"/>
    <w:rsid w:val="00521EAA"/>
    <w:rsid w:val="00525C0C"/>
    <w:rsid w:val="00530AC4"/>
    <w:rsid w:val="005657B9"/>
    <w:rsid w:val="00577B6E"/>
    <w:rsid w:val="00597A0C"/>
    <w:rsid w:val="005A2C19"/>
    <w:rsid w:val="005C6428"/>
    <w:rsid w:val="005D0F20"/>
    <w:rsid w:val="005D106C"/>
    <w:rsid w:val="005E41CB"/>
    <w:rsid w:val="005E4866"/>
    <w:rsid w:val="00616758"/>
    <w:rsid w:val="00620092"/>
    <w:rsid w:val="00632233"/>
    <w:rsid w:val="00641D73"/>
    <w:rsid w:val="006458AA"/>
    <w:rsid w:val="00661F52"/>
    <w:rsid w:val="00666F4E"/>
    <w:rsid w:val="006717AB"/>
    <w:rsid w:val="00683131"/>
    <w:rsid w:val="006872A6"/>
    <w:rsid w:val="00695B9D"/>
    <w:rsid w:val="006A2DA6"/>
    <w:rsid w:val="006B6E14"/>
    <w:rsid w:val="006B7C00"/>
    <w:rsid w:val="006C15E8"/>
    <w:rsid w:val="006C16A7"/>
    <w:rsid w:val="006D0A16"/>
    <w:rsid w:val="006D3DF9"/>
    <w:rsid w:val="006D5C1E"/>
    <w:rsid w:val="006F3499"/>
    <w:rsid w:val="007057FF"/>
    <w:rsid w:val="00721F7F"/>
    <w:rsid w:val="00736C37"/>
    <w:rsid w:val="0075031A"/>
    <w:rsid w:val="00771960"/>
    <w:rsid w:val="00780510"/>
    <w:rsid w:val="00797144"/>
    <w:rsid w:val="0079774E"/>
    <w:rsid w:val="007B4B85"/>
    <w:rsid w:val="007C76BF"/>
    <w:rsid w:val="007D3684"/>
    <w:rsid w:val="007E2F02"/>
    <w:rsid w:val="007E594B"/>
    <w:rsid w:val="007E705E"/>
    <w:rsid w:val="007F449E"/>
    <w:rsid w:val="008016F9"/>
    <w:rsid w:val="008056A0"/>
    <w:rsid w:val="008179C4"/>
    <w:rsid w:val="00817FB7"/>
    <w:rsid w:val="008222BC"/>
    <w:rsid w:val="0083080B"/>
    <w:rsid w:val="0083456F"/>
    <w:rsid w:val="008533A2"/>
    <w:rsid w:val="008570FD"/>
    <w:rsid w:val="00857FC1"/>
    <w:rsid w:val="0086320C"/>
    <w:rsid w:val="00867872"/>
    <w:rsid w:val="008843A1"/>
    <w:rsid w:val="00890386"/>
    <w:rsid w:val="008A20B3"/>
    <w:rsid w:val="008C43BC"/>
    <w:rsid w:val="008E0A24"/>
    <w:rsid w:val="008E6C10"/>
    <w:rsid w:val="00901D58"/>
    <w:rsid w:val="009061E4"/>
    <w:rsid w:val="00910305"/>
    <w:rsid w:val="009219A0"/>
    <w:rsid w:val="009252BB"/>
    <w:rsid w:val="009273AD"/>
    <w:rsid w:val="00937281"/>
    <w:rsid w:val="009575D2"/>
    <w:rsid w:val="009739EC"/>
    <w:rsid w:val="00974352"/>
    <w:rsid w:val="009757D2"/>
    <w:rsid w:val="009860AB"/>
    <w:rsid w:val="00997435"/>
    <w:rsid w:val="009A0E1D"/>
    <w:rsid w:val="009B63F3"/>
    <w:rsid w:val="009C0DB2"/>
    <w:rsid w:val="009D27F4"/>
    <w:rsid w:val="009F5660"/>
    <w:rsid w:val="00A061B6"/>
    <w:rsid w:val="00A10F2D"/>
    <w:rsid w:val="00A21313"/>
    <w:rsid w:val="00A213F7"/>
    <w:rsid w:val="00A275BB"/>
    <w:rsid w:val="00A32786"/>
    <w:rsid w:val="00A341BF"/>
    <w:rsid w:val="00A35B1F"/>
    <w:rsid w:val="00A37244"/>
    <w:rsid w:val="00A47818"/>
    <w:rsid w:val="00A50F39"/>
    <w:rsid w:val="00A536F9"/>
    <w:rsid w:val="00A565D9"/>
    <w:rsid w:val="00A80DA6"/>
    <w:rsid w:val="00A85268"/>
    <w:rsid w:val="00A91039"/>
    <w:rsid w:val="00AA0B4F"/>
    <w:rsid w:val="00AB3365"/>
    <w:rsid w:val="00AD2359"/>
    <w:rsid w:val="00AD4844"/>
    <w:rsid w:val="00AD7B77"/>
    <w:rsid w:val="00AE093E"/>
    <w:rsid w:val="00AE16F6"/>
    <w:rsid w:val="00AF3225"/>
    <w:rsid w:val="00AF7213"/>
    <w:rsid w:val="00B2414F"/>
    <w:rsid w:val="00B27699"/>
    <w:rsid w:val="00B522D8"/>
    <w:rsid w:val="00B64C29"/>
    <w:rsid w:val="00B9062E"/>
    <w:rsid w:val="00BA576D"/>
    <w:rsid w:val="00BD7CBC"/>
    <w:rsid w:val="00BE203C"/>
    <w:rsid w:val="00BE6804"/>
    <w:rsid w:val="00BE7592"/>
    <w:rsid w:val="00C104DA"/>
    <w:rsid w:val="00C16DC8"/>
    <w:rsid w:val="00C21AB1"/>
    <w:rsid w:val="00C303B0"/>
    <w:rsid w:val="00C30F1E"/>
    <w:rsid w:val="00C46122"/>
    <w:rsid w:val="00C718DA"/>
    <w:rsid w:val="00CA299B"/>
    <w:rsid w:val="00CC43A7"/>
    <w:rsid w:val="00CC6A59"/>
    <w:rsid w:val="00CD0C25"/>
    <w:rsid w:val="00CD3EB3"/>
    <w:rsid w:val="00CD4B56"/>
    <w:rsid w:val="00CF36CA"/>
    <w:rsid w:val="00D0717E"/>
    <w:rsid w:val="00D16A7B"/>
    <w:rsid w:val="00D26359"/>
    <w:rsid w:val="00D46859"/>
    <w:rsid w:val="00D54FB1"/>
    <w:rsid w:val="00D6626F"/>
    <w:rsid w:val="00D70447"/>
    <w:rsid w:val="00D82DC1"/>
    <w:rsid w:val="00D96283"/>
    <w:rsid w:val="00DE6110"/>
    <w:rsid w:val="00DF29F8"/>
    <w:rsid w:val="00DF3E9E"/>
    <w:rsid w:val="00DF5C28"/>
    <w:rsid w:val="00E01B4E"/>
    <w:rsid w:val="00E0325C"/>
    <w:rsid w:val="00E17152"/>
    <w:rsid w:val="00E25C78"/>
    <w:rsid w:val="00E74E14"/>
    <w:rsid w:val="00E8363D"/>
    <w:rsid w:val="00E945E2"/>
    <w:rsid w:val="00E95E6A"/>
    <w:rsid w:val="00EA10C6"/>
    <w:rsid w:val="00EB30E5"/>
    <w:rsid w:val="00EC0021"/>
    <w:rsid w:val="00EC2200"/>
    <w:rsid w:val="00EE1DB9"/>
    <w:rsid w:val="00EE2381"/>
    <w:rsid w:val="00EE3170"/>
    <w:rsid w:val="00EF49D3"/>
    <w:rsid w:val="00EF5DC7"/>
    <w:rsid w:val="00EF6477"/>
    <w:rsid w:val="00F17908"/>
    <w:rsid w:val="00F357F4"/>
    <w:rsid w:val="00F4109A"/>
    <w:rsid w:val="00F43479"/>
    <w:rsid w:val="00F530A8"/>
    <w:rsid w:val="00F65A71"/>
    <w:rsid w:val="00F815CD"/>
    <w:rsid w:val="00F81F97"/>
    <w:rsid w:val="00F82BAE"/>
    <w:rsid w:val="00F843A5"/>
    <w:rsid w:val="00FB34A7"/>
    <w:rsid w:val="00FB6F3D"/>
    <w:rsid w:val="00FD4845"/>
    <w:rsid w:val="00FE00C5"/>
    <w:rsid w:val="00FF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361EF7"/>
  <w15:docId w15:val="{9A715B7B-8CB2-4AC9-86C7-C38674E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8E"/>
    <w:pPr>
      <w:widowControl w:val="0"/>
      <w:spacing w:line="240" w:lineRule="exac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6C3"/>
    <w:pPr>
      <w:spacing w:line="480" w:lineRule="exact"/>
      <w:ind w:firstLine="720"/>
    </w:pPr>
  </w:style>
  <w:style w:type="character" w:customStyle="1" w:styleId="BodyTextChar">
    <w:name w:val="Body Text Char"/>
    <w:basedOn w:val="DefaultParagraphFont"/>
    <w:link w:val="BodyText"/>
    <w:rsid w:val="001336C3"/>
    <w:rPr>
      <w:rFonts w:ascii="Times New Roman" w:eastAsia="Times New Roman" w:hAnsi="Times New Roman" w:cs="Times New Roman"/>
      <w:szCs w:val="20"/>
    </w:rPr>
  </w:style>
  <w:style w:type="paragraph" w:styleId="Caption">
    <w:name w:val="caption"/>
    <w:basedOn w:val="Normal"/>
    <w:next w:val="Normal"/>
    <w:qFormat/>
    <w:rsid w:val="001336C3"/>
    <w:rPr>
      <w:bCs/>
    </w:rPr>
  </w:style>
  <w:style w:type="paragraph" w:customStyle="1" w:styleId="Court">
    <w:name w:val="Court"/>
    <w:basedOn w:val="Normal"/>
    <w:rsid w:val="001336C3"/>
    <w:pPr>
      <w:spacing w:before="40" w:after="660" w:line="480" w:lineRule="exact"/>
      <w:jc w:val="center"/>
    </w:pPr>
    <w:rPr>
      <w:caps/>
      <w:szCs w:val="24"/>
    </w:rPr>
  </w:style>
  <w:style w:type="paragraph" w:customStyle="1" w:styleId="DocumentTitle">
    <w:name w:val="Document Title"/>
    <w:basedOn w:val="Normal"/>
    <w:rsid w:val="001336C3"/>
    <w:pPr>
      <w:tabs>
        <w:tab w:val="left" w:pos="1238"/>
      </w:tabs>
      <w:spacing w:after="240"/>
      <w:ind w:left="259" w:right="115"/>
    </w:pPr>
    <w:rPr>
      <w:szCs w:val="24"/>
    </w:rPr>
  </w:style>
  <w:style w:type="paragraph" w:customStyle="1" w:styleId="FirmInformation">
    <w:name w:val="Firm Information"/>
    <w:basedOn w:val="Normal"/>
    <w:rsid w:val="001336C3"/>
    <w:pPr>
      <w:ind w:right="144"/>
    </w:pPr>
  </w:style>
  <w:style w:type="paragraph" w:styleId="Footer">
    <w:name w:val="footer"/>
    <w:basedOn w:val="Normal"/>
    <w:link w:val="FooterChar"/>
    <w:rsid w:val="001336C3"/>
    <w:pPr>
      <w:tabs>
        <w:tab w:val="center" w:pos="4320"/>
        <w:tab w:val="right" w:pos="9360"/>
      </w:tabs>
      <w:spacing w:line="200" w:lineRule="exact"/>
    </w:pPr>
  </w:style>
  <w:style w:type="character" w:customStyle="1" w:styleId="FooterChar">
    <w:name w:val="Footer Char"/>
    <w:basedOn w:val="DefaultParagraphFont"/>
    <w:link w:val="Footer"/>
    <w:rsid w:val="001336C3"/>
    <w:rPr>
      <w:rFonts w:ascii="Times New Roman" w:eastAsia="Times New Roman" w:hAnsi="Times New Roman" w:cs="Times New Roman"/>
      <w:szCs w:val="20"/>
    </w:rPr>
  </w:style>
  <w:style w:type="paragraph" w:styleId="Header">
    <w:name w:val="header"/>
    <w:basedOn w:val="Normal"/>
    <w:link w:val="HeaderChar"/>
    <w:rsid w:val="001336C3"/>
    <w:pPr>
      <w:tabs>
        <w:tab w:val="center" w:pos="4320"/>
        <w:tab w:val="right" w:pos="9360"/>
      </w:tabs>
    </w:pPr>
  </w:style>
  <w:style w:type="character" w:customStyle="1" w:styleId="HeaderChar">
    <w:name w:val="Header Char"/>
    <w:basedOn w:val="DefaultParagraphFont"/>
    <w:link w:val="Header"/>
    <w:rsid w:val="001336C3"/>
    <w:rPr>
      <w:rFonts w:ascii="Times New Roman" w:eastAsia="Times New Roman" w:hAnsi="Times New Roman" w:cs="Times New Roman"/>
      <w:szCs w:val="20"/>
    </w:rPr>
  </w:style>
  <w:style w:type="paragraph" w:customStyle="1" w:styleId="HeaderNumbers">
    <w:name w:val="HeaderNumbers"/>
    <w:basedOn w:val="Normal"/>
    <w:rsid w:val="001336C3"/>
    <w:pPr>
      <w:spacing w:before="720" w:line="480" w:lineRule="exact"/>
      <w:ind w:right="144"/>
      <w:jc w:val="right"/>
    </w:pPr>
  </w:style>
  <w:style w:type="character" w:styleId="PageNumber">
    <w:name w:val="page number"/>
    <w:rsid w:val="001336C3"/>
    <w:rPr>
      <w:sz w:val="24"/>
    </w:rPr>
  </w:style>
  <w:style w:type="paragraph" w:customStyle="1" w:styleId="FooterDocumentTitle">
    <w:name w:val="Footer Document Title"/>
    <w:basedOn w:val="Normal"/>
    <w:rsid w:val="001336C3"/>
    <w:pPr>
      <w:widowControl/>
      <w:spacing w:line="240" w:lineRule="auto"/>
      <w:jc w:val="right"/>
    </w:pPr>
    <w:rPr>
      <w:sz w:val="22"/>
      <w:szCs w:val="22"/>
    </w:rPr>
  </w:style>
  <w:style w:type="character" w:customStyle="1" w:styleId="zzmpTrailerItem">
    <w:name w:val="zzmpTrailerItem"/>
    <w:rsid w:val="001336C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336C3"/>
    <w:rPr>
      <w:color w:val="0563C1" w:themeColor="hyperlink"/>
      <w:u w:val="single"/>
    </w:rPr>
  </w:style>
  <w:style w:type="character" w:customStyle="1" w:styleId="UnresolvedMention1">
    <w:name w:val="Unresolved Mention1"/>
    <w:basedOn w:val="DefaultParagraphFont"/>
    <w:uiPriority w:val="99"/>
    <w:rsid w:val="001336C3"/>
    <w:rPr>
      <w:color w:val="605E5C"/>
      <w:shd w:val="clear" w:color="auto" w:fill="E1DFDD"/>
    </w:rPr>
  </w:style>
  <w:style w:type="paragraph" w:styleId="FootnoteText">
    <w:name w:val="footnote text"/>
    <w:basedOn w:val="Normal"/>
    <w:link w:val="FootnoteTextChar"/>
    <w:uiPriority w:val="99"/>
    <w:semiHidden/>
    <w:unhideWhenUsed/>
    <w:rsid w:val="001336C3"/>
    <w:pPr>
      <w:spacing w:line="240" w:lineRule="auto"/>
    </w:pPr>
    <w:rPr>
      <w:sz w:val="20"/>
    </w:rPr>
  </w:style>
  <w:style w:type="character" w:customStyle="1" w:styleId="FootnoteTextChar">
    <w:name w:val="Footnote Text Char"/>
    <w:basedOn w:val="DefaultParagraphFont"/>
    <w:link w:val="FootnoteText"/>
    <w:uiPriority w:val="99"/>
    <w:semiHidden/>
    <w:rsid w:val="001336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36C3"/>
    <w:rPr>
      <w:vertAlign w:val="superscript"/>
    </w:rPr>
  </w:style>
  <w:style w:type="paragraph" w:styleId="BalloonText">
    <w:name w:val="Balloon Text"/>
    <w:basedOn w:val="Normal"/>
    <w:link w:val="BalloonTextChar"/>
    <w:uiPriority w:val="99"/>
    <w:semiHidden/>
    <w:unhideWhenUsed/>
    <w:rsid w:val="00FB6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3D"/>
    <w:rPr>
      <w:rFonts w:ascii="Segoe UI" w:eastAsia="Times New Roman" w:hAnsi="Segoe UI" w:cs="Segoe UI"/>
      <w:sz w:val="18"/>
      <w:szCs w:val="18"/>
    </w:rPr>
  </w:style>
  <w:style w:type="table" w:styleId="TableGrid">
    <w:name w:val="Table Grid"/>
    <w:basedOn w:val="TableNormal"/>
    <w:uiPriority w:val="39"/>
    <w:rsid w:val="003A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71960"/>
    <w:pPr>
      <w:widowControl/>
      <w:spacing w:line="480" w:lineRule="exact"/>
      <w:ind w:firstLine="1440"/>
    </w:pPr>
    <w:rPr>
      <w:sz w:val="26"/>
    </w:rPr>
  </w:style>
  <w:style w:type="character" w:styleId="CommentReference">
    <w:name w:val="annotation reference"/>
    <w:basedOn w:val="DefaultParagraphFont"/>
    <w:uiPriority w:val="99"/>
    <w:semiHidden/>
    <w:unhideWhenUsed/>
    <w:rsid w:val="00C46122"/>
    <w:rPr>
      <w:sz w:val="16"/>
      <w:szCs w:val="16"/>
    </w:rPr>
  </w:style>
  <w:style w:type="paragraph" w:styleId="CommentText">
    <w:name w:val="annotation text"/>
    <w:basedOn w:val="Normal"/>
    <w:link w:val="CommentTextChar"/>
    <w:uiPriority w:val="99"/>
    <w:unhideWhenUsed/>
    <w:rsid w:val="00C46122"/>
    <w:pPr>
      <w:spacing w:line="240" w:lineRule="auto"/>
    </w:pPr>
    <w:rPr>
      <w:sz w:val="20"/>
    </w:rPr>
  </w:style>
  <w:style w:type="character" w:customStyle="1" w:styleId="CommentTextChar">
    <w:name w:val="Comment Text Char"/>
    <w:basedOn w:val="DefaultParagraphFont"/>
    <w:link w:val="CommentText"/>
    <w:uiPriority w:val="99"/>
    <w:rsid w:val="00C461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122"/>
    <w:rPr>
      <w:b/>
      <w:bCs/>
    </w:rPr>
  </w:style>
  <w:style w:type="character" w:customStyle="1" w:styleId="CommentSubjectChar">
    <w:name w:val="Comment Subject Char"/>
    <w:basedOn w:val="CommentTextChar"/>
    <w:link w:val="CommentSubject"/>
    <w:uiPriority w:val="99"/>
    <w:semiHidden/>
    <w:rsid w:val="00C46122"/>
    <w:rPr>
      <w:rFonts w:ascii="Times New Roman" w:eastAsia="Times New Roman" w:hAnsi="Times New Roman" w:cs="Times New Roman"/>
      <w:b/>
      <w:bCs/>
      <w:sz w:val="20"/>
      <w:szCs w:val="20"/>
    </w:rPr>
  </w:style>
  <w:style w:type="paragraph" w:styleId="NormalWeb">
    <w:name w:val="Normal (Web)"/>
    <w:basedOn w:val="Normal"/>
    <w:uiPriority w:val="99"/>
    <w:unhideWhenUsed/>
    <w:rsid w:val="004C643F"/>
    <w:pPr>
      <w:widowControl/>
      <w:spacing w:before="100" w:beforeAutospacing="1" w:after="100" w:afterAutospacing="1" w:line="240" w:lineRule="auto"/>
    </w:pPr>
    <w:rPr>
      <w:szCs w:val="24"/>
    </w:rPr>
  </w:style>
  <w:style w:type="character" w:styleId="UnresolvedMention">
    <w:name w:val="Unresolved Mention"/>
    <w:basedOn w:val="DefaultParagraphFont"/>
    <w:uiPriority w:val="99"/>
    <w:semiHidden/>
    <w:unhideWhenUsed/>
    <w:rsid w:val="000358A5"/>
    <w:rPr>
      <w:color w:val="605E5C"/>
      <w:shd w:val="clear" w:color="auto" w:fill="E1DFDD"/>
    </w:rPr>
  </w:style>
  <w:style w:type="paragraph" w:styleId="Revision">
    <w:name w:val="Revision"/>
    <w:hidden/>
    <w:uiPriority w:val="99"/>
    <w:semiHidden/>
    <w:rsid w:val="008533A2"/>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E4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219">
      <w:bodyDiv w:val="1"/>
      <w:marLeft w:val="0"/>
      <w:marRight w:val="0"/>
      <w:marTop w:val="0"/>
      <w:marBottom w:val="0"/>
      <w:divBdr>
        <w:top w:val="none" w:sz="0" w:space="0" w:color="auto"/>
        <w:left w:val="none" w:sz="0" w:space="0" w:color="auto"/>
        <w:bottom w:val="none" w:sz="0" w:space="0" w:color="auto"/>
        <w:right w:val="none" w:sz="0" w:space="0" w:color="auto"/>
      </w:divBdr>
      <w:divsChild>
        <w:div w:id="1854298482">
          <w:marLeft w:val="0"/>
          <w:marRight w:val="0"/>
          <w:marTop w:val="0"/>
          <w:marBottom w:val="0"/>
          <w:divBdr>
            <w:top w:val="none" w:sz="0" w:space="0" w:color="auto"/>
            <w:left w:val="none" w:sz="0" w:space="0" w:color="auto"/>
            <w:bottom w:val="none" w:sz="0" w:space="0" w:color="auto"/>
            <w:right w:val="none" w:sz="0" w:space="0" w:color="auto"/>
          </w:divBdr>
        </w:div>
      </w:divsChild>
    </w:div>
    <w:div w:id="41516936">
      <w:bodyDiv w:val="1"/>
      <w:marLeft w:val="0"/>
      <w:marRight w:val="0"/>
      <w:marTop w:val="0"/>
      <w:marBottom w:val="0"/>
      <w:divBdr>
        <w:top w:val="none" w:sz="0" w:space="0" w:color="auto"/>
        <w:left w:val="none" w:sz="0" w:space="0" w:color="auto"/>
        <w:bottom w:val="none" w:sz="0" w:space="0" w:color="auto"/>
        <w:right w:val="none" w:sz="0" w:space="0" w:color="auto"/>
      </w:divBdr>
    </w:div>
    <w:div w:id="584996623">
      <w:bodyDiv w:val="1"/>
      <w:marLeft w:val="0"/>
      <w:marRight w:val="0"/>
      <w:marTop w:val="0"/>
      <w:marBottom w:val="0"/>
      <w:divBdr>
        <w:top w:val="none" w:sz="0" w:space="0" w:color="auto"/>
        <w:left w:val="none" w:sz="0" w:space="0" w:color="auto"/>
        <w:bottom w:val="none" w:sz="0" w:space="0" w:color="auto"/>
        <w:right w:val="none" w:sz="0" w:space="0" w:color="auto"/>
      </w:divBdr>
      <w:divsChild>
        <w:div w:id="1357776964">
          <w:marLeft w:val="0"/>
          <w:marRight w:val="0"/>
          <w:marTop w:val="0"/>
          <w:marBottom w:val="0"/>
          <w:divBdr>
            <w:top w:val="none" w:sz="0" w:space="0" w:color="auto"/>
            <w:left w:val="none" w:sz="0" w:space="0" w:color="auto"/>
            <w:bottom w:val="none" w:sz="0" w:space="0" w:color="auto"/>
            <w:right w:val="none" w:sz="0" w:space="0" w:color="auto"/>
          </w:divBdr>
        </w:div>
      </w:divsChild>
    </w:div>
    <w:div w:id="702940690">
      <w:bodyDiv w:val="1"/>
      <w:marLeft w:val="0"/>
      <w:marRight w:val="0"/>
      <w:marTop w:val="0"/>
      <w:marBottom w:val="0"/>
      <w:divBdr>
        <w:top w:val="none" w:sz="0" w:space="0" w:color="auto"/>
        <w:left w:val="none" w:sz="0" w:space="0" w:color="auto"/>
        <w:bottom w:val="none" w:sz="0" w:space="0" w:color="auto"/>
        <w:right w:val="none" w:sz="0" w:space="0" w:color="auto"/>
      </w:divBdr>
      <w:divsChild>
        <w:div w:id="1627345700">
          <w:marLeft w:val="0"/>
          <w:marRight w:val="0"/>
          <w:marTop w:val="0"/>
          <w:marBottom w:val="0"/>
          <w:divBdr>
            <w:top w:val="none" w:sz="0" w:space="0" w:color="auto"/>
            <w:left w:val="none" w:sz="0" w:space="0" w:color="auto"/>
            <w:bottom w:val="none" w:sz="0" w:space="0" w:color="auto"/>
            <w:right w:val="none" w:sz="0" w:space="0" w:color="auto"/>
          </w:divBdr>
        </w:div>
      </w:divsChild>
    </w:div>
    <w:div w:id="714157262">
      <w:bodyDiv w:val="1"/>
      <w:marLeft w:val="0"/>
      <w:marRight w:val="0"/>
      <w:marTop w:val="0"/>
      <w:marBottom w:val="0"/>
      <w:divBdr>
        <w:top w:val="none" w:sz="0" w:space="0" w:color="auto"/>
        <w:left w:val="none" w:sz="0" w:space="0" w:color="auto"/>
        <w:bottom w:val="none" w:sz="0" w:space="0" w:color="auto"/>
        <w:right w:val="none" w:sz="0" w:space="0" w:color="auto"/>
      </w:divBdr>
    </w:div>
    <w:div w:id="949817739">
      <w:bodyDiv w:val="1"/>
      <w:marLeft w:val="0"/>
      <w:marRight w:val="0"/>
      <w:marTop w:val="0"/>
      <w:marBottom w:val="0"/>
      <w:divBdr>
        <w:top w:val="none" w:sz="0" w:space="0" w:color="auto"/>
        <w:left w:val="none" w:sz="0" w:space="0" w:color="auto"/>
        <w:bottom w:val="none" w:sz="0" w:space="0" w:color="auto"/>
        <w:right w:val="none" w:sz="0" w:space="0" w:color="auto"/>
      </w:divBdr>
      <w:divsChild>
        <w:div w:id="1870071293">
          <w:marLeft w:val="0"/>
          <w:marRight w:val="0"/>
          <w:marTop w:val="0"/>
          <w:marBottom w:val="0"/>
          <w:divBdr>
            <w:top w:val="none" w:sz="0" w:space="0" w:color="auto"/>
            <w:left w:val="none" w:sz="0" w:space="0" w:color="auto"/>
            <w:bottom w:val="none" w:sz="0" w:space="0" w:color="auto"/>
            <w:right w:val="none" w:sz="0" w:space="0" w:color="auto"/>
          </w:divBdr>
        </w:div>
      </w:divsChild>
    </w:div>
    <w:div w:id="121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125703">
          <w:marLeft w:val="0"/>
          <w:marRight w:val="0"/>
          <w:marTop w:val="0"/>
          <w:marBottom w:val="0"/>
          <w:divBdr>
            <w:top w:val="none" w:sz="0" w:space="0" w:color="auto"/>
            <w:left w:val="none" w:sz="0" w:space="0" w:color="auto"/>
            <w:bottom w:val="none" w:sz="0" w:space="0" w:color="auto"/>
            <w:right w:val="none" w:sz="0" w:space="0" w:color="auto"/>
          </w:divBdr>
        </w:div>
      </w:divsChild>
    </w:div>
    <w:div w:id="1511873866">
      <w:bodyDiv w:val="1"/>
      <w:marLeft w:val="0"/>
      <w:marRight w:val="0"/>
      <w:marTop w:val="0"/>
      <w:marBottom w:val="0"/>
      <w:divBdr>
        <w:top w:val="none" w:sz="0" w:space="0" w:color="auto"/>
        <w:left w:val="none" w:sz="0" w:space="0" w:color="auto"/>
        <w:bottom w:val="none" w:sz="0" w:space="0" w:color="auto"/>
        <w:right w:val="none" w:sz="0" w:space="0" w:color="auto"/>
      </w:divBdr>
      <w:divsChild>
        <w:div w:id="246308232">
          <w:marLeft w:val="0"/>
          <w:marRight w:val="0"/>
          <w:marTop w:val="0"/>
          <w:marBottom w:val="0"/>
          <w:divBdr>
            <w:top w:val="none" w:sz="0" w:space="0" w:color="auto"/>
            <w:left w:val="none" w:sz="0" w:space="0" w:color="auto"/>
            <w:bottom w:val="none" w:sz="0" w:space="0" w:color="auto"/>
            <w:right w:val="none" w:sz="0" w:space="0" w:color="auto"/>
          </w:divBdr>
          <w:divsChild>
            <w:div w:id="1962229142">
              <w:marLeft w:val="0"/>
              <w:marRight w:val="0"/>
              <w:marTop w:val="0"/>
              <w:marBottom w:val="0"/>
              <w:divBdr>
                <w:top w:val="none" w:sz="0" w:space="0" w:color="auto"/>
                <w:left w:val="none" w:sz="0" w:space="0" w:color="auto"/>
                <w:bottom w:val="none" w:sz="0" w:space="0" w:color="auto"/>
                <w:right w:val="none" w:sz="0" w:space="0" w:color="auto"/>
              </w:divBdr>
            </w:div>
            <w:div w:id="1051536595">
              <w:marLeft w:val="0"/>
              <w:marRight w:val="0"/>
              <w:marTop w:val="0"/>
              <w:marBottom w:val="0"/>
              <w:divBdr>
                <w:top w:val="none" w:sz="0" w:space="0" w:color="auto"/>
                <w:left w:val="none" w:sz="0" w:space="0" w:color="auto"/>
                <w:bottom w:val="none" w:sz="0" w:space="0" w:color="auto"/>
                <w:right w:val="none" w:sz="0" w:space="0" w:color="auto"/>
              </w:divBdr>
            </w:div>
            <w:div w:id="925189792">
              <w:marLeft w:val="0"/>
              <w:marRight w:val="0"/>
              <w:marTop w:val="0"/>
              <w:marBottom w:val="0"/>
              <w:divBdr>
                <w:top w:val="none" w:sz="0" w:space="0" w:color="auto"/>
                <w:left w:val="none" w:sz="0" w:space="0" w:color="auto"/>
                <w:bottom w:val="none" w:sz="0" w:space="0" w:color="auto"/>
                <w:right w:val="none" w:sz="0" w:space="0" w:color="auto"/>
              </w:divBdr>
            </w:div>
          </w:divsChild>
        </w:div>
        <w:div w:id="1435397096">
          <w:marLeft w:val="0"/>
          <w:marRight w:val="0"/>
          <w:marTop w:val="0"/>
          <w:marBottom w:val="0"/>
          <w:divBdr>
            <w:top w:val="none" w:sz="0" w:space="0" w:color="auto"/>
            <w:left w:val="none" w:sz="0" w:space="0" w:color="auto"/>
            <w:bottom w:val="none" w:sz="0" w:space="0" w:color="auto"/>
            <w:right w:val="none" w:sz="0" w:space="0" w:color="auto"/>
          </w:divBdr>
        </w:div>
      </w:divsChild>
    </w:div>
    <w:div w:id="1541235797">
      <w:bodyDiv w:val="1"/>
      <w:marLeft w:val="0"/>
      <w:marRight w:val="0"/>
      <w:marTop w:val="0"/>
      <w:marBottom w:val="0"/>
      <w:divBdr>
        <w:top w:val="none" w:sz="0" w:space="0" w:color="auto"/>
        <w:left w:val="none" w:sz="0" w:space="0" w:color="auto"/>
        <w:bottom w:val="none" w:sz="0" w:space="0" w:color="auto"/>
        <w:right w:val="none" w:sz="0" w:space="0" w:color="auto"/>
      </w:divBdr>
      <w:divsChild>
        <w:div w:id="1164777980">
          <w:marLeft w:val="0"/>
          <w:marRight w:val="0"/>
          <w:marTop w:val="0"/>
          <w:marBottom w:val="0"/>
          <w:divBdr>
            <w:top w:val="none" w:sz="0" w:space="0" w:color="auto"/>
            <w:left w:val="none" w:sz="0" w:space="0" w:color="auto"/>
            <w:bottom w:val="none" w:sz="0" w:space="0" w:color="auto"/>
            <w:right w:val="none" w:sz="0" w:space="0" w:color="auto"/>
          </w:divBdr>
        </w:div>
      </w:divsChild>
    </w:div>
    <w:div w:id="1685012704">
      <w:bodyDiv w:val="1"/>
      <w:marLeft w:val="0"/>
      <w:marRight w:val="0"/>
      <w:marTop w:val="0"/>
      <w:marBottom w:val="0"/>
      <w:divBdr>
        <w:top w:val="none" w:sz="0" w:space="0" w:color="auto"/>
        <w:left w:val="none" w:sz="0" w:space="0" w:color="auto"/>
        <w:bottom w:val="none" w:sz="0" w:space="0" w:color="auto"/>
        <w:right w:val="none" w:sz="0" w:space="0" w:color="auto"/>
      </w:divBdr>
      <w:divsChild>
        <w:div w:id="694623500">
          <w:marLeft w:val="0"/>
          <w:marRight w:val="0"/>
          <w:marTop w:val="0"/>
          <w:marBottom w:val="0"/>
          <w:divBdr>
            <w:top w:val="none" w:sz="0" w:space="0" w:color="auto"/>
            <w:left w:val="none" w:sz="0" w:space="0" w:color="auto"/>
            <w:bottom w:val="none" w:sz="0" w:space="0" w:color="auto"/>
            <w:right w:val="none" w:sz="0" w:space="0" w:color="auto"/>
          </w:divBdr>
        </w:div>
      </w:divsChild>
    </w:div>
    <w:div w:id="1706174278">
      <w:bodyDiv w:val="1"/>
      <w:marLeft w:val="0"/>
      <w:marRight w:val="0"/>
      <w:marTop w:val="0"/>
      <w:marBottom w:val="0"/>
      <w:divBdr>
        <w:top w:val="none" w:sz="0" w:space="0" w:color="auto"/>
        <w:left w:val="none" w:sz="0" w:space="0" w:color="auto"/>
        <w:bottom w:val="none" w:sz="0" w:space="0" w:color="auto"/>
        <w:right w:val="none" w:sz="0" w:space="0" w:color="auto"/>
      </w:divBdr>
      <w:divsChild>
        <w:div w:id="1857229528">
          <w:marLeft w:val="0"/>
          <w:marRight w:val="0"/>
          <w:marTop w:val="0"/>
          <w:marBottom w:val="0"/>
          <w:divBdr>
            <w:top w:val="none" w:sz="0" w:space="0" w:color="auto"/>
            <w:left w:val="none" w:sz="0" w:space="0" w:color="auto"/>
            <w:bottom w:val="none" w:sz="0" w:space="0" w:color="auto"/>
            <w:right w:val="none" w:sz="0" w:space="0" w:color="auto"/>
          </w:divBdr>
        </w:div>
      </w:divsChild>
    </w:div>
    <w:div w:id="1759716129">
      <w:bodyDiv w:val="1"/>
      <w:marLeft w:val="0"/>
      <w:marRight w:val="0"/>
      <w:marTop w:val="0"/>
      <w:marBottom w:val="0"/>
      <w:divBdr>
        <w:top w:val="none" w:sz="0" w:space="0" w:color="auto"/>
        <w:left w:val="none" w:sz="0" w:space="0" w:color="auto"/>
        <w:bottom w:val="none" w:sz="0" w:space="0" w:color="auto"/>
        <w:right w:val="none" w:sz="0" w:space="0" w:color="auto"/>
      </w:divBdr>
      <w:divsChild>
        <w:div w:id="2125037042">
          <w:marLeft w:val="0"/>
          <w:marRight w:val="0"/>
          <w:marTop w:val="0"/>
          <w:marBottom w:val="0"/>
          <w:divBdr>
            <w:top w:val="none" w:sz="0" w:space="0" w:color="auto"/>
            <w:left w:val="none" w:sz="0" w:space="0" w:color="auto"/>
            <w:bottom w:val="none" w:sz="0" w:space="0" w:color="auto"/>
            <w:right w:val="none" w:sz="0" w:space="0" w:color="auto"/>
          </w:divBdr>
        </w:div>
      </w:divsChild>
    </w:div>
    <w:div w:id="2103992611">
      <w:bodyDiv w:val="1"/>
      <w:marLeft w:val="0"/>
      <w:marRight w:val="0"/>
      <w:marTop w:val="0"/>
      <w:marBottom w:val="0"/>
      <w:divBdr>
        <w:top w:val="none" w:sz="0" w:space="0" w:color="auto"/>
        <w:left w:val="none" w:sz="0" w:space="0" w:color="auto"/>
        <w:bottom w:val="none" w:sz="0" w:space="0" w:color="auto"/>
        <w:right w:val="none" w:sz="0" w:space="0" w:color="auto"/>
      </w:divBdr>
      <w:divsChild>
        <w:div w:id="16548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tatemuseum.arizona.edu/programs/american-indian-relations/tribes-arizona" TargetMode="External"/><Relationship Id="rId1" Type="http://schemas.openxmlformats.org/officeDocument/2006/relationships/hyperlink" Target="https://www.uscourts.gov/sites/default/files/fr_import/EV05-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A1FE00BD9CD74C950E621A8CB58FEE" ma:contentTypeVersion="15" ma:contentTypeDescription="Create a new document." ma:contentTypeScope="" ma:versionID="f20d4c08f9a1f2a5f1ce16ed50d8139e">
  <xsd:schema xmlns:xsd="http://www.w3.org/2001/XMLSchema" xmlns:xs="http://www.w3.org/2001/XMLSchema" xmlns:p="http://schemas.microsoft.com/office/2006/metadata/properties" xmlns:ns1="http://schemas.microsoft.com/sharepoint/v3" xmlns:ns3="548762bf-9276-4a92-8ac8-8db83120f2b8" xmlns:ns4="1e896388-4131-4b47-80d4-710196816bd9" targetNamespace="http://schemas.microsoft.com/office/2006/metadata/properties" ma:root="true" ma:fieldsID="e1e2e1e60457b09a2dfa8e4029e97864" ns1:_="" ns3:_="" ns4:_="">
    <xsd:import namespace="http://schemas.microsoft.com/sharepoint/v3"/>
    <xsd:import namespace="548762bf-9276-4a92-8ac8-8db83120f2b8"/>
    <xsd:import namespace="1e896388-4131-4b47-80d4-710196816b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762bf-9276-4a92-8ac8-8db83120f2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6388-4131-4b47-80d4-710196816b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6253B-5556-411F-9D64-A20B4D6B0A6F}">
  <ds:schemaRefs>
    <ds:schemaRef ds:uri="http://schemas.microsoft.com/sharepoint/v3/contenttype/forms"/>
  </ds:schemaRefs>
</ds:datastoreItem>
</file>

<file path=customXml/itemProps2.xml><?xml version="1.0" encoding="utf-8"?>
<ds:datastoreItem xmlns:ds="http://schemas.openxmlformats.org/officeDocument/2006/customXml" ds:itemID="{335DC259-A24B-41BF-960F-262098255A4D}">
  <ds:schemaRefs>
    <ds:schemaRef ds:uri="1e896388-4131-4b47-80d4-710196816bd9"/>
    <ds:schemaRef ds:uri="http://purl.org/dc/dcmitype/"/>
    <ds:schemaRef ds:uri="http://www.w3.org/XML/1998/namespace"/>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48762bf-9276-4a92-8ac8-8db83120f2b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AD11B80-67FB-4171-91AD-A9BA4AF5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8762bf-9276-4a92-8ac8-8db83120f2b8"/>
    <ds:schemaRef ds:uri="1e896388-4131-4b47-80d4-710196816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AB8C5-B69A-43AF-B613-A664D65A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Berch</dc:creator>
  <cp:lastModifiedBy>Sara Agne (SUP)</cp:lastModifiedBy>
  <cp:revision>9</cp:revision>
  <cp:lastPrinted>2023-04-12T19:18:00Z</cp:lastPrinted>
  <dcterms:created xsi:type="dcterms:W3CDTF">2023-04-12T21:35:00Z</dcterms:created>
  <dcterms:modified xsi:type="dcterms:W3CDTF">2023-05-01T01:07:00Z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0x01010028A1FE00BD9CD74C950E621A8CB58FEE</vt:lpwstr>
  </property>
</Properties>
</file>