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6F4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Rosemarie Pena-Lynch</w:t>
      </w:r>
      <w:r w:rsidRPr="00A00E0C">
        <w:rPr>
          <w:rFonts w:ascii="Times New Roman" w:hAnsi="Times New Roman"/>
          <w:sz w:val="28"/>
          <w:szCs w:val="28"/>
        </w:rPr>
        <w:tab/>
        <w:t>Gary Kula</w:t>
      </w:r>
    </w:p>
    <w:p w14:paraId="3D34614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023400</w:t>
      </w:r>
      <w:r w:rsidRPr="00A00E0C">
        <w:rPr>
          <w:rFonts w:ascii="Times New Roman" w:hAnsi="Times New Roman"/>
          <w:sz w:val="28"/>
          <w:szCs w:val="28"/>
        </w:rPr>
        <w:tab/>
        <w:t>Bar No. 012507</w:t>
      </w:r>
    </w:p>
    <w:p w14:paraId="1D8528B4" w14:textId="167A0875"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Public Defense Svc.</w:t>
      </w:r>
      <w:r w:rsidRPr="00A00E0C">
        <w:rPr>
          <w:rFonts w:ascii="Times New Roman" w:hAnsi="Times New Roman"/>
          <w:sz w:val="28"/>
          <w:szCs w:val="28"/>
        </w:rPr>
        <w:tab/>
        <w:t>Mcpa. Cnty. Public Defenders Ofc.</w:t>
      </w:r>
    </w:p>
    <w:p w14:paraId="18774C8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620 W. Jackson, Suite 3076</w:t>
      </w:r>
      <w:r w:rsidRPr="00A00E0C">
        <w:rPr>
          <w:rFonts w:ascii="Times New Roman" w:hAnsi="Times New Roman"/>
          <w:sz w:val="28"/>
          <w:szCs w:val="28"/>
        </w:rPr>
        <w:tab/>
        <w:t>620 W. Jackson, Suite 4015</w:t>
      </w:r>
    </w:p>
    <w:p w14:paraId="33C0517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85003</w:t>
      </w:r>
      <w:r w:rsidRPr="00A00E0C">
        <w:rPr>
          <w:rFonts w:ascii="Times New Roman" w:hAnsi="Times New Roman"/>
          <w:sz w:val="28"/>
          <w:szCs w:val="28"/>
        </w:rPr>
        <w:tab/>
        <w:t>Phoenix, AZ 85003</w:t>
      </w:r>
    </w:p>
    <w:p w14:paraId="7401AAA0"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506-7228</w:t>
      </w:r>
      <w:r w:rsidRPr="00A00E0C">
        <w:rPr>
          <w:rFonts w:ascii="Times New Roman" w:hAnsi="Times New Roman"/>
          <w:sz w:val="28"/>
          <w:szCs w:val="28"/>
        </w:rPr>
        <w:tab/>
        <w:t>(602) 506-7711</w:t>
      </w:r>
    </w:p>
    <w:p w14:paraId="7EFBB402" w14:textId="77777777" w:rsidR="00A00E0C" w:rsidRPr="00A00E0C" w:rsidRDefault="00000000" w:rsidP="00A00E0C">
      <w:pPr>
        <w:widowControl/>
        <w:tabs>
          <w:tab w:val="left" w:pos="5040"/>
        </w:tabs>
        <w:jc w:val="both"/>
        <w:rPr>
          <w:rFonts w:ascii="Times New Roman" w:hAnsi="Times New Roman"/>
          <w:sz w:val="28"/>
          <w:szCs w:val="28"/>
        </w:rPr>
      </w:pPr>
      <w:hyperlink r:id="rId8" w:history="1">
        <w:r w:rsidR="00A00E0C" w:rsidRPr="00A00E0C">
          <w:rPr>
            <w:rStyle w:val="Hyperlink"/>
            <w:rFonts w:ascii="Times New Roman" w:hAnsi="Times New Roman"/>
            <w:sz w:val="28"/>
            <w:szCs w:val="28"/>
          </w:rPr>
          <w:t>Rosemarie.Pena-Lynch@maricopa.gov</w:t>
        </w:r>
      </w:hyperlink>
      <w:r w:rsidR="00A00E0C" w:rsidRPr="00A00E0C">
        <w:rPr>
          <w:rFonts w:ascii="Times New Roman" w:hAnsi="Times New Roman"/>
          <w:sz w:val="28"/>
          <w:szCs w:val="28"/>
        </w:rPr>
        <w:tab/>
      </w:r>
      <w:hyperlink r:id="rId9" w:history="1">
        <w:r w:rsidR="00A00E0C" w:rsidRPr="00A00E0C">
          <w:rPr>
            <w:rStyle w:val="Hyperlink"/>
            <w:rFonts w:ascii="Times New Roman" w:hAnsi="Times New Roman"/>
            <w:sz w:val="28"/>
            <w:szCs w:val="28"/>
          </w:rPr>
          <w:t>Gary.Kula@maricopa.gov</w:t>
        </w:r>
      </w:hyperlink>
    </w:p>
    <w:p w14:paraId="1935A28C" w14:textId="77777777" w:rsidR="00A00E0C" w:rsidRPr="00A00E0C" w:rsidRDefault="00A00E0C" w:rsidP="00A00E0C">
      <w:pPr>
        <w:widowControl/>
        <w:jc w:val="both"/>
        <w:rPr>
          <w:rFonts w:ascii="Times New Roman" w:hAnsi="Times New Roman"/>
          <w:sz w:val="28"/>
          <w:szCs w:val="28"/>
        </w:rPr>
      </w:pPr>
    </w:p>
    <w:p w14:paraId="39A9850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Steve Koestner</w:t>
      </w:r>
      <w:r w:rsidRPr="00A00E0C">
        <w:rPr>
          <w:rFonts w:ascii="Times New Roman" w:hAnsi="Times New Roman"/>
          <w:sz w:val="28"/>
          <w:szCs w:val="28"/>
        </w:rPr>
        <w:tab/>
        <w:t>Shannon Burns</w:t>
      </w:r>
    </w:p>
    <w:p w14:paraId="3761A29B"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011566</w:t>
      </w:r>
      <w:r w:rsidRPr="00A00E0C">
        <w:rPr>
          <w:rFonts w:ascii="Times New Roman" w:hAnsi="Times New Roman"/>
          <w:sz w:val="28"/>
          <w:szCs w:val="28"/>
        </w:rPr>
        <w:tab/>
        <w:t>Bar No. 015976</w:t>
      </w:r>
    </w:p>
    <w:p w14:paraId="37A7E335"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Legal Advocate</w:t>
      </w:r>
      <w:r w:rsidRPr="00A00E0C">
        <w:rPr>
          <w:rFonts w:ascii="Times New Roman" w:hAnsi="Times New Roman"/>
          <w:sz w:val="28"/>
          <w:szCs w:val="28"/>
        </w:rPr>
        <w:tab/>
        <w:t>Mcpa. Cnty. Ofc. of Public Advocate</w:t>
      </w:r>
    </w:p>
    <w:p w14:paraId="3EC44C5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222 N. Central, Suite 154</w:t>
      </w:r>
      <w:r w:rsidRPr="00A00E0C">
        <w:rPr>
          <w:rFonts w:ascii="Times New Roman" w:hAnsi="Times New Roman"/>
          <w:sz w:val="28"/>
          <w:szCs w:val="28"/>
        </w:rPr>
        <w:tab/>
        <w:t>106 E. Baseline Rd.</w:t>
      </w:r>
    </w:p>
    <w:p w14:paraId="0BB232A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85004</w:t>
      </w:r>
      <w:r w:rsidRPr="00A00E0C">
        <w:rPr>
          <w:rFonts w:ascii="Times New Roman" w:hAnsi="Times New Roman"/>
          <w:sz w:val="28"/>
          <w:szCs w:val="28"/>
        </w:rPr>
        <w:tab/>
        <w:t>Mesa, AZ 85210</w:t>
      </w:r>
    </w:p>
    <w:p w14:paraId="4E4ED4B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506-4111</w:t>
      </w:r>
      <w:r w:rsidRPr="00A00E0C">
        <w:rPr>
          <w:rFonts w:ascii="Times New Roman" w:hAnsi="Times New Roman"/>
          <w:sz w:val="28"/>
          <w:szCs w:val="28"/>
        </w:rPr>
        <w:tab/>
        <w:t>(602) 372-2815</w:t>
      </w:r>
    </w:p>
    <w:p w14:paraId="414431D9" w14:textId="77777777" w:rsidR="00A00E0C" w:rsidRPr="00A00E0C" w:rsidRDefault="00000000" w:rsidP="00A00E0C">
      <w:pPr>
        <w:widowControl/>
        <w:tabs>
          <w:tab w:val="left" w:pos="5040"/>
        </w:tabs>
        <w:jc w:val="both"/>
        <w:rPr>
          <w:rFonts w:ascii="Times New Roman" w:hAnsi="Times New Roman"/>
          <w:sz w:val="28"/>
          <w:szCs w:val="28"/>
        </w:rPr>
      </w:pPr>
      <w:hyperlink r:id="rId10" w:history="1">
        <w:r w:rsidR="00A00E0C" w:rsidRPr="00A00E0C">
          <w:rPr>
            <w:rStyle w:val="Hyperlink"/>
            <w:rFonts w:ascii="Times New Roman" w:hAnsi="Times New Roman"/>
            <w:sz w:val="28"/>
            <w:szCs w:val="28"/>
          </w:rPr>
          <w:t>Steve.Koestner@maricopa.gov</w:t>
        </w:r>
      </w:hyperlink>
      <w:r w:rsidR="00A00E0C" w:rsidRPr="00A00E0C">
        <w:rPr>
          <w:rFonts w:ascii="Times New Roman" w:hAnsi="Times New Roman"/>
          <w:sz w:val="28"/>
          <w:szCs w:val="28"/>
        </w:rPr>
        <w:tab/>
      </w:r>
      <w:hyperlink r:id="rId11" w:history="1">
        <w:r w:rsidR="00A00E0C" w:rsidRPr="00A00E0C">
          <w:rPr>
            <w:rStyle w:val="Hyperlink"/>
            <w:rFonts w:ascii="Times New Roman" w:hAnsi="Times New Roman"/>
            <w:sz w:val="28"/>
            <w:szCs w:val="28"/>
          </w:rPr>
          <w:t>Shannon.Burns@maricopa.gov</w:t>
        </w:r>
      </w:hyperlink>
      <w:r w:rsidR="00A00E0C" w:rsidRPr="00A00E0C">
        <w:rPr>
          <w:rFonts w:ascii="Times New Roman" w:hAnsi="Times New Roman"/>
          <w:sz w:val="28"/>
          <w:szCs w:val="28"/>
        </w:rPr>
        <w:t xml:space="preserve"> </w:t>
      </w:r>
    </w:p>
    <w:p w14:paraId="70392DD7" w14:textId="77777777" w:rsidR="00A00E0C" w:rsidRPr="00A00E0C" w:rsidRDefault="00A00E0C" w:rsidP="00A00E0C">
      <w:pPr>
        <w:widowControl/>
        <w:jc w:val="both"/>
        <w:rPr>
          <w:rFonts w:ascii="Times New Roman" w:hAnsi="Times New Roman"/>
          <w:sz w:val="28"/>
          <w:szCs w:val="28"/>
        </w:rPr>
      </w:pPr>
    </w:p>
    <w:p w14:paraId="5CA09368"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Sherri McGuire Lawson</w:t>
      </w:r>
    </w:p>
    <w:p w14:paraId="1743D1D4"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Bar No. 013605</w:t>
      </w:r>
    </w:p>
    <w:p w14:paraId="1FD56B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Mcpa. Cnty. Ofc. of Legal Defender</w:t>
      </w:r>
    </w:p>
    <w:p w14:paraId="5991F9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222 N. Central, Suite 8100</w:t>
      </w:r>
    </w:p>
    <w:p w14:paraId="502597BA" w14:textId="77777777" w:rsidR="00A00E0C" w:rsidRPr="00B67F38" w:rsidRDefault="00A00E0C" w:rsidP="00A00E0C">
      <w:pPr>
        <w:widowControl/>
        <w:jc w:val="both"/>
        <w:rPr>
          <w:rFonts w:ascii="Times New Roman" w:hAnsi="Times New Roman"/>
          <w:sz w:val="28"/>
          <w:szCs w:val="28"/>
        </w:rPr>
      </w:pPr>
      <w:r w:rsidRPr="00B67F38">
        <w:rPr>
          <w:rFonts w:ascii="Times New Roman" w:hAnsi="Times New Roman"/>
          <w:sz w:val="28"/>
          <w:szCs w:val="28"/>
        </w:rPr>
        <w:t>Phoenix, AZ 85004</w:t>
      </w:r>
    </w:p>
    <w:p w14:paraId="4D3AA7E4" w14:textId="77777777" w:rsidR="00A00E0C" w:rsidRPr="00B67F38" w:rsidRDefault="00A00E0C" w:rsidP="00A00E0C">
      <w:pPr>
        <w:widowControl/>
        <w:jc w:val="both"/>
        <w:rPr>
          <w:rFonts w:ascii="Times New Roman" w:hAnsi="Times New Roman"/>
          <w:sz w:val="28"/>
          <w:szCs w:val="28"/>
        </w:rPr>
      </w:pPr>
      <w:r>
        <w:rPr>
          <w:rFonts w:ascii="Times New Roman" w:hAnsi="Times New Roman"/>
          <w:sz w:val="28"/>
          <w:szCs w:val="28"/>
        </w:rPr>
        <w:t>(</w:t>
      </w:r>
      <w:r w:rsidRPr="00B67F38">
        <w:rPr>
          <w:rFonts w:ascii="Times New Roman" w:hAnsi="Times New Roman"/>
          <w:sz w:val="28"/>
          <w:szCs w:val="28"/>
        </w:rPr>
        <w:t>602</w:t>
      </w:r>
      <w:r>
        <w:rPr>
          <w:rFonts w:ascii="Times New Roman" w:hAnsi="Times New Roman"/>
          <w:sz w:val="28"/>
          <w:szCs w:val="28"/>
        </w:rPr>
        <w:t xml:space="preserve">) </w:t>
      </w:r>
      <w:r w:rsidRPr="00B67F38">
        <w:rPr>
          <w:rFonts w:ascii="Times New Roman" w:hAnsi="Times New Roman"/>
          <w:sz w:val="28"/>
          <w:szCs w:val="28"/>
        </w:rPr>
        <w:t>506-8800</w:t>
      </w:r>
    </w:p>
    <w:p w14:paraId="5E47B031" w14:textId="77777777" w:rsidR="00A00E0C" w:rsidRPr="00B67F38" w:rsidRDefault="00000000" w:rsidP="00A00E0C">
      <w:pPr>
        <w:widowControl/>
        <w:jc w:val="both"/>
        <w:rPr>
          <w:rFonts w:ascii="Times New Roman" w:hAnsi="Times New Roman"/>
          <w:sz w:val="28"/>
          <w:szCs w:val="28"/>
        </w:rPr>
      </w:pPr>
      <w:hyperlink r:id="rId12" w:history="1">
        <w:r w:rsidR="00A00E0C" w:rsidRPr="00B67F38">
          <w:rPr>
            <w:rStyle w:val="Hyperlink"/>
            <w:rFonts w:ascii="Times New Roman" w:hAnsi="Times New Roman"/>
            <w:sz w:val="28"/>
            <w:szCs w:val="28"/>
          </w:rPr>
          <w:t>Sherri.Mcguire@maricopa.gov</w:t>
        </w:r>
      </w:hyperlink>
    </w:p>
    <w:p w14:paraId="7F3F23E2" w14:textId="77777777" w:rsidR="00A00E0C" w:rsidRPr="00B67F38" w:rsidRDefault="00A00E0C" w:rsidP="00A00E0C">
      <w:pPr>
        <w:widowControl/>
        <w:jc w:val="both"/>
        <w:rPr>
          <w:rFonts w:ascii="Times New Roman" w:hAnsi="Times New Roman"/>
          <w:sz w:val="28"/>
          <w:szCs w:val="28"/>
        </w:rPr>
      </w:pPr>
    </w:p>
    <w:p w14:paraId="34509E5F" w14:textId="77777777" w:rsidR="00A00E0C" w:rsidRPr="00B67F38" w:rsidRDefault="00A00E0C" w:rsidP="00A00E0C">
      <w:pPr>
        <w:widowControl/>
        <w:jc w:val="center"/>
        <w:rPr>
          <w:rFonts w:ascii="Times New Roman" w:hAnsi="Times New Roman"/>
          <w:b/>
          <w:bCs/>
          <w:sz w:val="28"/>
          <w:szCs w:val="28"/>
        </w:rPr>
      </w:pPr>
      <w:r w:rsidRPr="00B67F38">
        <w:rPr>
          <w:rFonts w:ascii="Times New Roman" w:hAnsi="Times New Roman"/>
          <w:b/>
          <w:bCs/>
          <w:sz w:val="28"/>
          <w:szCs w:val="28"/>
        </w:rPr>
        <w:t>ARIZONA SUPREME COURT</w:t>
      </w:r>
    </w:p>
    <w:p w14:paraId="13D8735D" w14:textId="77777777" w:rsidR="00A00E0C" w:rsidRPr="00B67F38" w:rsidRDefault="00A00E0C" w:rsidP="00A00E0C">
      <w:pPr>
        <w:widowControl/>
        <w:jc w:val="both"/>
        <w:rPr>
          <w:rFonts w:ascii="Times New Roman" w:hAnsi="Times New Roman"/>
          <w:sz w:val="28"/>
          <w:szCs w:val="28"/>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A00E0C" w:rsidRPr="00C9061A" w14:paraId="7E87DE14" w14:textId="77777777" w:rsidTr="00C22D59">
        <w:tc>
          <w:tcPr>
            <w:tcW w:w="4500" w:type="dxa"/>
            <w:tcBorders>
              <w:top w:val="nil"/>
              <w:left w:val="nil"/>
              <w:bottom w:val="nil"/>
            </w:tcBorders>
          </w:tcPr>
          <w:p w14:paraId="71CE69E2" w14:textId="77777777" w:rsidR="00A00E0C" w:rsidRPr="00B67F38" w:rsidRDefault="00A00E0C" w:rsidP="00C22D59">
            <w:pPr>
              <w:widowControl/>
              <w:snapToGrid w:val="0"/>
              <w:rPr>
                <w:rFonts w:ascii="Times New Roman" w:hAnsi="Times New Roman"/>
                <w:sz w:val="28"/>
                <w:szCs w:val="28"/>
              </w:rPr>
            </w:pPr>
            <w:r w:rsidRPr="00B67F38">
              <w:rPr>
                <w:rFonts w:ascii="Times New Roman" w:hAnsi="Times New Roman"/>
                <w:sz w:val="28"/>
                <w:szCs w:val="28"/>
              </w:rPr>
              <w:t>In the matter of:</w:t>
            </w:r>
          </w:p>
          <w:p w14:paraId="16C0FEA9" w14:textId="77777777" w:rsidR="00A00E0C" w:rsidRPr="00B67F38" w:rsidRDefault="00A00E0C" w:rsidP="00C22D59">
            <w:pPr>
              <w:widowControl/>
              <w:snapToGrid w:val="0"/>
              <w:rPr>
                <w:rFonts w:ascii="Times New Roman" w:hAnsi="Times New Roman"/>
                <w:sz w:val="28"/>
                <w:szCs w:val="28"/>
              </w:rPr>
            </w:pPr>
          </w:p>
          <w:p w14:paraId="04F6611B" w14:textId="2B885B4F" w:rsidR="00A00E0C" w:rsidRPr="00B67F38" w:rsidRDefault="00DA36BA" w:rsidP="00C22D59">
            <w:pPr>
              <w:widowControl/>
              <w:rPr>
                <w:rFonts w:ascii="Times New Roman" w:hAnsi="Times New Roman"/>
                <w:sz w:val="28"/>
                <w:szCs w:val="28"/>
              </w:rPr>
            </w:pPr>
            <w:r>
              <w:rPr>
                <w:rFonts w:ascii="Times New Roman" w:hAnsi="Times New Roman"/>
                <w:sz w:val="28"/>
                <w:szCs w:val="28"/>
              </w:rPr>
              <w:t xml:space="preserve">PETITION TO AMEND </w:t>
            </w:r>
            <w:r w:rsidR="007B7A87">
              <w:rPr>
                <w:rFonts w:ascii="Times New Roman" w:hAnsi="Times New Roman"/>
                <w:sz w:val="28"/>
                <w:szCs w:val="28"/>
              </w:rPr>
              <w:t>ARIZONA RULES OF CIVIL PROCEDURE 15 AND 21, ARIZONA RULE OF CRIMINAL PROCEDURE 31, AND THE RULES OF THE SUPREME COURT</w:t>
            </w:r>
          </w:p>
        </w:tc>
        <w:tc>
          <w:tcPr>
            <w:tcW w:w="5058" w:type="dxa"/>
            <w:tcBorders>
              <w:top w:val="nil"/>
              <w:bottom w:val="nil"/>
              <w:right w:val="nil"/>
            </w:tcBorders>
          </w:tcPr>
          <w:p w14:paraId="7AF7F5C3" w14:textId="429C0682" w:rsidR="00A00E0C" w:rsidRPr="00B67F38" w:rsidRDefault="00A00E0C" w:rsidP="00C22D59">
            <w:pPr>
              <w:widowControl/>
              <w:snapToGrid w:val="0"/>
              <w:ind w:left="137"/>
              <w:rPr>
                <w:rFonts w:ascii="Times New Roman" w:hAnsi="Times New Roman"/>
                <w:sz w:val="28"/>
                <w:szCs w:val="28"/>
              </w:rPr>
            </w:pPr>
            <w:r w:rsidRPr="00B67F38">
              <w:rPr>
                <w:rFonts w:ascii="Times New Roman" w:hAnsi="Times New Roman"/>
                <w:sz w:val="28"/>
                <w:szCs w:val="28"/>
              </w:rPr>
              <w:t>Supreme Court No. R-2</w:t>
            </w:r>
            <w:r w:rsidR="007B7A87">
              <w:rPr>
                <w:rFonts w:ascii="Times New Roman" w:hAnsi="Times New Roman"/>
                <w:sz w:val="28"/>
                <w:szCs w:val="28"/>
              </w:rPr>
              <w:t>2-0041</w:t>
            </w:r>
          </w:p>
          <w:p w14:paraId="159C3972" w14:textId="77777777" w:rsidR="00A00E0C" w:rsidRPr="00B67F38" w:rsidRDefault="00A00E0C" w:rsidP="00C22D59">
            <w:pPr>
              <w:widowControl/>
              <w:snapToGrid w:val="0"/>
              <w:ind w:left="137"/>
              <w:rPr>
                <w:rFonts w:ascii="Times New Roman" w:hAnsi="Times New Roman"/>
                <w:sz w:val="28"/>
                <w:szCs w:val="28"/>
              </w:rPr>
            </w:pPr>
          </w:p>
          <w:p w14:paraId="25548AC8" w14:textId="77777777" w:rsidR="00A00E0C" w:rsidRPr="00B67F38" w:rsidRDefault="00A00E0C" w:rsidP="00C22D59">
            <w:pPr>
              <w:widowControl/>
              <w:snapToGrid w:val="0"/>
              <w:ind w:left="137"/>
              <w:rPr>
                <w:rFonts w:ascii="Times New Roman" w:hAnsi="Times New Roman"/>
                <w:sz w:val="28"/>
                <w:szCs w:val="28"/>
              </w:rPr>
            </w:pPr>
          </w:p>
          <w:p w14:paraId="375CCF42" w14:textId="4E21A599" w:rsidR="00A00E0C" w:rsidRPr="00B67F38" w:rsidRDefault="00A00E0C" w:rsidP="00C22D59">
            <w:pPr>
              <w:widowControl/>
              <w:ind w:left="137"/>
              <w:rPr>
                <w:rFonts w:ascii="Times New Roman" w:hAnsi="Times New Roman"/>
                <w:spacing w:val="-3"/>
                <w:sz w:val="28"/>
                <w:szCs w:val="28"/>
                <w:lang w:val="es-ES"/>
              </w:rPr>
            </w:pPr>
            <w:r w:rsidRPr="00B67F38">
              <w:rPr>
                <w:rFonts w:ascii="Times New Roman" w:hAnsi="Times New Roman"/>
                <w:sz w:val="28"/>
                <w:szCs w:val="28"/>
              </w:rPr>
              <w:t xml:space="preserve">Joint Comment by the Directors of the Maricopa County Indigent Defense Agencies </w:t>
            </w:r>
          </w:p>
        </w:tc>
      </w:tr>
      <w:tr w:rsidR="00A00E0C" w:rsidRPr="00C9061A" w14:paraId="12B4E4FE" w14:textId="77777777" w:rsidTr="00C22D59">
        <w:tc>
          <w:tcPr>
            <w:tcW w:w="4500" w:type="dxa"/>
            <w:tcBorders>
              <w:top w:val="nil"/>
              <w:left w:val="nil"/>
              <w:bottom w:val="single" w:sz="4" w:space="0" w:color="auto"/>
            </w:tcBorders>
          </w:tcPr>
          <w:p w14:paraId="3D5FB3EE" w14:textId="77777777" w:rsidR="00A00E0C" w:rsidRPr="00C9061A" w:rsidRDefault="00A00E0C" w:rsidP="00C22D59">
            <w:pPr>
              <w:widowControl/>
              <w:rPr>
                <w:rFonts w:ascii="Times New Roman" w:hAnsi="Times New Roman"/>
                <w:sz w:val="28"/>
                <w:szCs w:val="28"/>
              </w:rPr>
            </w:pPr>
          </w:p>
        </w:tc>
        <w:tc>
          <w:tcPr>
            <w:tcW w:w="5058" w:type="dxa"/>
            <w:tcBorders>
              <w:top w:val="nil"/>
              <w:bottom w:val="nil"/>
              <w:right w:val="nil"/>
            </w:tcBorders>
          </w:tcPr>
          <w:p w14:paraId="1B86854F" w14:textId="77777777" w:rsidR="00A00E0C" w:rsidRPr="00C9061A" w:rsidRDefault="00A00E0C" w:rsidP="00C22D59">
            <w:pPr>
              <w:widowControl/>
              <w:ind w:left="137"/>
              <w:rPr>
                <w:rFonts w:ascii="Times New Roman" w:hAnsi="Times New Roman"/>
                <w:sz w:val="28"/>
                <w:szCs w:val="28"/>
              </w:rPr>
            </w:pPr>
          </w:p>
        </w:tc>
      </w:tr>
    </w:tbl>
    <w:p w14:paraId="40C1AE14" w14:textId="77777777" w:rsidR="00A00E0C" w:rsidRDefault="00A00E0C" w:rsidP="00A00E0C">
      <w:pPr>
        <w:widowControl/>
        <w:jc w:val="both"/>
        <w:rPr>
          <w:rFonts w:ascii="Times New Roman" w:hAnsi="Times New Roman"/>
          <w:sz w:val="26"/>
          <w:szCs w:val="26"/>
        </w:rPr>
      </w:pPr>
    </w:p>
    <w:p w14:paraId="61400BE2" w14:textId="76B27C2B" w:rsidR="00A00E0C" w:rsidRPr="007B7A87" w:rsidRDefault="00A00E0C" w:rsidP="003848A8">
      <w:pPr>
        <w:widowControl/>
        <w:jc w:val="both"/>
        <w:rPr>
          <w:rFonts w:ascii="Times New Roman" w:hAnsi="Times New Roman" w:cs="Times New Roman"/>
          <w:sz w:val="28"/>
          <w:szCs w:val="28"/>
        </w:rPr>
      </w:pPr>
    </w:p>
    <w:p w14:paraId="7EFBD308" w14:textId="5F9C6C05" w:rsidR="007B7A87" w:rsidRPr="007B7A87" w:rsidRDefault="007B7A87" w:rsidP="007B7A87">
      <w:pPr>
        <w:spacing w:line="480" w:lineRule="auto"/>
        <w:ind w:firstLine="720"/>
        <w:jc w:val="both"/>
        <w:rPr>
          <w:rFonts w:ascii="Times New Roman" w:eastAsia="Century Schoolbook" w:hAnsi="Times New Roman" w:cs="Times New Roman"/>
          <w:sz w:val="28"/>
          <w:szCs w:val="28"/>
        </w:rPr>
      </w:pPr>
      <w:bookmarkStart w:id="0" w:name="_Hlk131770118"/>
      <w:r w:rsidRPr="007B7A87">
        <w:rPr>
          <w:rFonts w:ascii="Times New Roman" w:eastAsia="Century Schoolbook" w:hAnsi="Times New Roman" w:cs="Times New Roman"/>
          <w:sz w:val="28"/>
          <w:szCs w:val="28"/>
        </w:rPr>
        <w:t xml:space="preserve">The Indigent Representation Offices in Maricopa County largely support petitioners’ proposals. Regarding petitioners’ proposal related to responses to </w:t>
      </w:r>
      <w:r w:rsidRPr="007B7A87">
        <w:rPr>
          <w:rFonts w:ascii="Times New Roman" w:eastAsia="Century Schoolbook" w:hAnsi="Times New Roman" w:cs="Times New Roman"/>
          <w:sz w:val="28"/>
          <w:szCs w:val="28"/>
        </w:rPr>
        <w:lastRenderedPageBreak/>
        <w:t>amicus briefs, the Offices support a modified version that would still allow a party to enter necessary clarifications that arise from amicus curiae briefs. The Offices support petitioners’ proposal regarding appellate decisions based upon unbriefed issues. And the Offices take no position regarding the attorneys’ fees proposal.</w:t>
      </w:r>
    </w:p>
    <w:p w14:paraId="1DDBDAC9" w14:textId="77777777" w:rsidR="007B7A87" w:rsidRPr="007B7A87" w:rsidRDefault="007B7A87" w:rsidP="007B7A87">
      <w:pPr>
        <w:ind w:left="720" w:hanging="720"/>
        <w:jc w:val="both"/>
        <w:rPr>
          <w:rFonts w:ascii="Times New Roman" w:eastAsia="Century Schoolbook" w:hAnsi="Times New Roman" w:cs="Times New Roman"/>
          <w:b/>
          <w:sz w:val="28"/>
          <w:szCs w:val="28"/>
        </w:rPr>
      </w:pPr>
      <w:r w:rsidRPr="007B7A87">
        <w:rPr>
          <w:rFonts w:ascii="Times New Roman" w:eastAsia="Century Schoolbook" w:hAnsi="Times New Roman" w:cs="Times New Roman"/>
          <w:b/>
          <w:sz w:val="28"/>
          <w:szCs w:val="28"/>
        </w:rPr>
        <w:t xml:space="preserve">1. </w:t>
      </w:r>
      <w:r w:rsidRPr="007B7A87">
        <w:rPr>
          <w:rFonts w:ascii="Times New Roman" w:eastAsia="Century Schoolbook" w:hAnsi="Times New Roman" w:cs="Times New Roman"/>
          <w:b/>
          <w:sz w:val="28"/>
          <w:szCs w:val="28"/>
        </w:rPr>
        <w:tab/>
        <w:t xml:space="preserve">The Indigent Representation Offices support a modified version of the proposal regarding responses to amicus briefs. </w:t>
      </w:r>
    </w:p>
    <w:p w14:paraId="166514AF" w14:textId="77777777" w:rsidR="007B7A87" w:rsidRPr="007B7A87" w:rsidRDefault="007B7A87" w:rsidP="007B7A87">
      <w:pPr>
        <w:jc w:val="both"/>
        <w:rPr>
          <w:rFonts w:ascii="Times New Roman" w:eastAsia="Century Schoolbook" w:hAnsi="Times New Roman" w:cs="Times New Roman"/>
          <w:b/>
          <w:sz w:val="28"/>
          <w:szCs w:val="28"/>
        </w:rPr>
      </w:pPr>
    </w:p>
    <w:p w14:paraId="3ED731E0" w14:textId="77777777"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In the criminal realm, the Indigent Representation Offices have not seen the sort of abuse discussed in the petition. For the most part, counsel have not seen parties respond to supportive amicus briefs. And when there have been responses, it has been to identify a point of disagreement.</w:t>
      </w:r>
    </w:p>
    <w:p w14:paraId="60A12FF8" w14:textId="77777777"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 xml:space="preserve">That said, petitioners’ goal is laudable, but the proposal’s focus on </w:t>
      </w:r>
      <w:r w:rsidRPr="007B7A87">
        <w:rPr>
          <w:rFonts w:ascii="Times New Roman" w:eastAsia="Century Schoolbook" w:hAnsi="Times New Roman" w:cs="Times New Roman"/>
          <w:i/>
          <w:sz w:val="28"/>
          <w:szCs w:val="28"/>
        </w:rPr>
        <w:t>disagreement</w:t>
      </w:r>
      <w:r w:rsidRPr="007B7A87">
        <w:rPr>
          <w:rFonts w:ascii="Times New Roman" w:eastAsia="Century Schoolbook" w:hAnsi="Times New Roman" w:cs="Times New Roman"/>
          <w:sz w:val="28"/>
          <w:szCs w:val="28"/>
        </w:rPr>
        <w:t xml:space="preserve"> is too narrow. </w:t>
      </w:r>
    </w:p>
    <w:p w14:paraId="22BA35E1" w14:textId="77777777"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 xml:space="preserve">There are times when a party does not </w:t>
      </w:r>
      <w:r w:rsidRPr="007B7A87">
        <w:rPr>
          <w:rFonts w:ascii="Times New Roman" w:eastAsia="Century Schoolbook" w:hAnsi="Times New Roman" w:cs="Times New Roman"/>
          <w:i/>
          <w:sz w:val="28"/>
          <w:szCs w:val="28"/>
        </w:rPr>
        <w:t xml:space="preserve">disagree </w:t>
      </w:r>
      <w:r w:rsidRPr="007B7A87">
        <w:rPr>
          <w:rFonts w:ascii="Times New Roman" w:eastAsia="Century Schoolbook" w:hAnsi="Times New Roman" w:cs="Times New Roman"/>
          <w:sz w:val="28"/>
          <w:szCs w:val="28"/>
        </w:rPr>
        <w:t xml:space="preserve">with an amicus party’s position but must still </w:t>
      </w:r>
      <w:r w:rsidRPr="007B7A87">
        <w:rPr>
          <w:rFonts w:ascii="Times New Roman" w:eastAsia="Century Schoolbook" w:hAnsi="Times New Roman" w:cs="Times New Roman"/>
          <w:i/>
          <w:sz w:val="28"/>
          <w:szCs w:val="28"/>
        </w:rPr>
        <w:t>clarify</w:t>
      </w:r>
      <w:r w:rsidRPr="007B7A87">
        <w:rPr>
          <w:rFonts w:ascii="Times New Roman" w:eastAsia="Century Schoolbook" w:hAnsi="Times New Roman" w:cs="Times New Roman"/>
          <w:sz w:val="28"/>
          <w:szCs w:val="28"/>
        </w:rPr>
        <w:t xml:space="preserve"> how the amicus party’s position applies to their case. </w:t>
      </w:r>
    </w:p>
    <w:p w14:paraId="5CB1CB15" w14:textId="77777777"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 xml:space="preserve">This happened in </w:t>
      </w:r>
      <w:r w:rsidRPr="007B7A87">
        <w:rPr>
          <w:rFonts w:ascii="Times New Roman" w:eastAsia="Century Schoolbook" w:hAnsi="Times New Roman" w:cs="Times New Roman"/>
          <w:i/>
          <w:sz w:val="28"/>
          <w:szCs w:val="28"/>
        </w:rPr>
        <w:t>State v. Porter</w:t>
      </w:r>
      <w:r w:rsidRPr="007B7A87">
        <w:rPr>
          <w:rFonts w:ascii="Times New Roman" w:eastAsia="Century Schoolbook" w:hAnsi="Times New Roman" w:cs="Times New Roman"/>
          <w:sz w:val="28"/>
          <w:szCs w:val="28"/>
        </w:rPr>
        <w:t xml:space="preserve">, No. 20-0147-PR. In </w:t>
      </w:r>
      <w:r w:rsidRPr="007B7A87">
        <w:rPr>
          <w:rFonts w:ascii="Times New Roman" w:eastAsia="Century Schoolbook" w:hAnsi="Times New Roman" w:cs="Times New Roman"/>
          <w:i/>
          <w:sz w:val="28"/>
          <w:szCs w:val="28"/>
        </w:rPr>
        <w:t>Porter</w:t>
      </w:r>
      <w:r w:rsidRPr="007B7A87">
        <w:rPr>
          <w:rFonts w:ascii="Times New Roman" w:eastAsia="Century Schoolbook" w:hAnsi="Times New Roman" w:cs="Times New Roman"/>
          <w:sz w:val="28"/>
          <w:szCs w:val="28"/>
        </w:rPr>
        <w:t xml:space="preserve">, amici American Civil Liberties Union of Arizona, Arizona Attorneys for Criminal Justice, and Los Abogados Hispanic Bar Association asked this Court to strengthen </w:t>
      </w:r>
      <w:r w:rsidRPr="007B7A87">
        <w:rPr>
          <w:rFonts w:ascii="Times New Roman" w:eastAsia="Century Schoolbook" w:hAnsi="Times New Roman" w:cs="Times New Roman"/>
          <w:i/>
          <w:sz w:val="28"/>
          <w:szCs w:val="28"/>
        </w:rPr>
        <w:t>Batson</w:t>
      </w:r>
      <w:r w:rsidRPr="007B7A87">
        <w:rPr>
          <w:rFonts w:ascii="Times New Roman" w:eastAsia="Century Schoolbook" w:hAnsi="Times New Roman" w:cs="Times New Roman"/>
          <w:sz w:val="28"/>
          <w:szCs w:val="28"/>
        </w:rPr>
        <w:t xml:space="preserve"> protections, “even if only prospectively.” </w:t>
      </w:r>
      <w:r w:rsidRPr="007B7A87">
        <w:rPr>
          <w:rFonts w:ascii="Times New Roman" w:eastAsia="Century Schoolbook" w:hAnsi="Times New Roman" w:cs="Times New Roman"/>
          <w:i/>
          <w:sz w:val="28"/>
          <w:szCs w:val="28"/>
        </w:rPr>
        <w:t>State v. Porter</w:t>
      </w:r>
      <w:r w:rsidRPr="007B7A87">
        <w:rPr>
          <w:rFonts w:ascii="Times New Roman" w:eastAsia="Century Schoolbook" w:hAnsi="Times New Roman" w:cs="Times New Roman"/>
          <w:sz w:val="28"/>
          <w:szCs w:val="28"/>
        </w:rPr>
        <w:t xml:space="preserve">, No. 20-0147-PR, Br. of Amici ACLU-AZ, AACJ, Los Abogados, pg. 1; </w:t>
      </w:r>
      <w:r w:rsidRPr="007B7A87">
        <w:rPr>
          <w:rFonts w:ascii="Times New Roman" w:eastAsia="Century Schoolbook" w:hAnsi="Times New Roman" w:cs="Times New Roman"/>
          <w:i/>
          <w:sz w:val="28"/>
          <w:szCs w:val="28"/>
        </w:rPr>
        <w:t xml:space="preserve">see also id. </w:t>
      </w:r>
      <w:r w:rsidRPr="007B7A87">
        <w:rPr>
          <w:rFonts w:ascii="Times New Roman" w:eastAsia="Century Schoolbook" w:hAnsi="Times New Roman" w:cs="Times New Roman"/>
          <w:sz w:val="28"/>
          <w:szCs w:val="28"/>
        </w:rPr>
        <w:t xml:space="preserve">at 9, 11. In her response, Porter agreed “with the general proposition that this Court should strengthen the protection provided by </w:t>
      </w:r>
      <w:r w:rsidRPr="007B7A87">
        <w:rPr>
          <w:rFonts w:ascii="Times New Roman" w:eastAsia="Century Schoolbook" w:hAnsi="Times New Roman" w:cs="Times New Roman"/>
          <w:i/>
          <w:sz w:val="28"/>
          <w:szCs w:val="28"/>
        </w:rPr>
        <w:t>Batson</w:t>
      </w:r>
      <w:r w:rsidRPr="007B7A87">
        <w:rPr>
          <w:rFonts w:ascii="Times New Roman" w:eastAsia="Century Schoolbook" w:hAnsi="Times New Roman" w:cs="Times New Roman"/>
          <w:sz w:val="28"/>
          <w:szCs w:val="28"/>
        </w:rPr>
        <w:t xml:space="preserve">.” </w:t>
      </w:r>
      <w:r w:rsidRPr="007B7A87">
        <w:rPr>
          <w:rFonts w:ascii="Times New Roman" w:eastAsia="Century Schoolbook" w:hAnsi="Times New Roman" w:cs="Times New Roman"/>
          <w:i/>
          <w:sz w:val="28"/>
          <w:szCs w:val="28"/>
        </w:rPr>
        <w:t>State v. Porter</w:t>
      </w:r>
      <w:r w:rsidRPr="007B7A87">
        <w:rPr>
          <w:rFonts w:ascii="Times New Roman" w:eastAsia="Century Schoolbook" w:hAnsi="Times New Roman" w:cs="Times New Roman"/>
          <w:sz w:val="28"/>
          <w:szCs w:val="28"/>
        </w:rPr>
        <w:t xml:space="preserve">, No. 20-0147-PR, Resp. Amici Br., </w:t>
      </w:r>
      <w:r w:rsidRPr="007B7A87">
        <w:rPr>
          <w:rFonts w:ascii="Times New Roman" w:eastAsia="Century Schoolbook" w:hAnsi="Times New Roman" w:cs="Times New Roman"/>
          <w:sz w:val="28"/>
          <w:szCs w:val="28"/>
        </w:rPr>
        <w:lastRenderedPageBreak/>
        <w:t xml:space="preserve">pg. 1. But Porter was also concerned the comment “could be construed so as to deny Ms. Porter relief.” </w:t>
      </w:r>
      <w:r w:rsidRPr="007B7A87">
        <w:rPr>
          <w:rFonts w:ascii="Times New Roman" w:eastAsia="Century Schoolbook" w:hAnsi="Times New Roman" w:cs="Times New Roman"/>
          <w:i/>
          <w:sz w:val="28"/>
          <w:szCs w:val="28"/>
        </w:rPr>
        <w:t>Id.</w:t>
      </w:r>
      <w:r w:rsidRPr="007B7A87">
        <w:rPr>
          <w:rFonts w:ascii="Times New Roman" w:eastAsia="Century Schoolbook" w:hAnsi="Times New Roman" w:cs="Times New Roman"/>
          <w:sz w:val="28"/>
          <w:szCs w:val="28"/>
        </w:rPr>
        <w:t xml:space="preserve"> Porter thus filed the response to clarify that she should be entitled to relief regardless of whether this Court construed the statement as addressing retroactivity or preservation. </w:t>
      </w:r>
      <w:r w:rsidRPr="007B7A87">
        <w:rPr>
          <w:rFonts w:ascii="Times New Roman" w:eastAsia="Century Schoolbook" w:hAnsi="Times New Roman" w:cs="Times New Roman"/>
          <w:i/>
          <w:sz w:val="28"/>
          <w:szCs w:val="28"/>
        </w:rPr>
        <w:t>Id.</w:t>
      </w:r>
    </w:p>
    <w:p w14:paraId="2BC8D65F" w14:textId="77777777"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 xml:space="preserve">Ms. Porter did not </w:t>
      </w:r>
      <w:r w:rsidRPr="007B7A87">
        <w:rPr>
          <w:rFonts w:ascii="Times New Roman" w:eastAsia="Century Schoolbook" w:hAnsi="Times New Roman" w:cs="Times New Roman"/>
          <w:i/>
          <w:sz w:val="28"/>
          <w:szCs w:val="28"/>
        </w:rPr>
        <w:t>disagree</w:t>
      </w:r>
      <w:r w:rsidRPr="007B7A87">
        <w:rPr>
          <w:rFonts w:ascii="Times New Roman" w:eastAsia="Century Schoolbook" w:hAnsi="Times New Roman" w:cs="Times New Roman"/>
          <w:sz w:val="28"/>
          <w:szCs w:val="28"/>
        </w:rPr>
        <w:t xml:space="preserve"> with the amici in her case, but her brief was still </w:t>
      </w:r>
      <w:r w:rsidRPr="007B7A87">
        <w:rPr>
          <w:rFonts w:ascii="Times New Roman" w:eastAsia="Century Schoolbook" w:hAnsi="Times New Roman" w:cs="Times New Roman"/>
          <w:i/>
          <w:sz w:val="28"/>
          <w:szCs w:val="28"/>
        </w:rPr>
        <w:t>responsive</w:t>
      </w:r>
      <w:r w:rsidRPr="007B7A87">
        <w:rPr>
          <w:rFonts w:ascii="Times New Roman" w:eastAsia="Century Schoolbook" w:hAnsi="Times New Roman" w:cs="Times New Roman"/>
          <w:sz w:val="28"/>
          <w:szCs w:val="28"/>
        </w:rPr>
        <w:t>. She simply responded in a manner that sought to clarify how amici’s argument should be applied to the facts of her case.</w:t>
      </w:r>
    </w:p>
    <w:p w14:paraId="52D4CA03" w14:textId="77777777"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Because clarification is an appropriate objective for a response to an amicus curiae brief, the Indigent Representation Offices would propose alternative language: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B7A87" w:rsidRPr="007B7A87" w14:paraId="737A2766" w14:textId="77777777" w:rsidTr="002141AA">
        <w:tc>
          <w:tcPr>
            <w:tcW w:w="4680" w:type="dxa"/>
            <w:shd w:val="clear" w:color="auto" w:fill="auto"/>
            <w:tcMar>
              <w:top w:w="100" w:type="dxa"/>
              <w:left w:w="100" w:type="dxa"/>
              <w:bottom w:w="100" w:type="dxa"/>
              <w:right w:w="100" w:type="dxa"/>
            </w:tcMar>
          </w:tcPr>
          <w:p w14:paraId="4856A437" w14:textId="77777777" w:rsidR="007B7A87" w:rsidRPr="007B7A87" w:rsidRDefault="007B7A87" w:rsidP="002141AA">
            <w:pPr>
              <w:pBdr>
                <w:top w:val="nil"/>
                <w:left w:val="nil"/>
                <w:bottom w:val="nil"/>
                <w:right w:val="nil"/>
                <w:between w:val="nil"/>
              </w:pBdr>
              <w:jc w:val="both"/>
              <w:rPr>
                <w:rFonts w:ascii="Times New Roman" w:eastAsia="Century Schoolbook" w:hAnsi="Times New Roman" w:cs="Times New Roman"/>
                <w:b/>
                <w:sz w:val="28"/>
                <w:szCs w:val="28"/>
              </w:rPr>
            </w:pPr>
            <w:r w:rsidRPr="007B7A87">
              <w:rPr>
                <w:rFonts w:ascii="Times New Roman" w:eastAsia="Century Schoolbook" w:hAnsi="Times New Roman" w:cs="Times New Roman"/>
                <w:b/>
                <w:sz w:val="28"/>
                <w:szCs w:val="28"/>
              </w:rPr>
              <w:t>Proposed amendment:</w:t>
            </w:r>
          </w:p>
          <w:p w14:paraId="3EE6A4A0" w14:textId="77777777" w:rsidR="007B7A87" w:rsidRPr="007B7A87" w:rsidRDefault="007B7A87" w:rsidP="002141AA">
            <w:pPr>
              <w:pBdr>
                <w:top w:val="nil"/>
                <w:left w:val="nil"/>
                <w:bottom w:val="nil"/>
                <w:right w:val="nil"/>
                <w:between w:val="nil"/>
              </w:pBdr>
              <w:jc w:val="both"/>
              <w:rPr>
                <w:rFonts w:ascii="Times New Roman" w:eastAsia="Century Schoolbook" w:hAnsi="Times New Roman" w:cs="Times New Roman"/>
                <w:b/>
                <w:sz w:val="28"/>
                <w:szCs w:val="28"/>
              </w:rPr>
            </w:pPr>
          </w:p>
          <w:p w14:paraId="31467561" w14:textId="77777777" w:rsidR="007B7A87" w:rsidRPr="007B7A87" w:rsidRDefault="007B7A87" w:rsidP="002141AA">
            <w:pPr>
              <w:pBdr>
                <w:top w:val="nil"/>
                <w:left w:val="nil"/>
                <w:bottom w:val="nil"/>
                <w:right w:val="nil"/>
                <w:between w:val="nil"/>
              </w:pBdr>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 xml:space="preserve">A party may respond to an amicus curiae brief. </w:t>
            </w:r>
            <w:r w:rsidRPr="007B7A87">
              <w:rPr>
                <w:rFonts w:ascii="Times New Roman" w:eastAsia="Century Schoolbook" w:hAnsi="Times New Roman" w:cs="Times New Roman"/>
                <w:sz w:val="28"/>
                <w:szCs w:val="28"/>
                <w:u w:val="single"/>
              </w:rPr>
              <w:t>A response may address only points of disagreement with the amicus brief.</w:t>
            </w:r>
          </w:p>
        </w:tc>
        <w:tc>
          <w:tcPr>
            <w:tcW w:w="4680" w:type="dxa"/>
            <w:shd w:val="clear" w:color="auto" w:fill="auto"/>
            <w:tcMar>
              <w:top w:w="100" w:type="dxa"/>
              <w:left w:w="100" w:type="dxa"/>
              <w:bottom w:w="100" w:type="dxa"/>
              <w:right w:w="100" w:type="dxa"/>
            </w:tcMar>
          </w:tcPr>
          <w:p w14:paraId="7711C940" w14:textId="77777777" w:rsidR="007B7A87" w:rsidRPr="007B7A87" w:rsidRDefault="007B7A87" w:rsidP="002141AA">
            <w:pPr>
              <w:pBdr>
                <w:top w:val="nil"/>
                <w:left w:val="nil"/>
                <w:bottom w:val="nil"/>
                <w:right w:val="nil"/>
                <w:between w:val="nil"/>
              </w:pBdr>
              <w:jc w:val="both"/>
              <w:rPr>
                <w:rFonts w:ascii="Times New Roman" w:eastAsia="Century Schoolbook" w:hAnsi="Times New Roman" w:cs="Times New Roman"/>
                <w:b/>
                <w:sz w:val="28"/>
                <w:szCs w:val="28"/>
              </w:rPr>
            </w:pPr>
            <w:r w:rsidRPr="007B7A87">
              <w:rPr>
                <w:rFonts w:ascii="Times New Roman" w:eastAsia="Century Schoolbook" w:hAnsi="Times New Roman" w:cs="Times New Roman"/>
                <w:b/>
                <w:sz w:val="28"/>
                <w:szCs w:val="28"/>
              </w:rPr>
              <w:t>Alternative amendment:</w:t>
            </w:r>
          </w:p>
          <w:p w14:paraId="0062933E" w14:textId="77777777" w:rsidR="007B7A87" w:rsidRPr="007B7A87" w:rsidRDefault="007B7A87" w:rsidP="002141AA">
            <w:pPr>
              <w:pBdr>
                <w:top w:val="nil"/>
                <w:left w:val="nil"/>
                <w:bottom w:val="nil"/>
                <w:right w:val="nil"/>
                <w:between w:val="nil"/>
              </w:pBdr>
              <w:jc w:val="both"/>
              <w:rPr>
                <w:rFonts w:ascii="Times New Roman" w:eastAsia="Century Schoolbook" w:hAnsi="Times New Roman" w:cs="Times New Roman"/>
                <w:b/>
                <w:sz w:val="28"/>
                <w:szCs w:val="28"/>
              </w:rPr>
            </w:pPr>
          </w:p>
          <w:p w14:paraId="60B74FB8" w14:textId="77777777" w:rsidR="007B7A87" w:rsidRPr="007B7A87" w:rsidRDefault="007B7A87" w:rsidP="002141AA">
            <w:pPr>
              <w:pBdr>
                <w:top w:val="nil"/>
                <w:left w:val="nil"/>
                <w:bottom w:val="nil"/>
                <w:right w:val="nil"/>
                <w:between w:val="nil"/>
              </w:pBdr>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 xml:space="preserve">A party may respond to an amicus curiae brief </w:t>
            </w:r>
            <w:r w:rsidRPr="007B7A87">
              <w:rPr>
                <w:rFonts w:ascii="Times New Roman" w:eastAsia="Century Schoolbook" w:hAnsi="Times New Roman" w:cs="Times New Roman"/>
                <w:sz w:val="28"/>
                <w:szCs w:val="28"/>
                <w:u w:val="single"/>
              </w:rPr>
              <w:t>only as necessary to clarify or dispute points raised by amicus curiae</w:t>
            </w:r>
            <w:r w:rsidRPr="007B7A87">
              <w:rPr>
                <w:rFonts w:ascii="Times New Roman" w:eastAsia="Century Schoolbook" w:hAnsi="Times New Roman" w:cs="Times New Roman"/>
                <w:sz w:val="28"/>
                <w:szCs w:val="28"/>
              </w:rPr>
              <w:t>.</w:t>
            </w:r>
          </w:p>
        </w:tc>
      </w:tr>
    </w:tbl>
    <w:p w14:paraId="30466F50" w14:textId="77777777" w:rsidR="007B7A87" w:rsidRPr="007B7A87" w:rsidRDefault="007B7A87" w:rsidP="007B7A87">
      <w:pPr>
        <w:jc w:val="both"/>
        <w:rPr>
          <w:rFonts w:ascii="Times New Roman" w:eastAsia="Century Schoolbook" w:hAnsi="Times New Roman" w:cs="Times New Roman"/>
          <w:sz w:val="28"/>
          <w:szCs w:val="28"/>
        </w:rPr>
      </w:pPr>
    </w:p>
    <w:p w14:paraId="5A1421C8" w14:textId="0EE8E518"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 xml:space="preserve">This alternative retains petitioners’ core objective: to ensure responses are responsive. A response to an amicus brief should not be used as a tool to expand the word or page counts. But it also acknowledges that responsiveness does not demand disagreement. A clarification is still responsive. </w:t>
      </w:r>
    </w:p>
    <w:p w14:paraId="5160CD66" w14:textId="77777777" w:rsidR="007B7A87" w:rsidRPr="007B7A87" w:rsidRDefault="007B7A87" w:rsidP="007B7A87">
      <w:pPr>
        <w:ind w:left="720" w:hanging="720"/>
        <w:jc w:val="both"/>
        <w:rPr>
          <w:rFonts w:ascii="Times New Roman" w:eastAsia="Century Schoolbook" w:hAnsi="Times New Roman" w:cs="Times New Roman"/>
          <w:b/>
          <w:sz w:val="28"/>
          <w:szCs w:val="28"/>
        </w:rPr>
      </w:pPr>
      <w:r w:rsidRPr="007B7A87">
        <w:rPr>
          <w:rFonts w:ascii="Times New Roman" w:eastAsia="Century Schoolbook" w:hAnsi="Times New Roman" w:cs="Times New Roman"/>
          <w:b/>
          <w:sz w:val="28"/>
          <w:szCs w:val="28"/>
        </w:rPr>
        <w:t>2.</w:t>
      </w:r>
      <w:r w:rsidRPr="007B7A87">
        <w:rPr>
          <w:rFonts w:ascii="Times New Roman" w:eastAsia="Century Schoolbook" w:hAnsi="Times New Roman" w:cs="Times New Roman"/>
          <w:b/>
          <w:sz w:val="28"/>
          <w:szCs w:val="28"/>
        </w:rPr>
        <w:tab/>
        <w:t>The Indigent Representation Offices support petitioners’ proposal regarding appellate decisions on unbriefed issues.</w:t>
      </w:r>
    </w:p>
    <w:p w14:paraId="09B4906F" w14:textId="77777777" w:rsidR="007B7A87" w:rsidRPr="007B7A87" w:rsidRDefault="007B7A87" w:rsidP="007B7A87">
      <w:pPr>
        <w:ind w:left="720" w:hanging="720"/>
        <w:jc w:val="both"/>
        <w:rPr>
          <w:rFonts w:ascii="Times New Roman" w:eastAsia="Century Schoolbook" w:hAnsi="Times New Roman" w:cs="Times New Roman"/>
          <w:b/>
          <w:sz w:val="28"/>
          <w:szCs w:val="28"/>
        </w:rPr>
      </w:pPr>
    </w:p>
    <w:p w14:paraId="6F15A5A6" w14:textId="77777777"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 xml:space="preserve">The Indigent Representation Offices agree with the petitioners’ proposal. It is </w:t>
      </w:r>
      <w:r w:rsidRPr="007B7A87">
        <w:rPr>
          <w:rFonts w:ascii="Times New Roman" w:eastAsia="Century Schoolbook" w:hAnsi="Times New Roman" w:cs="Times New Roman"/>
          <w:sz w:val="28"/>
          <w:szCs w:val="28"/>
        </w:rPr>
        <w:lastRenderedPageBreak/>
        <w:t>a sensible solution to a pervasive and ongoing problem. And it is a uniquely harmful problem in criminal cases, where a person’s appeal can be rejected on a basis they never had the opportunity to address.</w:t>
      </w:r>
    </w:p>
    <w:p w14:paraId="2C80BB68" w14:textId="77777777"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 xml:space="preserve">This Court has repeatedly warned that appellate courts should not reach out and decide issues that were not briefed by the parties. </w:t>
      </w:r>
      <w:r w:rsidRPr="007B7A87">
        <w:rPr>
          <w:rFonts w:ascii="Times New Roman" w:eastAsia="Century Schoolbook" w:hAnsi="Times New Roman" w:cs="Times New Roman"/>
          <w:i/>
          <w:sz w:val="28"/>
          <w:szCs w:val="28"/>
        </w:rPr>
        <w:t>See State v. Porter</w:t>
      </w:r>
      <w:r w:rsidRPr="007B7A87">
        <w:rPr>
          <w:rFonts w:ascii="Times New Roman" w:eastAsia="Century Schoolbook" w:hAnsi="Times New Roman" w:cs="Times New Roman"/>
          <w:sz w:val="28"/>
          <w:szCs w:val="28"/>
        </w:rPr>
        <w:t xml:space="preserve">, 251 Ariz. 293, ¶ 5 (2021); </w:t>
      </w:r>
      <w:r w:rsidRPr="007B7A87">
        <w:rPr>
          <w:rFonts w:ascii="Times New Roman" w:eastAsia="Century Schoolbook" w:hAnsi="Times New Roman" w:cs="Times New Roman"/>
          <w:i/>
          <w:sz w:val="28"/>
          <w:szCs w:val="28"/>
        </w:rPr>
        <w:t>State v. Robertson</w:t>
      </w:r>
      <w:r w:rsidRPr="007B7A87">
        <w:rPr>
          <w:rFonts w:ascii="Times New Roman" w:eastAsia="Century Schoolbook" w:hAnsi="Times New Roman" w:cs="Times New Roman"/>
          <w:sz w:val="28"/>
          <w:szCs w:val="28"/>
        </w:rPr>
        <w:t xml:space="preserve">, 249 Ariz. 256, ¶ 9 (2020); </w:t>
      </w:r>
      <w:r w:rsidRPr="007B7A87">
        <w:rPr>
          <w:rFonts w:ascii="Times New Roman" w:eastAsia="Century Schoolbook" w:hAnsi="Times New Roman" w:cs="Times New Roman"/>
          <w:i/>
          <w:sz w:val="28"/>
          <w:szCs w:val="28"/>
        </w:rPr>
        <w:t>State ex rel. Brnovich v. City of Tucson</w:t>
      </w:r>
      <w:r w:rsidRPr="007B7A87">
        <w:rPr>
          <w:rFonts w:ascii="Times New Roman" w:eastAsia="Century Schoolbook" w:hAnsi="Times New Roman" w:cs="Times New Roman"/>
          <w:sz w:val="28"/>
          <w:szCs w:val="28"/>
        </w:rPr>
        <w:t xml:space="preserve">, 242 Ariz. 588, ¶ 45 (2017). As Justice Scalia noted, this policy “distinguishes our adversary system from the inquisitorial one.” </w:t>
      </w:r>
      <w:r w:rsidRPr="007B7A87">
        <w:rPr>
          <w:rFonts w:ascii="Times New Roman" w:eastAsia="Century Schoolbook" w:hAnsi="Times New Roman" w:cs="Times New Roman"/>
          <w:i/>
          <w:sz w:val="28"/>
          <w:szCs w:val="28"/>
        </w:rPr>
        <w:t>U.S. v. Burke</w:t>
      </w:r>
      <w:r w:rsidRPr="007B7A87">
        <w:rPr>
          <w:rFonts w:ascii="Times New Roman" w:eastAsia="Century Schoolbook" w:hAnsi="Times New Roman" w:cs="Times New Roman"/>
          <w:sz w:val="28"/>
          <w:szCs w:val="28"/>
        </w:rPr>
        <w:t xml:space="preserve">, 504 U.S. 229, 246 (1992) (Scalia, J., concurring); </w:t>
      </w:r>
      <w:r w:rsidRPr="007B7A87">
        <w:rPr>
          <w:rFonts w:ascii="Times New Roman" w:eastAsia="Century Schoolbook" w:hAnsi="Times New Roman" w:cs="Times New Roman"/>
          <w:i/>
          <w:sz w:val="28"/>
          <w:szCs w:val="28"/>
        </w:rPr>
        <w:t>see also McNeil v. Wisconsin</w:t>
      </w:r>
      <w:r w:rsidRPr="007B7A87">
        <w:rPr>
          <w:rFonts w:ascii="Times New Roman" w:eastAsia="Century Schoolbook" w:hAnsi="Times New Roman" w:cs="Times New Roman"/>
          <w:sz w:val="28"/>
          <w:szCs w:val="28"/>
        </w:rPr>
        <w:t xml:space="preserve">, 501 U.S. 171, 181 fn.2 (1991). And the North Carolina Court of Appeals has recognized the fundamental unfairness of appellate courts inserting issues without briefing: “An appellate court cannot be both an advocate for one of the parties, and at the same time be an impartial arbiter of the case.” </w:t>
      </w:r>
      <w:r w:rsidRPr="007B7A87">
        <w:rPr>
          <w:rFonts w:ascii="Times New Roman" w:eastAsia="Century Schoolbook" w:hAnsi="Times New Roman" w:cs="Times New Roman"/>
          <w:i/>
          <w:sz w:val="28"/>
          <w:szCs w:val="28"/>
        </w:rPr>
        <w:t>In re J.E.M., Jr.</w:t>
      </w:r>
      <w:r w:rsidRPr="007B7A87">
        <w:rPr>
          <w:rFonts w:ascii="Times New Roman" w:eastAsia="Century Schoolbook" w:hAnsi="Times New Roman" w:cs="Times New Roman"/>
          <w:sz w:val="28"/>
          <w:szCs w:val="28"/>
        </w:rPr>
        <w:t>, 727 S.E.2d 398, 400 fn.1 (N.C. App. 2012).</w:t>
      </w:r>
    </w:p>
    <w:p w14:paraId="61A2400C" w14:textId="77777777"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 xml:space="preserve">This is because decisions reached without the participation of the parties risk being wrong. As this Court noted in </w:t>
      </w:r>
      <w:r w:rsidRPr="007B7A87">
        <w:rPr>
          <w:rFonts w:ascii="Times New Roman" w:eastAsia="Century Schoolbook" w:hAnsi="Times New Roman" w:cs="Times New Roman"/>
          <w:i/>
          <w:sz w:val="28"/>
          <w:szCs w:val="28"/>
        </w:rPr>
        <w:t>State v. Robertson</w:t>
      </w:r>
      <w:r w:rsidRPr="007B7A87">
        <w:rPr>
          <w:rFonts w:ascii="Times New Roman" w:eastAsia="Century Schoolbook" w:hAnsi="Times New Roman" w:cs="Times New Roman"/>
          <w:sz w:val="28"/>
          <w:szCs w:val="28"/>
        </w:rPr>
        <w:t xml:space="preserve">, the reason courts “should heed the principles underlying the waiver doctrine” is to “prevent the court from deciding cases with no research assistance or analytical input from the parties.” </w:t>
      </w:r>
      <w:r w:rsidRPr="007B7A87">
        <w:rPr>
          <w:rFonts w:ascii="Times New Roman" w:eastAsia="Century Schoolbook" w:hAnsi="Times New Roman" w:cs="Times New Roman"/>
          <w:i/>
          <w:sz w:val="28"/>
          <w:szCs w:val="28"/>
        </w:rPr>
        <w:t>Robertson</w:t>
      </w:r>
      <w:r w:rsidRPr="007B7A87">
        <w:rPr>
          <w:rFonts w:ascii="Times New Roman" w:eastAsia="Century Schoolbook" w:hAnsi="Times New Roman" w:cs="Times New Roman"/>
          <w:sz w:val="28"/>
          <w:szCs w:val="28"/>
        </w:rPr>
        <w:t xml:space="preserve">, 249 Ariz. 256, ¶ 9. </w:t>
      </w:r>
      <w:r w:rsidRPr="007B7A87">
        <w:rPr>
          <w:rFonts w:ascii="Times New Roman" w:eastAsia="Century Schoolbook" w:hAnsi="Times New Roman" w:cs="Times New Roman"/>
          <w:i/>
          <w:sz w:val="28"/>
          <w:szCs w:val="28"/>
        </w:rPr>
        <w:t xml:space="preserve">Robertson </w:t>
      </w:r>
      <w:r w:rsidRPr="007B7A87">
        <w:rPr>
          <w:rFonts w:ascii="Times New Roman" w:eastAsia="Century Schoolbook" w:hAnsi="Times New Roman" w:cs="Times New Roman"/>
          <w:sz w:val="28"/>
          <w:szCs w:val="28"/>
        </w:rPr>
        <w:t xml:space="preserve">itself was an example of just that risk. There, the court of appeals ruled that a defendant appealing their probation </w:t>
      </w:r>
      <w:r w:rsidRPr="007B7A87">
        <w:rPr>
          <w:rFonts w:ascii="Times New Roman" w:eastAsia="Century Schoolbook" w:hAnsi="Times New Roman" w:cs="Times New Roman"/>
          <w:sz w:val="28"/>
          <w:szCs w:val="28"/>
        </w:rPr>
        <w:lastRenderedPageBreak/>
        <w:t xml:space="preserve">revocation had invited error. </w:t>
      </w:r>
      <w:r w:rsidRPr="007B7A87">
        <w:rPr>
          <w:rFonts w:ascii="Times New Roman" w:eastAsia="Century Schoolbook" w:hAnsi="Times New Roman" w:cs="Times New Roman"/>
          <w:i/>
          <w:sz w:val="28"/>
          <w:szCs w:val="28"/>
        </w:rPr>
        <w:t xml:space="preserve">Id. </w:t>
      </w:r>
      <w:r w:rsidRPr="007B7A87">
        <w:rPr>
          <w:rFonts w:ascii="Times New Roman" w:eastAsia="Century Schoolbook" w:hAnsi="Times New Roman" w:cs="Times New Roman"/>
          <w:sz w:val="28"/>
          <w:szCs w:val="28"/>
        </w:rPr>
        <w:t xml:space="preserve">at ¶ 6. This Court rejected the panel’s decision on at least three bases. </w:t>
      </w:r>
      <w:r w:rsidRPr="007B7A87">
        <w:rPr>
          <w:rFonts w:ascii="Times New Roman" w:eastAsia="Century Schoolbook" w:hAnsi="Times New Roman" w:cs="Times New Roman"/>
          <w:i/>
          <w:sz w:val="28"/>
          <w:szCs w:val="28"/>
        </w:rPr>
        <w:t xml:space="preserve">Id. </w:t>
      </w:r>
      <w:r w:rsidRPr="007B7A87">
        <w:rPr>
          <w:rFonts w:ascii="Times New Roman" w:eastAsia="Century Schoolbook" w:hAnsi="Times New Roman" w:cs="Times New Roman"/>
          <w:sz w:val="28"/>
          <w:szCs w:val="28"/>
        </w:rPr>
        <w:t>at ¶¶ 10, 14, 22.</w:t>
      </w:r>
    </w:p>
    <w:p w14:paraId="28800033" w14:textId="77777777"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 xml:space="preserve">And the parties that lose a case on grounds introduced by the court are left with no real recourse. </w:t>
      </w:r>
    </w:p>
    <w:p w14:paraId="51947753" w14:textId="77777777"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A petition for review provides no meaningful protection. This Court accepts only a small percentage of petitions for review. And most of those petitions do not concern the sort of error correction that is involved when appellate courts decide cases on unbriefed issues.</w:t>
      </w:r>
    </w:p>
    <w:p w14:paraId="47B279FA" w14:textId="77777777"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 xml:space="preserve">Nor does a motion for reconsideration. Rather, because the panel has already issued a decision, any ruling on a motion for reconsideration would be tainted by the biases created by the initial decision—especially confirmation bias. “Confirmation bias … connotes the seeking or interpreting of evidence in ways that are partial to existing beliefs, expectations, or a hypothesis in hand.” Raymond Nickerson, </w:t>
      </w:r>
      <w:r w:rsidRPr="007B7A87">
        <w:rPr>
          <w:rFonts w:ascii="Times New Roman" w:eastAsia="Century Schoolbook" w:hAnsi="Times New Roman" w:cs="Times New Roman"/>
          <w:i/>
          <w:sz w:val="28"/>
          <w:szCs w:val="28"/>
        </w:rPr>
        <w:t>Confirmation Bias: A Ubiquitous Phenomenon in Many Guises</w:t>
      </w:r>
      <w:r w:rsidRPr="007B7A87">
        <w:rPr>
          <w:rFonts w:ascii="Times New Roman" w:eastAsia="Century Schoolbook" w:hAnsi="Times New Roman" w:cs="Times New Roman"/>
          <w:sz w:val="28"/>
          <w:szCs w:val="28"/>
        </w:rPr>
        <w:t xml:space="preserve">, 2 Rev. Gen. Psychol. 175, 175 (1998). Put differently, confirmation bias is “the propensity to seek out and value evidence that reinforces conclusions we have already reached.” Lawrence Solan, </w:t>
      </w:r>
      <w:r w:rsidRPr="007B7A87">
        <w:rPr>
          <w:rFonts w:ascii="Times New Roman" w:eastAsia="Century Schoolbook" w:hAnsi="Times New Roman" w:cs="Times New Roman"/>
          <w:i/>
          <w:sz w:val="28"/>
          <w:szCs w:val="28"/>
        </w:rPr>
        <w:t>Four Reasons to Teach Psychology to Legal Writing Students</w:t>
      </w:r>
      <w:r w:rsidRPr="007B7A87">
        <w:rPr>
          <w:rFonts w:ascii="Times New Roman" w:eastAsia="Century Schoolbook" w:hAnsi="Times New Roman" w:cs="Times New Roman"/>
          <w:sz w:val="28"/>
          <w:szCs w:val="28"/>
        </w:rPr>
        <w:t xml:space="preserve">, 22 J.L. &amp; Pol’y 7, 9 (2013). </w:t>
      </w:r>
    </w:p>
    <w:p w14:paraId="24FE48F5" w14:textId="77777777" w:rsidR="007B7A87" w:rsidRPr="007B7A87" w:rsidRDefault="007B7A87" w:rsidP="007B7A87">
      <w:pPr>
        <w:spacing w:line="480" w:lineRule="auto"/>
        <w:ind w:firstLine="720"/>
        <w:jc w:val="both"/>
        <w:rPr>
          <w:rFonts w:ascii="Times New Roman" w:eastAsia="Century Schoolbook" w:hAnsi="Times New Roman" w:cs="Times New Roman"/>
          <w:i/>
          <w:sz w:val="28"/>
          <w:szCs w:val="28"/>
        </w:rPr>
      </w:pPr>
      <w:r w:rsidRPr="007B7A87">
        <w:rPr>
          <w:rFonts w:ascii="Times New Roman" w:eastAsia="Century Schoolbook" w:hAnsi="Times New Roman" w:cs="Times New Roman"/>
          <w:sz w:val="28"/>
          <w:szCs w:val="28"/>
        </w:rPr>
        <w:t xml:space="preserve">Confirmation bias can be particularly harmful in light of the primacy effect and belief persistence. The primacy effect is described as follows: “When a person </w:t>
      </w:r>
      <w:r w:rsidRPr="007B7A87">
        <w:rPr>
          <w:rFonts w:ascii="Times New Roman" w:eastAsia="Century Schoolbook" w:hAnsi="Times New Roman" w:cs="Times New Roman"/>
          <w:sz w:val="28"/>
          <w:szCs w:val="28"/>
        </w:rPr>
        <w:lastRenderedPageBreak/>
        <w:t xml:space="preserve">must draw a conclusion on the basis of information acquired and integrated over time, the information acquired early in the process is likely to carry more weight.” Nickerson, </w:t>
      </w:r>
      <w:r w:rsidRPr="007B7A87">
        <w:rPr>
          <w:rFonts w:ascii="Times New Roman" w:eastAsia="Century Schoolbook" w:hAnsi="Times New Roman" w:cs="Times New Roman"/>
          <w:i/>
          <w:sz w:val="28"/>
          <w:szCs w:val="28"/>
        </w:rPr>
        <w:t>Confirmation Bias</w:t>
      </w:r>
      <w:r w:rsidRPr="007B7A87">
        <w:rPr>
          <w:rFonts w:ascii="Times New Roman" w:eastAsia="Century Schoolbook" w:hAnsi="Times New Roman" w:cs="Times New Roman"/>
          <w:sz w:val="28"/>
          <w:szCs w:val="28"/>
        </w:rPr>
        <w:t xml:space="preserve">, 2 Rev. Gen. Psychol. at 187. “Once a belief or opinion has been formed, it can be very resistive to change, even in the face of fairly compelling evidence that it is wrong.” </w:t>
      </w:r>
      <w:r w:rsidRPr="007B7A87">
        <w:rPr>
          <w:rFonts w:ascii="Times New Roman" w:eastAsia="Century Schoolbook" w:hAnsi="Times New Roman" w:cs="Times New Roman"/>
          <w:i/>
          <w:sz w:val="28"/>
          <w:szCs w:val="28"/>
        </w:rPr>
        <w:t xml:space="preserve">Id. </w:t>
      </w:r>
      <w:r w:rsidRPr="007B7A87">
        <w:rPr>
          <w:rFonts w:ascii="Times New Roman" w:eastAsia="Century Schoolbook" w:hAnsi="Times New Roman" w:cs="Times New Roman"/>
          <w:sz w:val="28"/>
          <w:szCs w:val="28"/>
        </w:rPr>
        <w:t xml:space="preserve">This is belief persistence. </w:t>
      </w:r>
      <w:r w:rsidRPr="007B7A87">
        <w:rPr>
          <w:rFonts w:ascii="Times New Roman" w:eastAsia="Century Schoolbook" w:hAnsi="Times New Roman" w:cs="Times New Roman"/>
          <w:i/>
          <w:sz w:val="28"/>
          <w:szCs w:val="28"/>
        </w:rPr>
        <w:t xml:space="preserve">Id. </w:t>
      </w:r>
      <w:r w:rsidRPr="007B7A87">
        <w:rPr>
          <w:rFonts w:ascii="Times New Roman" w:eastAsia="Century Schoolbook" w:hAnsi="Times New Roman" w:cs="Times New Roman"/>
          <w:sz w:val="28"/>
          <w:szCs w:val="28"/>
        </w:rPr>
        <w:t xml:space="preserve">A person is “more likely to question information that conflicts with preexisting beliefs,” and “can be quite facile at explaining away events that are inconsistent with their established beliefs.” </w:t>
      </w:r>
      <w:r w:rsidRPr="007B7A87">
        <w:rPr>
          <w:rFonts w:ascii="Times New Roman" w:eastAsia="Century Schoolbook" w:hAnsi="Times New Roman" w:cs="Times New Roman"/>
          <w:i/>
          <w:sz w:val="28"/>
          <w:szCs w:val="28"/>
        </w:rPr>
        <w:t xml:space="preserve">Id. </w:t>
      </w:r>
    </w:p>
    <w:p w14:paraId="4A41B060" w14:textId="77777777"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 xml:space="preserve">Concrete belief in a hypothesis isn’t even necessary: “What is considerably more surprising than the fact that people seek and interpret information in ways that increase their confidence in favored hypotheses and established beliefs is the fact that they appear to seek confirmatory information even for hypotheses in whose truth value they have no vested interest.” </w:t>
      </w:r>
      <w:r w:rsidRPr="007B7A87">
        <w:rPr>
          <w:rFonts w:ascii="Times New Roman" w:eastAsia="Century Schoolbook" w:hAnsi="Times New Roman" w:cs="Times New Roman"/>
          <w:i/>
          <w:sz w:val="28"/>
          <w:szCs w:val="28"/>
        </w:rPr>
        <w:t xml:space="preserve">Id. </w:t>
      </w:r>
      <w:r w:rsidRPr="007B7A87">
        <w:rPr>
          <w:rFonts w:ascii="Times New Roman" w:eastAsia="Century Schoolbook" w:hAnsi="Times New Roman" w:cs="Times New Roman"/>
          <w:sz w:val="28"/>
          <w:szCs w:val="28"/>
        </w:rPr>
        <w:t xml:space="preserve">at 178. Merely focusing on a hypothesis can create a conditional reference frame, which in turn “influences subsequent hypothesis-evaluation processes ....” </w:t>
      </w:r>
      <w:r w:rsidRPr="007B7A87">
        <w:rPr>
          <w:rFonts w:ascii="Times New Roman" w:eastAsia="Century Schoolbook" w:hAnsi="Times New Roman" w:cs="Times New Roman"/>
          <w:i/>
          <w:sz w:val="28"/>
          <w:szCs w:val="28"/>
        </w:rPr>
        <w:t xml:space="preserve">Id. </w:t>
      </w:r>
      <w:r w:rsidRPr="007B7A87">
        <w:rPr>
          <w:rFonts w:ascii="Times New Roman" w:eastAsia="Century Schoolbook" w:hAnsi="Times New Roman" w:cs="Times New Roman"/>
          <w:sz w:val="28"/>
          <w:szCs w:val="28"/>
        </w:rPr>
        <w:t xml:space="preserve">at 203. </w:t>
      </w:r>
    </w:p>
    <w:p w14:paraId="551836C1" w14:textId="77777777"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 xml:space="preserve">Once a court has issued a decision on an unbriefed issue, the natural tendency toward confirmation bias means the court is more likely “to seek out and value evidence that reinforces” that conclusion. Solan, </w:t>
      </w:r>
      <w:r w:rsidRPr="007B7A87">
        <w:rPr>
          <w:rFonts w:ascii="Times New Roman" w:eastAsia="Century Schoolbook" w:hAnsi="Times New Roman" w:cs="Times New Roman"/>
          <w:i/>
          <w:sz w:val="28"/>
          <w:szCs w:val="28"/>
        </w:rPr>
        <w:t>Four Reasons to Teach Psychology to Legal Writing Students</w:t>
      </w:r>
      <w:r w:rsidRPr="007B7A87">
        <w:rPr>
          <w:rFonts w:ascii="Times New Roman" w:eastAsia="Century Schoolbook" w:hAnsi="Times New Roman" w:cs="Times New Roman"/>
          <w:sz w:val="28"/>
          <w:szCs w:val="28"/>
        </w:rPr>
        <w:t xml:space="preserve">, 22 J.L. &amp; Pol’y at 9. The information and conclusion the court already acquired and found persuasive “is likely to carry more weight” in any </w:t>
      </w:r>
      <w:r w:rsidRPr="007B7A87">
        <w:rPr>
          <w:rFonts w:ascii="Times New Roman" w:eastAsia="Century Schoolbook" w:hAnsi="Times New Roman" w:cs="Times New Roman"/>
          <w:sz w:val="28"/>
          <w:szCs w:val="28"/>
        </w:rPr>
        <w:lastRenderedPageBreak/>
        <w:t xml:space="preserve">subsequent analysis. Nickerson, </w:t>
      </w:r>
      <w:r w:rsidRPr="007B7A87">
        <w:rPr>
          <w:rFonts w:ascii="Times New Roman" w:eastAsia="Century Schoolbook" w:hAnsi="Times New Roman" w:cs="Times New Roman"/>
          <w:i/>
          <w:sz w:val="28"/>
          <w:szCs w:val="28"/>
        </w:rPr>
        <w:t>Confirmation Bias</w:t>
      </w:r>
      <w:r w:rsidRPr="007B7A87">
        <w:rPr>
          <w:rFonts w:ascii="Times New Roman" w:eastAsia="Century Schoolbook" w:hAnsi="Times New Roman" w:cs="Times New Roman"/>
          <w:sz w:val="28"/>
          <w:szCs w:val="28"/>
        </w:rPr>
        <w:t xml:space="preserve">, 2 Rev. Gen. Psychol. at 187. And it does not matter that the court has no vested interest in the outcome. </w:t>
      </w:r>
      <w:r w:rsidRPr="007B7A87">
        <w:rPr>
          <w:rFonts w:ascii="Times New Roman" w:eastAsia="Century Schoolbook" w:hAnsi="Times New Roman" w:cs="Times New Roman"/>
          <w:i/>
          <w:sz w:val="28"/>
          <w:szCs w:val="28"/>
        </w:rPr>
        <w:t xml:space="preserve">Id. </w:t>
      </w:r>
      <w:r w:rsidRPr="007B7A87">
        <w:rPr>
          <w:rFonts w:ascii="Times New Roman" w:eastAsia="Century Schoolbook" w:hAnsi="Times New Roman" w:cs="Times New Roman"/>
          <w:sz w:val="28"/>
          <w:szCs w:val="28"/>
        </w:rPr>
        <w:t xml:space="preserve">at 178. The mere fact that the court already inserted an issue, reached a conclusion, and found facts to support that conclusion, “influences subsequent hypothesis-evaluation processes ....” </w:t>
      </w:r>
      <w:r w:rsidRPr="007B7A87">
        <w:rPr>
          <w:rFonts w:ascii="Times New Roman" w:eastAsia="Century Schoolbook" w:hAnsi="Times New Roman" w:cs="Times New Roman"/>
          <w:i/>
          <w:sz w:val="28"/>
          <w:szCs w:val="28"/>
        </w:rPr>
        <w:t xml:space="preserve">Id. </w:t>
      </w:r>
      <w:r w:rsidRPr="007B7A87">
        <w:rPr>
          <w:rFonts w:ascii="Times New Roman" w:eastAsia="Century Schoolbook" w:hAnsi="Times New Roman" w:cs="Times New Roman"/>
          <w:sz w:val="28"/>
          <w:szCs w:val="28"/>
        </w:rPr>
        <w:t>at 203.</w:t>
      </w:r>
    </w:p>
    <w:p w14:paraId="273730E8" w14:textId="17A98511"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The only meaningful way to correct the error is to prevent it on the front end. Petitioners’ proposal does just that.</w:t>
      </w:r>
    </w:p>
    <w:p w14:paraId="0B5C0E59" w14:textId="77777777" w:rsidR="007B7A87" w:rsidRPr="007B7A87" w:rsidRDefault="007B7A87" w:rsidP="007B7A87">
      <w:pPr>
        <w:spacing w:line="480" w:lineRule="auto"/>
        <w:jc w:val="both"/>
        <w:rPr>
          <w:rFonts w:ascii="Times New Roman" w:eastAsia="Century Schoolbook" w:hAnsi="Times New Roman" w:cs="Times New Roman"/>
          <w:b/>
          <w:sz w:val="28"/>
          <w:szCs w:val="28"/>
        </w:rPr>
      </w:pPr>
      <w:r w:rsidRPr="007B7A87">
        <w:rPr>
          <w:rFonts w:ascii="Times New Roman" w:eastAsia="Century Schoolbook" w:hAnsi="Times New Roman" w:cs="Times New Roman"/>
          <w:b/>
          <w:sz w:val="28"/>
          <w:szCs w:val="28"/>
        </w:rPr>
        <w:t>Conclusion</w:t>
      </w:r>
    </w:p>
    <w:p w14:paraId="7B90931C" w14:textId="77777777" w:rsidR="007B7A87" w:rsidRDefault="007B7A87" w:rsidP="007B7A87">
      <w:pPr>
        <w:spacing w:line="480" w:lineRule="auto"/>
        <w:ind w:firstLine="720"/>
        <w:jc w:val="both"/>
        <w:rPr>
          <w:rFonts w:ascii="Times New Roman" w:eastAsia="Century Schoolbook" w:hAnsi="Times New Roman" w:cs="Times New Roman"/>
          <w:sz w:val="28"/>
          <w:szCs w:val="28"/>
        </w:rPr>
      </w:pPr>
      <w:r w:rsidRPr="007B7A87">
        <w:rPr>
          <w:rFonts w:ascii="Times New Roman" w:eastAsia="Century Schoolbook" w:hAnsi="Times New Roman" w:cs="Times New Roman"/>
          <w:sz w:val="28"/>
          <w:szCs w:val="28"/>
        </w:rPr>
        <w:t>The core objective of petitioners’ first proposal is well taken—responses to amicus curiae briefs should be responsive. But responsiveness does not demand disagreement. As a result, the Indigent Representation Offices would propose an alternative that still allows responses to clarify their view on a point raised by amicus curiae.</w:t>
      </w:r>
      <w:r>
        <w:rPr>
          <w:rFonts w:ascii="Times New Roman" w:eastAsia="Century Schoolbook" w:hAnsi="Times New Roman" w:cs="Times New Roman"/>
          <w:sz w:val="28"/>
          <w:szCs w:val="28"/>
        </w:rPr>
        <w:t xml:space="preserve"> </w:t>
      </w:r>
    </w:p>
    <w:p w14:paraId="385280BF" w14:textId="3F85656B" w:rsidR="007B7A87" w:rsidRPr="007B7A87" w:rsidRDefault="007B7A87" w:rsidP="007B7A87">
      <w:pPr>
        <w:spacing w:line="480" w:lineRule="auto"/>
        <w:ind w:firstLine="720"/>
        <w:jc w:val="both"/>
        <w:rPr>
          <w:rFonts w:ascii="Times New Roman" w:eastAsia="Century Schoolbook" w:hAnsi="Times New Roman" w:cs="Times New Roman"/>
          <w:sz w:val="28"/>
          <w:szCs w:val="28"/>
        </w:rPr>
      </w:pPr>
      <w:r>
        <w:rPr>
          <w:rFonts w:ascii="Times New Roman" w:eastAsia="Century Schoolbook" w:hAnsi="Times New Roman" w:cs="Times New Roman"/>
          <w:sz w:val="28"/>
          <w:szCs w:val="28"/>
        </w:rPr>
        <w:t>T</w:t>
      </w:r>
      <w:r w:rsidRPr="007B7A87">
        <w:rPr>
          <w:rFonts w:ascii="Times New Roman" w:eastAsia="Century Schoolbook" w:hAnsi="Times New Roman" w:cs="Times New Roman"/>
          <w:sz w:val="28"/>
          <w:szCs w:val="28"/>
        </w:rPr>
        <w:t>he Indigent Representation Offices support petitioners’ second proposal to restrict an appellate court’s ability to decide cases on unbriefed grounds</w:t>
      </w:r>
      <w:bookmarkEnd w:id="0"/>
      <w:r>
        <w:rPr>
          <w:rFonts w:ascii="Times New Roman" w:eastAsia="Century Schoolbook" w:hAnsi="Times New Roman" w:cs="Times New Roman"/>
          <w:sz w:val="28"/>
          <w:szCs w:val="28"/>
        </w:rPr>
        <w:t>.</w:t>
      </w:r>
    </w:p>
    <w:p w14:paraId="1DA4DDA3" w14:textId="74688B49" w:rsidR="005161BA" w:rsidRDefault="005161BA" w:rsidP="003848A8">
      <w:pPr>
        <w:widowControl/>
        <w:jc w:val="both"/>
        <w:rPr>
          <w:rFonts w:ascii="Times New Roman" w:hAnsi="Times New Roman"/>
          <w:sz w:val="28"/>
          <w:szCs w:val="28"/>
        </w:rPr>
      </w:pPr>
    </w:p>
    <w:p w14:paraId="69B461EF" w14:textId="481DF5C0" w:rsidR="007B7A87" w:rsidRDefault="007B7A87" w:rsidP="003848A8">
      <w:pPr>
        <w:widowControl/>
        <w:jc w:val="both"/>
        <w:rPr>
          <w:rFonts w:ascii="Times New Roman" w:hAnsi="Times New Roman"/>
          <w:sz w:val="28"/>
          <w:szCs w:val="28"/>
        </w:rPr>
      </w:pPr>
    </w:p>
    <w:p w14:paraId="40699E1E" w14:textId="2EE3B6CC" w:rsidR="007B7A87" w:rsidRDefault="007B7A87" w:rsidP="003848A8">
      <w:pPr>
        <w:widowControl/>
        <w:jc w:val="both"/>
        <w:rPr>
          <w:rFonts w:ascii="Times New Roman" w:hAnsi="Times New Roman"/>
          <w:sz w:val="28"/>
          <w:szCs w:val="28"/>
        </w:rPr>
      </w:pPr>
    </w:p>
    <w:p w14:paraId="70E8780A" w14:textId="2151FFDC" w:rsidR="007B7A87" w:rsidRDefault="007B7A87" w:rsidP="003848A8">
      <w:pPr>
        <w:widowControl/>
        <w:jc w:val="both"/>
        <w:rPr>
          <w:rFonts w:ascii="Times New Roman" w:hAnsi="Times New Roman"/>
          <w:sz w:val="28"/>
          <w:szCs w:val="28"/>
        </w:rPr>
      </w:pPr>
    </w:p>
    <w:p w14:paraId="61D167DF" w14:textId="398AC4C2" w:rsidR="007B7A87" w:rsidRDefault="007B7A87" w:rsidP="003848A8">
      <w:pPr>
        <w:widowControl/>
        <w:jc w:val="both"/>
        <w:rPr>
          <w:rFonts w:ascii="Times New Roman" w:hAnsi="Times New Roman"/>
          <w:sz w:val="28"/>
          <w:szCs w:val="28"/>
        </w:rPr>
      </w:pPr>
    </w:p>
    <w:p w14:paraId="1BAB0BCA" w14:textId="0BEFF889" w:rsidR="007B7A87" w:rsidRDefault="007B7A87" w:rsidP="003848A8">
      <w:pPr>
        <w:widowControl/>
        <w:jc w:val="both"/>
        <w:rPr>
          <w:rFonts w:ascii="Times New Roman" w:hAnsi="Times New Roman"/>
          <w:sz w:val="28"/>
          <w:szCs w:val="28"/>
        </w:rPr>
      </w:pPr>
    </w:p>
    <w:p w14:paraId="101E636F" w14:textId="78D94D9F" w:rsidR="007B7A87" w:rsidRDefault="007B7A87" w:rsidP="003848A8">
      <w:pPr>
        <w:widowControl/>
        <w:jc w:val="both"/>
        <w:rPr>
          <w:rFonts w:ascii="Times New Roman" w:hAnsi="Times New Roman"/>
          <w:sz w:val="28"/>
          <w:szCs w:val="28"/>
        </w:rPr>
      </w:pPr>
    </w:p>
    <w:p w14:paraId="4383C4B9" w14:textId="311EBFB4" w:rsidR="007B7A87" w:rsidRDefault="007B7A87" w:rsidP="003848A8">
      <w:pPr>
        <w:widowControl/>
        <w:jc w:val="both"/>
        <w:rPr>
          <w:rFonts w:ascii="Times New Roman" w:hAnsi="Times New Roman"/>
          <w:sz w:val="28"/>
          <w:szCs w:val="28"/>
        </w:rPr>
      </w:pPr>
    </w:p>
    <w:p w14:paraId="03AD35B6" w14:textId="26F22803" w:rsidR="007B7A87" w:rsidRDefault="007B7A87" w:rsidP="003848A8">
      <w:pPr>
        <w:widowControl/>
        <w:jc w:val="both"/>
        <w:rPr>
          <w:rFonts w:ascii="Times New Roman" w:hAnsi="Times New Roman"/>
          <w:sz w:val="28"/>
          <w:szCs w:val="28"/>
        </w:rPr>
      </w:pPr>
    </w:p>
    <w:p w14:paraId="5B5A78D5" w14:textId="77777777" w:rsidR="005161BA" w:rsidRDefault="005161BA" w:rsidP="003848A8">
      <w:pPr>
        <w:widowControl/>
        <w:jc w:val="both"/>
        <w:rPr>
          <w:rFonts w:ascii="Times New Roman" w:hAnsi="Times New Roman"/>
          <w:sz w:val="28"/>
          <w:szCs w:val="28"/>
        </w:rPr>
      </w:pPr>
    </w:p>
    <w:p w14:paraId="2ABA1376" w14:textId="68C56C09" w:rsidR="00517872" w:rsidRDefault="00517872" w:rsidP="00517872">
      <w:pPr>
        <w:widowControl/>
        <w:ind w:firstLine="720"/>
        <w:jc w:val="both"/>
        <w:rPr>
          <w:rFonts w:ascii="Times New Roman" w:hAnsi="Times New Roman"/>
          <w:sz w:val="28"/>
          <w:szCs w:val="28"/>
        </w:rPr>
      </w:pPr>
      <w:r>
        <w:rPr>
          <w:rFonts w:ascii="Times New Roman" w:hAnsi="Times New Roman"/>
          <w:sz w:val="28"/>
          <w:szCs w:val="28"/>
        </w:rPr>
        <w:lastRenderedPageBreak/>
        <w:t xml:space="preserve">Respectfully submitted </w:t>
      </w:r>
      <w:r w:rsidR="005161BA">
        <w:rPr>
          <w:rFonts w:ascii="Times New Roman" w:hAnsi="Times New Roman"/>
          <w:sz w:val="28"/>
          <w:szCs w:val="28"/>
        </w:rPr>
        <w:t>this 30</w:t>
      </w:r>
      <w:r w:rsidR="005161BA" w:rsidRPr="005161BA">
        <w:rPr>
          <w:rFonts w:ascii="Times New Roman" w:hAnsi="Times New Roman"/>
          <w:sz w:val="28"/>
          <w:szCs w:val="28"/>
          <w:vertAlign w:val="superscript"/>
        </w:rPr>
        <w:t>th</w:t>
      </w:r>
      <w:r w:rsidR="005161BA">
        <w:rPr>
          <w:rFonts w:ascii="Times New Roman" w:hAnsi="Times New Roman"/>
          <w:sz w:val="28"/>
          <w:szCs w:val="28"/>
        </w:rPr>
        <w:t xml:space="preserve"> day of April</w:t>
      </w:r>
      <w:r>
        <w:rPr>
          <w:rFonts w:ascii="Times New Roman" w:hAnsi="Times New Roman"/>
          <w:sz w:val="28"/>
          <w:szCs w:val="28"/>
        </w:rPr>
        <w:t>, 202</w:t>
      </w:r>
      <w:r w:rsidR="00296B1E">
        <w:rPr>
          <w:rFonts w:ascii="Times New Roman" w:hAnsi="Times New Roman"/>
          <w:sz w:val="28"/>
          <w:szCs w:val="28"/>
        </w:rPr>
        <w:t>3</w:t>
      </w:r>
      <w:r>
        <w:rPr>
          <w:rFonts w:ascii="Times New Roman" w:hAnsi="Times New Roman"/>
          <w:sz w:val="28"/>
          <w:szCs w:val="28"/>
        </w:rPr>
        <w:t>.</w:t>
      </w:r>
    </w:p>
    <w:p w14:paraId="3F894C91" w14:textId="77777777" w:rsidR="00517872" w:rsidRDefault="00517872" w:rsidP="00517872">
      <w:pPr>
        <w:widowControl/>
        <w:jc w:val="both"/>
        <w:rPr>
          <w:rFonts w:ascii="Times New Roman" w:hAnsi="Times New Roman"/>
          <w:sz w:val="28"/>
          <w:szCs w:val="28"/>
        </w:rPr>
      </w:pPr>
    </w:p>
    <w:p w14:paraId="114B2115" w14:textId="77777777" w:rsidR="00517872" w:rsidRDefault="00517872" w:rsidP="00517872">
      <w:pPr>
        <w:widowControl/>
        <w:jc w:val="both"/>
        <w:rPr>
          <w:rFonts w:ascii="Times New Roman" w:hAnsi="Times New Roman"/>
          <w:sz w:val="28"/>
          <w:szCs w:val="28"/>
        </w:rPr>
      </w:pPr>
    </w:p>
    <w:p w14:paraId="0A40E445" w14:textId="77777777" w:rsidR="00517872" w:rsidRPr="008E1D8B" w:rsidRDefault="00517872" w:rsidP="00517872">
      <w:pPr>
        <w:widowControl/>
        <w:jc w:val="both"/>
        <w:rPr>
          <w:rFonts w:ascii="Times New Roman" w:hAnsi="Times New Roman"/>
          <w:sz w:val="28"/>
          <w:szCs w:val="28"/>
          <w:u w:val="single"/>
        </w:rPr>
      </w:pPr>
      <w:r>
        <w:rPr>
          <w:rFonts w:ascii="Times New Roman" w:hAnsi="Times New Roman"/>
          <w:sz w:val="28"/>
          <w:szCs w:val="28"/>
        </w:rPr>
        <w:t>By</w:t>
      </w:r>
      <w:r>
        <w:rPr>
          <w:rFonts w:ascii="Times New Roman" w:hAnsi="Times New Roman"/>
          <w:sz w:val="28"/>
          <w:szCs w:val="28"/>
          <w:u w:val="single"/>
        </w:rPr>
        <w:tab/>
        <w:t xml:space="preserve">/s/ </w:t>
      </w:r>
      <w:r w:rsidRPr="00C16D2B">
        <w:rPr>
          <w:rFonts w:ascii="Times New Roman" w:hAnsi="Times New Roman"/>
          <w:i/>
          <w:iCs/>
          <w:sz w:val="28"/>
          <w:szCs w:val="28"/>
          <w:u w:val="single"/>
        </w:rPr>
        <w:t>Rosemarie Pena-Lynch</w:t>
      </w:r>
      <w:r>
        <w:rPr>
          <w:rFonts w:ascii="Times New Roman" w:hAnsi="Times New Roman"/>
          <w:sz w:val="28"/>
          <w:szCs w:val="28"/>
          <w:u w:val="single"/>
        </w:rPr>
        <w:tab/>
      </w:r>
      <w:r>
        <w:rPr>
          <w:rFonts w:ascii="Times New Roman" w:hAnsi="Times New Roman"/>
          <w:sz w:val="28"/>
          <w:szCs w:val="28"/>
        </w:rPr>
        <w:tab/>
        <w:t>By</w:t>
      </w:r>
      <w:r>
        <w:rPr>
          <w:rFonts w:ascii="Times New Roman" w:hAnsi="Times New Roman"/>
          <w:sz w:val="28"/>
          <w:szCs w:val="28"/>
          <w:u w:val="single"/>
        </w:rPr>
        <w:tab/>
        <w:t xml:space="preserve">/s/ </w:t>
      </w:r>
      <w:r w:rsidRPr="00C16D2B">
        <w:rPr>
          <w:rFonts w:ascii="Times New Roman" w:hAnsi="Times New Roman"/>
          <w:i/>
          <w:iCs/>
          <w:sz w:val="28"/>
          <w:szCs w:val="28"/>
          <w:u w:val="single"/>
        </w:rPr>
        <w:t>Gary Kula</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6FEFC468" w14:textId="2B32B89C" w:rsidR="00517872" w:rsidRPr="005B2963" w:rsidRDefault="00517872" w:rsidP="005B2963">
      <w:pPr>
        <w:widowControl/>
        <w:tabs>
          <w:tab w:val="left" w:pos="5400"/>
        </w:tabs>
        <w:ind w:firstLine="360"/>
        <w:jc w:val="both"/>
        <w:rPr>
          <w:rFonts w:ascii="Times New Roman" w:hAnsi="Times New Roman"/>
          <w:b/>
          <w:bCs/>
          <w:sz w:val="28"/>
          <w:szCs w:val="28"/>
        </w:rPr>
      </w:pPr>
      <w:r w:rsidRPr="00517872">
        <w:rPr>
          <w:rFonts w:ascii="Times New Roman" w:hAnsi="Times New Roman"/>
          <w:sz w:val="28"/>
          <w:szCs w:val="28"/>
        </w:rPr>
        <w:t>Rosemarie Pena-Lynch</w:t>
      </w:r>
      <w:r w:rsidR="005B2963">
        <w:rPr>
          <w:rFonts w:ascii="Times New Roman" w:hAnsi="Times New Roman"/>
          <w:sz w:val="28"/>
          <w:szCs w:val="28"/>
        </w:rPr>
        <w:t>, Director</w:t>
      </w:r>
      <w:r w:rsidRPr="00B67F38">
        <w:rPr>
          <w:rFonts w:ascii="Times New Roman" w:hAnsi="Times New Roman"/>
          <w:sz w:val="28"/>
          <w:szCs w:val="28"/>
        </w:rPr>
        <w:tab/>
      </w:r>
      <w:r w:rsidRPr="00517872">
        <w:rPr>
          <w:rFonts w:ascii="Times New Roman" w:hAnsi="Times New Roman"/>
          <w:sz w:val="28"/>
          <w:szCs w:val="28"/>
        </w:rPr>
        <w:t>Gary Kula</w:t>
      </w:r>
      <w:r w:rsidR="005B2963">
        <w:rPr>
          <w:rFonts w:ascii="Times New Roman" w:hAnsi="Times New Roman"/>
          <w:sz w:val="28"/>
          <w:szCs w:val="28"/>
        </w:rPr>
        <w:t>, Director</w:t>
      </w:r>
    </w:p>
    <w:p w14:paraId="530CB84C" w14:textId="7864D18F" w:rsidR="00517872" w:rsidRDefault="00517872" w:rsidP="008C6960">
      <w:pPr>
        <w:widowControl/>
        <w:tabs>
          <w:tab w:val="left" w:pos="5400"/>
        </w:tabs>
        <w:ind w:firstLine="360"/>
        <w:jc w:val="both"/>
        <w:rPr>
          <w:rFonts w:ascii="Times New Roman" w:hAnsi="Times New Roman"/>
          <w:sz w:val="28"/>
          <w:szCs w:val="28"/>
        </w:rPr>
      </w:pPr>
      <w:r w:rsidRPr="00B67F38">
        <w:rPr>
          <w:rFonts w:ascii="Times New Roman" w:hAnsi="Times New Roman"/>
          <w:sz w:val="28"/>
          <w:szCs w:val="28"/>
        </w:rPr>
        <w:t>Mcpa.</w:t>
      </w:r>
      <w:r>
        <w:rPr>
          <w:rFonts w:ascii="Times New Roman" w:hAnsi="Times New Roman"/>
          <w:sz w:val="28"/>
          <w:szCs w:val="28"/>
        </w:rPr>
        <w:t xml:space="preserve"> Cnty.</w:t>
      </w:r>
      <w:r w:rsidRPr="00B67F38">
        <w:rPr>
          <w:rFonts w:ascii="Times New Roman" w:hAnsi="Times New Roman"/>
          <w:sz w:val="28"/>
          <w:szCs w:val="28"/>
        </w:rPr>
        <w:t xml:space="preserve"> Of</w:t>
      </w:r>
      <w:r>
        <w:rPr>
          <w:rFonts w:ascii="Times New Roman" w:hAnsi="Times New Roman"/>
          <w:sz w:val="28"/>
          <w:szCs w:val="28"/>
        </w:rPr>
        <w:t>c.</w:t>
      </w:r>
      <w:r w:rsidRPr="00B67F38">
        <w:rPr>
          <w:rFonts w:ascii="Times New Roman" w:hAnsi="Times New Roman"/>
          <w:sz w:val="28"/>
          <w:szCs w:val="28"/>
        </w:rPr>
        <w:t xml:space="preserve"> of Public Defense Svc.</w:t>
      </w:r>
      <w:r>
        <w:rPr>
          <w:rFonts w:ascii="Times New Roman" w:hAnsi="Times New Roman"/>
          <w:sz w:val="28"/>
          <w:szCs w:val="28"/>
        </w:rPr>
        <w:tab/>
      </w:r>
      <w:r w:rsidRPr="00B67F38">
        <w:rPr>
          <w:rFonts w:ascii="Times New Roman" w:hAnsi="Times New Roman"/>
          <w:sz w:val="28"/>
          <w:szCs w:val="28"/>
        </w:rPr>
        <w:t xml:space="preserve">Mcpa. </w:t>
      </w:r>
      <w:r>
        <w:rPr>
          <w:rFonts w:ascii="Times New Roman" w:hAnsi="Times New Roman"/>
          <w:sz w:val="28"/>
          <w:szCs w:val="28"/>
        </w:rPr>
        <w:t xml:space="preserve">Cnty. </w:t>
      </w:r>
      <w:r w:rsidRPr="00B67F38">
        <w:rPr>
          <w:rFonts w:ascii="Times New Roman" w:hAnsi="Times New Roman"/>
          <w:sz w:val="28"/>
          <w:szCs w:val="28"/>
        </w:rPr>
        <w:t>Public Defenders</w:t>
      </w:r>
      <w:r w:rsidR="008C6960">
        <w:rPr>
          <w:rFonts w:ascii="Times New Roman" w:hAnsi="Times New Roman"/>
          <w:sz w:val="28"/>
          <w:szCs w:val="28"/>
        </w:rPr>
        <w:t xml:space="preserve"> Ofc.</w:t>
      </w:r>
    </w:p>
    <w:p w14:paraId="2A0718F9" w14:textId="77777777" w:rsidR="00517872" w:rsidRDefault="00517872" w:rsidP="00517872">
      <w:pPr>
        <w:widowControl/>
        <w:jc w:val="both"/>
        <w:rPr>
          <w:rFonts w:ascii="Times New Roman" w:hAnsi="Times New Roman"/>
          <w:sz w:val="28"/>
          <w:szCs w:val="28"/>
        </w:rPr>
      </w:pPr>
    </w:p>
    <w:p w14:paraId="6D55C85E" w14:textId="77777777" w:rsidR="00517872" w:rsidRPr="00B67F38" w:rsidRDefault="00517872" w:rsidP="00517872">
      <w:pPr>
        <w:widowControl/>
        <w:jc w:val="both"/>
        <w:rPr>
          <w:rFonts w:ascii="Times New Roman" w:hAnsi="Times New Roman"/>
          <w:sz w:val="28"/>
          <w:szCs w:val="28"/>
        </w:rPr>
      </w:pPr>
    </w:p>
    <w:p w14:paraId="0EF4BC08" w14:textId="77777777" w:rsidR="00517872" w:rsidRPr="008E1D8B" w:rsidRDefault="00517872" w:rsidP="00517872">
      <w:pPr>
        <w:widowControl/>
        <w:jc w:val="both"/>
        <w:rPr>
          <w:rFonts w:ascii="Times New Roman" w:hAnsi="Times New Roman"/>
          <w:sz w:val="28"/>
          <w:szCs w:val="28"/>
          <w:u w:val="single"/>
        </w:rPr>
      </w:pPr>
      <w:r>
        <w:rPr>
          <w:rFonts w:ascii="Times New Roman" w:hAnsi="Times New Roman"/>
          <w:sz w:val="28"/>
          <w:szCs w:val="28"/>
        </w:rPr>
        <w:t>By</w:t>
      </w:r>
      <w:r>
        <w:rPr>
          <w:rFonts w:ascii="Times New Roman" w:hAnsi="Times New Roman"/>
          <w:sz w:val="28"/>
          <w:szCs w:val="28"/>
          <w:u w:val="single"/>
        </w:rPr>
        <w:tab/>
        <w:t xml:space="preserve">/s/ </w:t>
      </w:r>
      <w:r w:rsidRPr="00C16D2B">
        <w:rPr>
          <w:rFonts w:ascii="Times New Roman" w:hAnsi="Times New Roman"/>
          <w:i/>
          <w:iCs/>
          <w:sz w:val="28"/>
          <w:szCs w:val="28"/>
          <w:u w:val="single"/>
        </w:rPr>
        <w:t>Steve Koestner</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ab/>
        <w:t>By</w:t>
      </w:r>
      <w:r>
        <w:rPr>
          <w:rFonts w:ascii="Times New Roman" w:hAnsi="Times New Roman"/>
          <w:sz w:val="28"/>
          <w:szCs w:val="28"/>
          <w:u w:val="single"/>
        </w:rPr>
        <w:tab/>
        <w:t xml:space="preserve">/s/ </w:t>
      </w:r>
      <w:r w:rsidRPr="00C16D2B">
        <w:rPr>
          <w:rFonts w:ascii="Times New Roman" w:hAnsi="Times New Roman"/>
          <w:i/>
          <w:iCs/>
          <w:sz w:val="28"/>
          <w:szCs w:val="28"/>
          <w:u w:val="single"/>
        </w:rPr>
        <w:t>Shannon Burns</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04C60272" w14:textId="3DD29583" w:rsidR="00CD0B1E" w:rsidRDefault="00517872" w:rsidP="00517872">
      <w:pPr>
        <w:widowControl/>
        <w:tabs>
          <w:tab w:val="left" w:pos="5400"/>
        </w:tabs>
        <w:ind w:firstLine="360"/>
        <w:jc w:val="both"/>
        <w:rPr>
          <w:rFonts w:ascii="Times New Roman" w:hAnsi="Times New Roman"/>
          <w:b/>
          <w:bCs/>
          <w:sz w:val="28"/>
          <w:szCs w:val="28"/>
        </w:rPr>
      </w:pPr>
      <w:r w:rsidRPr="00517872">
        <w:rPr>
          <w:rFonts w:ascii="Times New Roman" w:hAnsi="Times New Roman"/>
          <w:sz w:val="28"/>
          <w:szCs w:val="28"/>
        </w:rPr>
        <w:t>Steve Koestner</w:t>
      </w:r>
      <w:r w:rsidR="005B2963">
        <w:rPr>
          <w:rFonts w:ascii="Times New Roman" w:hAnsi="Times New Roman"/>
          <w:sz w:val="28"/>
          <w:szCs w:val="28"/>
        </w:rPr>
        <w:t>, Director</w:t>
      </w:r>
      <w:r w:rsidRPr="00B67F38">
        <w:rPr>
          <w:rFonts w:ascii="Times New Roman" w:hAnsi="Times New Roman"/>
          <w:sz w:val="28"/>
          <w:szCs w:val="28"/>
        </w:rPr>
        <w:tab/>
      </w:r>
      <w:r w:rsidRPr="00517872">
        <w:rPr>
          <w:rFonts w:ascii="Times New Roman" w:hAnsi="Times New Roman"/>
          <w:sz w:val="28"/>
          <w:szCs w:val="28"/>
        </w:rPr>
        <w:t>Shannon Burns</w:t>
      </w:r>
      <w:r w:rsidR="005B2963">
        <w:rPr>
          <w:rFonts w:ascii="Times New Roman" w:hAnsi="Times New Roman"/>
          <w:sz w:val="28"/>
          <w:szCs w:val="28"/>
        </w:rPr>
        <w:t>, Director</w:t>
      </w:r>
    </w:p>
    <w:p w14:paraId="697FD7BC" w14:textId="0E94BE8F" w:rsidR="00517872" w:rsidRDefault="00517872" w:rsidP="008C6960">
      <w:pPr>
        <w:widowControl/>
        <w:tabs>
          <w:tab w:val="left" w:pos="5400"/>
        </w:tabs>
        <w:ind w:left="4320" w:right="-1350" w:hanging="3960"/>
        <w:jc w:val="both"/>
        <w:rPr>
          <w:rFonts w:ascii="Times New Roman" w:hAnsi="Times New Roman"/>
          <w:sz w:val="28"/>
          <w:szCs w:val="28"/>
        </w:rPr>
      </w:pPr>
      <w:r w:rsidRPr="00B67F38">
        <w:rPr>
          <w:rFonts w:ascii="Times New Roman" w:hAnsi="Times New Roman"/>
          <w:sz w:val="28"/>
          <w:szCs w:val="28"/>
        </w:rPr>
        <w:t xml:space="preserve">Mcpa. </w:t>
      </w:r>
      <w:r>
        <w:rPr>
          <w:rFonts w:ascii="Times New Roman" w:hAnsi="Times New Roman"/>
          <w:sz w:val="28"/>
          <w:szCs w:val="28"/>
        </w:rPr>
        <w:t xml:space="preserve">Cnty. </w:t>
      </w:r>
      <w:r w:rsidRPr="00B67F38">
        <w:rPr>
          <w:rFonts w:ascii="Times New Roman" w:hAnsi="Times New Roman"/>
          <w:sz w:val="28"/>
          <w:szCs w:val="28"/>
        </w:rPr>
        <w:t>Of</w:t>
      </w:r>
      <w:r>
        <w:rPr>
          <w:rFonts w:ascii="Times New Roman" w:hAnsi="Times New Roman"/>
          <w:sz w:val="28"/>
          <w:szCs w:val="28"/>
        </w:rPr>
        <w:t>c.</w:t>
      </w:r>
      <w:r w:rsidRPr="00B67F38">
        <w:rPr>
          <w:rFonts w:ascii="Times New Roman" w:hAnsi="Times New Roman"/>
          <w:sz w:val="28"/>
          <w:szCs w:val="28"/>
        </w:rPr>
        <w:t xml:space="preserve"> of Legal Advocate</w:t>
      </w:r>
      <w:r>
        <w:rPr>
          <w:rFonts w:ascii="Times New Roman" w:hAnsi="Times New Roman"/>
          <w:sz w:val="28"/>
          <w:szCs w:val="28"/>
        </w:rPr>
        <w:tab/>
      </w:r>
      <w:r w:rsidRPr="00B67F38">
        <w:rPr>
          <w:rFonts w:ascii="Times New Roman" w:hAnsi="Times New Roman"/>
          <w:sz w:val="28"/>
          <w:szCs w:val="28"/>
        </w:rPr>
        <w:t xml:space="preserve">Mcpa. </w:t>
      </w:r>
      <w:r>
        <w:rPr>
          <w:rFonts w:ascii="Times New Roman" w:hAnsi="Times New Roman"/>
          <w:sz w:val="28"/>
          <w:szCs w:val="28"/>
        </w:rPr>
        <w:t xml:space="preserve">Cnty. </w:t>
      </w:r>
      <w:r w:rsidRPr="00B67F38">
        <w:rPr>
          <w:rFonts w:ascii="Times New Roman" w:hAnsi="Times New Roman"/>
          <w:sz w:val="28"/>
          <w:szCs w:val="28"/>
        </w:rPr>
        <w:t>Of</w:t>
      </w:r>
      <w:r>
        <w:rPr>
          <w:rFonts w:ascii="Times New Roman" w:hAnsi="Times New Roman"/>
          <w:sz w:val="28"/>
          <w:szCs w:val="28"/>
        </w:rPr>
        <w:t>c.</w:t>
      </w:r>
      <w:r w:rsidRPr="00B67F38">
        <w:rPr>
          <w:rFonts w:ascii="Times New Roman" w:hAnsi="Times New Roman"/>
          <w:sz w:val="28"/>
          <w:szCs w:val="28"/>
        </w:rPr>
        <w:t xml:space="preserve"> of Public</w:t>
      </w:r>
      <w:r w:rsidR="008C6960">
        <w:rPr>
          <w:rFonts w:ascii="Times New Roman" w:hAnsi="Times New Roman"/>
          <w:sz w:val="28"/>
          <w:szCs w:val="28"/>
        </w:rPr>
        <w:t xml:space="preserve"> Advocate</w:t>
      </w:r>
      <w:r w:rsidRPr="00B67F38">
        <w:rPr>
          <w:rFonts w:ascii="Times New Roman" w:hAnsi="Times New Roman"/>
          <w:sz w:val="28"/>
          <w:szCs w:val="28"/>
        </w:rPr>
        <w:t xml:space="preserve"> </w:t>
      </w:r>
    </w:p>
    <w:p w14:paraId="68842C39" w14:textId="77777777" w:rsidR="00517872" w:rsidRDefault="00517872" w:rsidP="00517872">
      <w:pPr>
        <w:widowControl/>
        <w:jc w:val="both"/>
        <w:rPr>
          <w:rFonts w:ascii="Times New Roman" w:hAnsi="Times New Roman"/>
          <w:sz w:val="28"/>
          <w:szCs w:val="28"/>
        </w:rPr>
      </w:pPr>
    </w:p>
    <w:p w14:paraId="31A17A3F" w14:textId="77777777" w:rsidR="00517872" w:rsidRPr="00B67F38" w:rsidRDefault="00517872" w:rsidP="00517872">
      <w:pPr>
        <w:widowControl/>
        <w:jc w:val="both"/>
        <w:rPr>
          <w:rFonts w:ascii="Times New Roman" w:hAnsi="Times New Roman"/>
          <w:sz w:val="28"/>
          <w:szCs w:val="28"/>
        </w:rPr>
      </w:pPr>
    </w:p>
    <w:p w14:paraId="1ADBA02D" w14:textId="77777777" w:rsidR="00517872" w:rsidRPr="008E1D8B" w:rsidRDefault="00517872" w:rsidP="00517872">
      <w:pPr>
        <w:widowControl/>
        <w:jc w:val="both"/>
        <w:rPr>
          <w:rFonts w:ascii="Times New Roman" w:hAnsi="Times New Roman"/>
          <w:sz w:val="28"/>
          <w:szCs w:val="28"/>
          <w:u w:val="single"/>
        </w:rPr>
      </w:pPr>
      <w:r>
        <w:rPr>
          <w:rFonts w:ascii="Times New Roman" w:hAnsi="Times New Roman"/>
          <w:sz w:val="28"/>
          <w:szCs w:val="28"/>
        </w:rPr>
        <w:t>By</w:t>
      </w:r>
      <w:r>
        <w:rPr>
          <w:rFonts w:ascii="Times New Roman" w:hAnsi="Times New Roman"/>
          <w:sz w:val="28"/>
          <w:szCs w:val="28"/>
          <w:u w:val="single"/>
        </w:rPr>
        <w:tab/>
        <w:t xml:space="preserve">/s/ </w:t>
      </w:r>
      <w:r w:rsidRPr="00C16D2B">
        <w:rPr>
          <w:rFonts w:ascii="Times New Roman" w:hAnsi="Times New Roman"/>
          <w:i/>
          <w:iCs/>
          <w:sz w:val="28"/>
          <w:szCs w:val="28"/>
          <w:u w:val="single"/>
        </w:rPr>
        <w:t>Sherri McGuire Lawson</w:t>
      </w:r>
      <w:r>
        <w:rPr>
          <w:rFonts w:ascii="Times New Roman" w:hAnsi="Times New Roman"/>
          <w:sz w:val="28"/>
          <w:szCs w:val="28"/>
          <w:u w:val="single"/>
        </w:rPr>
        <w:tab/>
      </w:r>
    </w:p>
    <w:p w14:paraId="769C974A" w14:textId="7334DCCC" w:rsidR="00517872" w:rsidRPr="00517872" w:rsidRDefault="00517872" w:rsidP="00517872">
      <w:pPr>
        <w:widowControl/>
        <w:ind w:firstLine="360"/>
        <w:jc w:val="both"/>
        <w:rPr>
          <w:rFonts w:ascii="Times New Roman" w:hAnsi="Times New Roman"/>
          <w:sz w:val="28"/>
          <w:szCs w:val="28"/>
        </w:rPr>
      </w:pPr>
      <w:r w:rsidRPr="00517872">
        <w:rPr>
          <w:rFonts w:ascii="Times New Roman" w:hAnsi="Times New Roman"/>
          <w:sz w:val="28"/>
          <w:szCs w:val="28"/>
        </w:rPr>
        <w:t>Sherri McGuire Lawson</w:t>
      </w:r>
      <w:r w:rsidR="005B2963">
        <w:rPr>
          <w:rFonts w:ascii="Times New Roman" w:hAnsi="Times New Roman"/>
          <w:sz w:val="28"/>
          <w:szCs w:val="28"/>
        </w:rPr>
        <w:t>, Director</w:t>
      </w:r>
    </w:p>
    <w:p w14:paraId="6BED04A2" w14:textId="77777777" w:rsidR="00517872" w:rsidRPr="00B67F38" w:rsidRDefault="00517872" w:rsidP="00517872">
      <w:pPr>
        <w:widowControl/>
        <w:ind w:firstLine="360"/>
        <w:jc w:val="both"/>
        <w:rPr>
          <w:rFonts w:ascii="Times New Roman" w:hAnsi="Times New Roman"/>
          <w:sz w:val="28"/>
          <w:szCs w:val="28"/>
        </w:rPr>
      </w:pPr>
      <w:r w:rsidRPr="00B67F38">
        <w:rPr>
          <w:rFonts w:ascii="Times New Roman" w:hAnsi="Times New Roman"/>
          <w:sz w:val="28"/>
          <w:szCs w:val="28"/>
        </w:rPr>
        <w:t>Mcpa.</w:t>
      </w:r>
      <w:r>
        <w:rPr>
          <w:rFonts w:ascii="Times New Roman" w:hAnsi="Times New Roman"/>
          <w:sz w:val="28"/>
          <w:szCs w:val="28"/>
        </w:rPr>
        <w:t xml:space="preserve"> Cnty.</w:t>
      </w:r>
      <w:r w:rsidRPr="00B67F38">
        <w:rPr>
          <w:rFonts w:ascii="Times New Roman" w:hAnsi="Times New Roman"/>
          <w:sz w:val="28"/>
          <w:szCs w:val="28"/>
        </w:rPr>
        <w:t xml:space="preserve"> Of</w:t>
      </w:r>
      <w:r>
        <w:rPr>
          <w:rFonts w:ascii="Times New Roman" w:hAnsi="Times New Roman"/>
          <w:sz w:val="28"/>
          <w:szCs w:val="28"/>
        </w:rPr>
        <w:t>c.</w:t>
      </w:r>
      <w:r w:rsidRPr="00B67F38">
        <w:rPr>
          <w:rFonts w:ascii="Times New Roman" w:hAnsi="Times New Roman"/>
          <w:sz w:val="28"/>
          <w:szCs w:val="28"/>
        </w:rPr>
        <w:t xml:space="preserve"> of Legal Defender</w:t>
      </w:r>
    </w:p>
    <w:p w14:paraId="0FA914E6" w14:textId="77777777" w:rsidR="0031043B" w:rsidRDefault="0031043B"/>
    <w:sectPr w:rsidR="0031043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05569" w14:textId="77777777" w:rsidR="004123AB" w:rsidRDefault="004123AB" w:rsidP="00517872">
      <w:r>
        <w:separator/>
      </w:r>
    </w:p>
  </w:endnote>
  <w:endnote w:type="continuationSeparator" w:id="0">
    <w:p w14:paraId="0A4649E9" w14:textId="77777777" w:rsidR="004123AB" w:rsidRDefault="004123AB" w:rsidP="005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139587"/>
      <w:docPartObj>
        <w:docPartGallery w:val="Page Numbers (Bottom of Page)"/>
        <w:docPartUnique/>
      </w:docPartObj>
    </w:sdtPr>
    <w:sdtEndPr>
      <w:rPr>
        <w:rFonts w:ascii="Times New Roman" w:hAnsi="Times New Roman" w:cs="Times New Roman"/>
        <w:noProof/>
      </w:rPr>
    </w:sdtEndPr>
    <w:sdtContent>
      <w:p w14:paraId="33BCCFC8" w14:textId="4916F461" w:rsidR="002A25AC" w:rsidRDefault="002A25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41DEAE" w14:textId="77777777" w:rsidR="000444F5" w:rsidRDefault="00044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7B53" w14:textId="77777777" w:rsidR="004123AB" w:rsidRDefault="004123AB" w:rsidP="00517872">
      <w:r>
        <w:separator/>
      </w:r>
    </w:p>
  </w:footnote>
  <w:footnote w:type="continuationSeparator" w:id="0">
    <w:p w14:paraId="24CA5930" w14:textId="77777777" w:rsidR="004123AB" w:rsidRDefault="004123AB" w:rsidP="0051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E1E67"/>
    <w:multiLevelType w:val="hybridMultilevel"/>
    <w:tmpl w:val="A18AD182"/>
    <w:lvl w:ilvl="0" w:tplc="FB14C8E2">
      <w:start w:val="1"/>
      <w:numFmt w:val="decimal"/>
      <w:lvlText w:val="%1."/>
      <w:lvlJc w:val="left"/>
      <w:pPr>
        <w:ind w:left="1080" w:hanging="360"/>
      </w:pPr>
      <w:rPr>
        <w:rFonts w:hint="default"/>
        <w:b/>
        <w:bCs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36432A"/>
    <w:multiLevelType w:val="hybridMultilevel"/>
    <w:tmpl w:val="D2823DBA"/>
    <w:lvl w:ilvl="0" w:tplc="C0DC380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29307D2"/>
    <w:multiLevelType w:val="hybridMultilevel"/>
    <w:tmpl w:val="BE74DA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8243652">
    <w:abstractNumId w:val="1"/>
  </w:num>
  <w:num w:numId="2" w16cid:durableId="2052993522">
    <w:abstractNumId w:val="0"/>
  </w:num>
  <w:num w:numId="3" w16cid:durableId="257564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0C"/>
    <w:rsid w:val="00034715"/>
    <w:rsid w:val="000444F5"/>
    <w:rsid w:val="00054132"/>
    <w:rsid w:val="0008409D"/>
    <w:rsid w:val="000926B8"/>
    <w:rsid w:val="000D0CB5"/>
    <w:rsid w:val="0010481C"/>
    <w:rsid w:val="0019728E"/>
    <w:rsid w:val="001A588D"/>
    <w:rsid w:val="001A7E73"/>
    <w:rsid w:val="001B4244"/>
    <w:rsid w:val="001C5E96"/>
    <w:rsid w:val="001D6B69"/>
    <w:rsid w:val="001E072E"/>
    <w:rsid w:val="00203B97"/>
    <w:rsid w:val="00204182"/>
    <w:rsid w:val="00207B3E"/>
    <w:rsid w:val="002170A9"/>
    <w:rsid w:val="00282FB2"/>
    <w:rsid w:val="00285E75"/>
    <w:rsid w:val="00287AC6"/>
    <w:rsid w:val="00296B1E"/>
    <w:rsid w:val="002A25AC"/>
    <w:rsid w:val="002C77B0"/>
    <w:rsid w:val="002C7D23"/>
    <w:rsid w:val="0031043B"/>
    <w:rsid w:val="00361ECA"/>
    <w:rsid w:val="003848A8"/>
    <w:rsid w:val="003D666F"/>
    <w:rsid w:val="003E5721"/>
    <w:rsid w:val="00410529"/>
    <w:rsid w:val="004123AB"/>
    <w:rsid w:val="00455190"/>
    <w:rsid w:val="004979F8"/>
    <w:rsid w:val="004A0709"/>
    <w:rsid w:val="004C0BB5"/>
    <w:rsid w:val="004C1DBC"/>
    <w:rsid w:val="004D31D2"/>
    <w:rsid w:val="004D7478"/>
    <w:rsid w:val="0050719E"/>
    <w:rsid w:val="005161BA"/>
    <w:rsid w:val="00517872"/>
    <w:rsid w:val="0053659E"/>
    <w:rsid w:val="005414ED"/>
    <w:rsid w:val="005444FE"/>
    <w:rsid w:val="005462C0"/>
    <w:rsid w:val="00552C6A"/>
    <w:rsid w:val="005B0DD3"/>
    <w:rsid w:val="005B2963"/>
    <w:rsid w:val="005D022F"/>
    <w:rsid w:val="005D4A93"/>
    <w:rsid w:val="005E03CC"/>
    <w:rsid w:val="005F3AD7"/>
    <w:rsid w:val="00614985"/>
    <w:rsid w:val="00644083"/>
    <w:rsid w:val="0064456B"/>
    <w:rsid w:val="006B75E0"/>
    <w:rsid w:val="006D01B5"/>
    <w:rsid w:val="0071157B"/>
    <w:rsid w:val="0071774D"/>
    <w:rsid w:val="00721CE8"/>
    <w:rsid w:val="00744EFD"/>
    <w:rsid w:val="0076484F"/>
    <w:rsid w:val="00765850"/>
    <w:rsid w:val="0077605C"/>
    <w:rsid w:val="007B7A87"/>
    <w:rsid w:val="007E2205"/>
    <w:rsid w:val="007F3B31"/>
    <w:rsid w:val="0083399A"/>
    <w:rsid w:val="008C6960"/>
    <w:rsid w:val="008D17C1"/>
    <w:rsid w:val="008D26AC"/>
    <w:rsid w:val="008E5C7B"/>
    <w:rsid w:val="00910F99"/>
    <w:rsid w:val="009324BC"/>
    <w:rsid w:val="009517F1"/>
    <w:rsid w:val="009A49F1"/>
    <w:rsid w:val="00A0011D"/>
    <w:rsid w:val="00A00E0C"/>
    <w:rsid w:val="00A25ADC"/>
    <w:rsid w:val="00A4307D"/>
    <w:rsid w:val="00A578B4"/>
    <w:rsid w:val="00A65D13"/>
    <w:rsid w:val="00A75F89"/>
    <w:rsid w:val="00AC125A"/>
    <w:rsid w:val="00AF291B"/>
    <w:rsid w:val="00B32944"/>
    <w:rsid w:val="00B45D2E"/>
    <w:rsid w:val="00B62323"/>
    <w:rsid w:val="00BB31F7"/>
    <w:rsid w:val="00BD7432"/>
    <w:rsid w:val="00BE6519"/>
    <w:rsid w:val="00C35B5E"/>
    <w:rsid w:val="00C6355C"/>
    <w:rsid w:val="00CA253C"/>
    <w:rsid w:val="00CB2A87"/>
    <w:rsid w:val="00CB71BA"/>
    <w:rsid w:val="00CD0B1E"/>
    <w:rsid w:val="00CD2D1F"/>
    <w:rsid w:val="00D001CA"/>
    <w:rsid w:val="00D02A89"/>
    <w:rsid w:val="00D32EB6"/>
    <w:rsid w:val="00D550AB"/>
    <w:rsid w:val="00D575CD"/>
    <w:rsid w:val="00D8593D"/>
    <w:rsid w:val="00D87B67"/>
    <w:rsid w:val="00DA36BA"/>
    <w:rsid w:val="00DB2440"/>
    <w:rsid w:val="00DD5E3A"/>
    <w:rsid w:val="00E25729"/>
    <w:rsid w:val="00E62663"/>
    <w:rsid w:val="00E70894"/>
    <w:rsid w:val="00EA24E2"/>
    <w:rsid w:val="00EE33FE"/>
    <w:rsid w:val="00F04614"/>
    <w:rsid w:val="00F055FC"/>
    <w:rsid w:val="00F8181F"/>
    <w:rsid w:val="00F81C9B"/>
    <w:rsid w:val="00F917B2"/>
    <w:rsid w:val="00F91871"/>
    <w:rsid w:val="00FB79E9"/>
    <w:rsid w:val="00FC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3BA6"/>
  <w15:chartTrackingRefBased/>
  <w15:docId w15:val="{A25CBAAA-BEBE-4D84-BB26-ADF432C0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0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0E0C"/>
    <w:rPr>
      <w:color w:val="0000FF"/>
      <w:u w:val="single"/>
    </w:rPr>
  </w:style>
  <w:style w:type="character" w:styleId="FootnoteReference">
    <w:name w:val="footnote reference"/>
    <w:uiPriority w:val="99"/>
    <w:semiHidden/>
    <w:rsid w:val="00517872"/>
  </w:style>
  <w:style w:type="paragraph" w:styleId="ListParagraph">
    <w:name w:val="List Paragraph"/>
    <w:basedOn w:val="Normal"/>
    <w:uiPriority w:val="34"/>
    <w:qFormat/>
    <w:rsid w:val="00517872"/>
    <w:pPr>
      <w:ind w:left="720"/>
      <w:contextualSpacing/>
    </w:pPr>
  </w:style>
  <w:style w:type="character" w:customStyle="1" w:styleId="normaltextrun">
    <w:name w:val="normaltextrun"/>
    <w:basedOn w:val="DefaultParagraphFont"/>
    <w:rsid w:val="00517872"/>
  </w:style>
  <w:style w:type="paragraph" w:customStyle="1" w:styleId="paragraph">
    <w:name w:val="paragraph"/>
    <w:basedOn w:val="Normal"/>
    <w:rsid w:val="00517872"/>
    <w:pPr>
      <w:widowControl/>
      <w:spacing w:before="100" w:beforeAutospacing="1" w:after="100" w:afterAutospacing="1"/>
    </w:pPr>
    <w:rPr>
      <w:rFonts w:ascii="Times New Roman" w:hAnsi="Times New Roman"/>
      <w:snapToGrid w:val="0"/>
      <w:szCs w:val="24"/>
    </w:rPr>
  </w:style>
  <w:style w:type="character" w:styleId="UnresolvedMention">
    <w:name w:val="Unresolved Mention"/>
    <w:basedOn w:val="DefaultParagraphFont"/>
    <w:uiPriority w:val="99"/>
    <w:semiHidden/>
    <w:unhideWhenUsed/>
    <w:rsid w:val="006B75E0"/>
    <w:rPr>
      <w:color w:val="605E5C"/>
      <w:shd w:val="clear" w:color="auto" w:fill="E1DFDD"/>
    </w:rPr>
  </w:style>
  <w:style w:type="paragraph" w:styleId="FootnoteText">
    <w:name w:val="footnote text"/>
    <w:basedOn w:val="Normal"/>
    <w:link w:val="FootnoteTextChar"/>
    <w:uiPriority w:val="99"/>
    <w:semiHidden/>
    <w:unhideWhenUsed/>
    <w:rsid w:val="00CD2D1F"/>
    <w:pPr>
      <w:widowControl/>
    </w:pPr>
    <w:rPr>
      <w:snapToGrid w:val="0"/>
      <w:sz w:val="20"/>
    </w:rPr>
  </w:style>
  <w:style w:type="character" w:customStyle="1" w:styleId="FootnoteTextChar">
    <w:name w:val="Footnote Text Char"/>
    <w:basedOn w:val="DefaultParagraphFont"/>
    <w:link w:val="FootnoteText"/>
    <w:uiPriority w:val="99"/>
    <w:semiHidden/>
    <w:rsid w:val="00CD2D1F"/>
    <w:rPr>
      <w:sz w:val="20"/>
      <w:szCs w:val="20"/>
    </w:rPr>
  </w:style>
  <w:style w:type="paragraph" w:styleId="Header">
    <w:name w:val="header"/>
    <w:basedOn w:val="Normal"/>
    <w:link w:val="HeaderChar"/>
    <w:uiPriority w:val="99"/>
    <w:unhideWhenUsed/>
    <w:rsid w:val="000444F5"/>
    <w:pPr>
      <w:tabs>
        <w:tab w:val="center" w:pos="4680"/>
        <w:tab w:val="right" w:pos="9360"/>
      </w:tabs>
    </w:pPr>
  </w:style>
  <w:style w:type="character" w:customStyle="1" w:styleId="HeaderChar">
    <w:name w:val="Header Char"/>
    <w:basedOn w:val="DefaultParagraphFont"/>
    <w:link w:val="Header"/>
    <w:uiPriority w:val="99"/>
    <w:rsid w:val="000444F5"/>
  </w:style>
  <w:style w:type="paragraph" w:styleId="Footer">
    <w:name w:val="footer"/>
    <w:basedOn w:val="Normal"/>
    <w:link w:val="FooterChar"/>
    <w:uiPriority w:val="99"/>
    <w:unhideWhenUsed/>
    <w:rsid w:val="000444F5"/>
    <w:pPr>
      <w:tabs>
        <w:tab w:val="center" w:pos="4680"/>
        <w:tab w:val="right" w:pos="9360"/>
      </w:tabs>
    </w:pPr>
  </w:style>
  <w:style w:type="character" w:customStyle="1" w:styleId="FooterChar">
    <w:name w:val="Footer Char"/>
    <w:basedOn w:val="DefaultParagraphFont"/>
    <w:link w:val="Footer"/>
    <w:uiPriority w:val="99"/>
    <w:rsid w:val="0004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1489-A86B-4CB2-99BF-5D5F3485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Garcia (OPD)</dc:creator>
  <cp:keywords/>
  <dc:description/>
  <cp:lastModifiedBy>Lina Garcia (OPD)</cp:lastModifiedBy>
  <cp:revision>3</cp:revision>
  <dcterms:created xsi:type="dcterms:W3CDTF">2023-05-01T01:34:00Z</dcterms:created>
  <dcterms:modified xsi:type="dcterms:W3CDTF">2023-05-01T01:46:00Z</dcterms:modified>
</cp:coreProperties>
</file>