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Ind w:w="-342" w:type="dxa"/>
        <w:tblLayout w:type="fixed"/>
        <w:tblLook w:val="0000" w:firstRow="0" w:lastRow="0" w:firstColumn="0" w:lastColumn="0" w:noHBand="0" w:noVBand="0"/>
      </w:tblPr>
      <w:tblGrid>
        <w:gridCol w:w="5472"/>
        <w:gridCol w:w="4200"/>
      </w:tblGrid>
      <w:tr w:rsidR="001336C3" w:rsidRPr="00D46859" w14:paraId="14C0B6EF" w14:textId="77777777" w:rsidTr="00031657">
        <w:trPr>
          <w:cantSplit/>
          <w:trHeight w:val="2167"/>
        </w:trPr>
        <w:tc>
          <w:tcPr>
            <w:tcW w:w="5472" w:type="dxa"/>
          </w:tcPr>
          <w:p w14:paraId="53845264" w14:textId="77777777" w:rsidR="00055FC2" w:rsidRPr="00D46859" w:rsidRDefault="00055FC2" w:rsidP="00055FC2">
            <w:pPr>
              <w:spacing w:line="240" w:lineRule="auto"/>
              <w:jc w:val="both"/>
              <w:rPr>
                <w:sz w:val="28"/>
                <w:szCs w:val="28"/>
              </w:rPr>
            </w:pPr>
            <w:bookmarkStart w:id="0" w:name="_zzmpFIXED_CounselTable"/>
            <w:r w:rsidRPr="00D46859">
              <w:rPr>
                <w:sz w:val="28"/>
                <w:szCs w:val="28"/>
              </w:rPr>
              <w:t>Sara J. Agne</w:t>
            </w:r>
          </w:p>
          <w:p w14:paraId="16599E26" w14:textId="77777777" w:rsidR="00032767" w:rsidRPr="00D46859" w:rsidRDefault="00055FC2" w:rsidP="00055FC2">
            <w:pPr>
              <w:spacing w:line="240" w:lineRule="auto"/>
              <w:jc w:val="both"/>
              <w:rPr>
                <w:sz w:val="28"/>
                <w:szCs w:val="28"/>
              </w:rPr>
            </w:pPr>
            <w:r w:rsidRPr="00D46859">
              <w:rPr>
                <w:sz w:val="28"/>
                <w:szCs w:val="28"/>
              </w:rPr>
              <w:t>Co-Chair</w:t>
            </w:r>
          </w:p>
          <w:p w14:paraId="0714C6CA" w14:textId="77777777" w:rsidR="00055FC2" w:rsidRPr="00D46859" w:rsidRDefault="00055FC2" w:rsidP="00055FC2">
            <w:pPr>
              <w:spacing w:line="240" w:lineRule="auto"/>
              <w:jc w:val="both"/>
              <w:rPr>
                <w:sz w:val="28"/>
                <w:szCs w:val="28"/>
              </w:rPr>
            </w:pPr>
            <w:r w:rsidRPr="00D46859">
              <w:rPr>
                <w:sz w:val="28"/>
                <w:szCs w:val="28"/>
              </w:rPr>
              <w:t>Advisory Committee on Rules of</w:t>
            </w:r>
            <w:r w:rsidR="0029790B" w:rsidRPr="00D46859">
              <w:rPr>
                <w:sz w:val="28"/>
                <w:szCs w:val="28"/>
              </w:rPr>
              <w:t xml:space="preserve"> </w:t>
            </w:r>
            <w:r w:rsidRPr="00D46859">
              <w:rPr>
                <w:sz w:val="28"/>
                <w:szCs w:val="28"/>
              </w:rPr>
              <w:t>Evidence</w:t>
            </w:r>
          </w:p>
          <w:p w14:paraId="431AE296" w14:textId="77777777" w:rsidR="00055FC2" w:rsidRPr="00D46859" w:rsidRDefault="00055FC2" w:rsidP="00055FC2">
            <w:pPr>
              <w:spacing w:line="240" w:lineRule="auto"/>
              <w:jc w:val="both"/>
              <w:rPr>
                <w:sz w:val="28"/>
                <w:szCs w:val="28"/>
              </w:rPr>
            </w:pPr>
            <w:r w:rsidRPr="00D46859">
              <w:rPr>
                <w:sz w:val="28"/>
                <w:szCs w:val="28"/>
              </w:rPr>
              <w:t>Judge, Arizona Superior Court</w:t>
            </w:r>
          </w:p>
          <w:p w14:paraId="79737EF6" w14:textId="1880D3D0" w:rsidR="00055FC2" w:rsidRPr="00D46859" w:rsidRDefault="0079774E" w:rsidP="00055FC2">
            <w:pPr>
              <w:spacing w:line="240" w:lineRule="auto"/>
              <w:jc w:val="both"/>
              <w:rPr>
                <w:sz w:val="28"/>
                <w:szCs w:val="28"/>
              </w:rPr>
            </w:pPr>
            <w:r>
              <w:rPr>
                <w:sz w:val="28"/>
                <w:szCs w:val="28"/>
              </w:rPr>
              <w:t>101 W. Jefferson Street, Suite 912</w:t>
            </w:r>
          </w:p>
          <w:p w14:paraId="5EDAA7D7" w14:textId="4FEEB51C" w:rsidR="00055FC2" w:rsidRPr="00D46859" w:rsidRDefault="00055FC2" w:rsidP="00055FC2">
            <w:pPr>
              <w:spacing w:line="240" w:lineRule="auto"/>
              <w:jc w:val="both"/>
              <w:rPr>
                <w:sz w:val="28"/>
                <w:szCs w:val="28"/>
              </w:rPr>
            </w:pPr>
            <w:r w:rsidRPr="00D46859">
              <w:rPr>
                <w:sz w:val="28"/>
                <w:szCs w:val="28"/>
              </w:rPr>
              <w:t>Phoenix, AZ 8500</w:t>
            </w:r>
            <w:r w:rsidR="0079774E">
              <w:rPr>
                <w:sz w:val="28"/>
                <w:szCs w:val="28"/>
              </w:rPr>
              <w:t>3</w:t>
            </w:r>
          </w:p>
          <w:p w14:paraId="0565C258" w14:textId="77777777" w:rsidR="00055FC2" w:rsidRPr="00D46859" w:rsidRDefault="00055FC2" w:rsidP="00055FC2">
            <w:pPr>
              <w:spacing w:line="240" w:lineRule="auto"/>
              <w:jc w:val="both"/>
              <w:rPr>
                <w:sz w:val="28"/>
                <w:szCs w:val="28"/>
              </w:rPr>
            </w:pPr>
            <w:r w:rsidRPr="00D46859">
              <w:rPr>
                <w:sz w:val="28"/>
                <w:szCs w:val="28"/>
              </w:rPr>
              <w:t>Telephone: 602-506-8288</w:t>
            </w:r>
          </w:p>
          <w:p w14:paraId="2BDD5847" w14:textId="77777777" w:rsidR="00055FC2" w:rsidRPr="00D46859" w:rsidRDefault="00055FC2" w:rsidP="00055FC2">
            <w:pPr>
              <w:spacing w:line="240" w:lineRule="auto"/>
              <w:jc w:val="both"/>
              <w:rPr>
                <w:sz w:val="28"/>
                <w:szCs w:val="28"/>
              </w:rPr>
            </w:pPr>
            <w:r w:rsidRPr="00D46859">
              <w:rPr>
                <w:sz w:val="28"/>
                <w:szCs w:val="28"/>
              </w:rPr>
              <w:t>Facsimile: 602-372-5817</w:t>
            </w:r>
          </w:p>
          <w:p w14:paraId="65905902" w14:textId="77777777" w:rsidR="00055FC2" w:rsidRPr="00D46859" w:rsidRDefault="00055FC2" w:rsidP="00055FC2">
            <w:pPr>
              <w:spacing w:line="240" w:lineRule="auto"/>
              <w:jc w:val="both"/>
              <w:rPr>
                <w:sz w:val="28"/>
                <w:szCs w:val="28"/>
              </w:rPr>
            </w:pPr>
          </w:p>
          <w:p w14:paraId="6DB38AEC" w14:textId="77777777" w:rsidR="00055FC2" w:rsidRPr="00D46859" w:rsidRDefault="00055FC2" w:rsidP="00055FC2">
            <w:pPr>
              <w:spacing w:line="240" w:lineRule="auto"/>
              <w:jc w:val="both"/>
              <w:rPr>
                <w:sz w:val="28"/>
                <w:szCs w:val="28"/>
              </w:rPr>
            </w:pPr>
            <w:r w:rsidRPr="00D46859">
              <w:rPr>
                <w:sz w:val="28"/>
                <w:szCs w:val="28"/>
              </w:rPr>
              <w:t>Maria Elena Cruz</w:t>
            </w:r>
          </w:p>
          <w:p w14:paraId="1BE580D7" w14:textId="77777777" w:rsidR="00032767" w:rsidRPr="00D46859" w:rsidRDefault="00055FC2" w:rsidP="00055FC2">
            <w:pPr>
              <w:spacing w:line="240" w:lineRule="auto"/>
              <w:jc w:val="both"/>
              <w:rPr>
                <w:sz w:val="28"/>
                <w:szCs w:val="28"/>
              </w:rPr>
            </w:pPr>
            <w:r w:rsidRPr="00D46859">
              <w:rPr>
                <w:sz w:val="28"/>
                <w:szCs w:val="28"/>
              </w:rPr>
              <w:t>Co-Chair</w:t>
            </w:r>
          </w:p>
          <w:p w14:paraId="4E8C6A62" w14:textId="77777777" w:rsidR="00055FC2" w:rsidRPr="00D46859" w:rsidRDefault="00055FC2" w:rsidP="00055FC2">
            <w:pPr>
              <w:spacing w:line="240" w:lineRule="auto"/>
              <w:jc w:val="both"/>
              <w:rPr>
                <w:sz w:val="28"/>
                <w:szCs w:val="28"/>
              </w:rPr>
            </w:pPr>
            <w:r w:rsidRPr="00D46859">
              <w:rPr>
                <w:sz w:val="28"/>
                <w:szCs w:val="28"/>
              </w:rPr>
              <w:t>Advisory Committee on Rules of Evidence</w:t>
            </w:r>
          </w:p>
          <w:p w14:paraId="7BDA06DE" w14:textId="77777777" w:rsidR="00055FC2" w:rsidRPr="00D46859" w:rsidRDefault="00055FC2" w:rsidP="00055FC2">
            <w:pPr>
              <w:spacing w:line="240" w:lineRule="auto"/>
              <w:rPr>
                <w:sz w:val="28"/>
                <w:szCs w:val="28"/>
              </w:rPr>
            </w:pPr>
            <w:r w:rsidRPr="00D46859">
              <w:rPr>
                <w:sz w:val="28"/>
                <w:szCs w:val="28"/>
              </w:rPr>
              <w:t>Judge, Arizona Court of Appeals</w:t>
            </w:r>
          </w:p>
          <w:p w14:paraId="7646679C" w14:textId="77777777" w:rsidR="00055FC2" w:rsidRPr="00D46859" w:rsidRDefault="00055FC2" w:rsidP="00055FC2">
            <w:pPr>
              <w:spacing w:line="240" w:lineRule="auto"/>
              <w:rPr>
                <w:sz w:val="28"/>
                <w:szCs w:val="28"/>
              </w:rPr>
            </w:pPr>
            <w:r w:rsidRPr="00D46859">
              <w:rPr>
                <w:sz w:val="28"/>
                <w:szCs w:val="28"/>
              </w:rPr>
              <w:t>Division One</w:t>
            </w:r>
          </w:p>
          <w:p w14:paraId="0601BA58" w14:textId="77777777" w:rsidR="00055FC2" w:rsidRPr="00D46859" w:rsidRDefault="00055FC2" w:rsidP="00055FC2">
            <w:pPr>
              <w:spacing w:line="240" w:lineRule="auto"/>
              <w:rPr>
                <w:sz w:val="28"/>
                <w:szCs w:val="28"/>
              </w:rPr>
            </w:pPr>
            <w:r w:rsidRPr="00D46859">
              <w:rPr>
                <w:sz w:val="28"/>
                <w:szCs w:val="28"/>
              </w:rPr>
              <w:t>State Courts Building</w:t>
            </w:r>
          </w:p>
          <w:p w14:paraId="0B568063" w14:textId="77777777" w:rsidR="00055FC2" w:rsidRPr="00D46859" w:rsidRDefault="00055FC2" w:rsidP="00055FC2">
            <w:pPr>
              <w:spacing w:line="240" w:lineRule="auto"/>
              <w:rPr>
                <w:sz w:val="28"/>
                <w:szCs w:val="28"/>
              </w:rPr>
            </w:pPr>
            <w:r w:rsidRPr="00D46859">
              <w:rPr>
                <w:sz w:val="28"/>
                <w:szCs w:val="28"/>
              </w:rPr>
              <w:t>1501 West Washington</w:t>
            </w:r>
          </w:p>
          <w:p w14:paraId="10881535" w14:textId="77777777" w:rsidR="00055FC2" w:rsidRPr="00D46859" w:rsidRDefault="00055FC2" w:rsidP="00055FC2">
            <w:pPr>
              <w:spacing w:line="240" w:lineRule="auto"/>
              <w:rPr>
                <w:sz w:val="28"/>
                <w:szCs w:val="28"/>
              </w:rPr>
            </w:pPr>
            <w:r w:rsidRPr="00D46859">
              <w:rPr>
                <w:sz w:val="28"/>
                <w:szCs w:val="28"/>
              </w:rPr>
              <w:t>Phoenix, Arizona 85007</w:t>
            </w:r>
          </w:p>
          <w:p w14:paraId="4FA2516B" w14:textId="77777777" w:rsidR="00055FC2" w:rsidRPr="00D46859" w:rsidRDefault="00055FC2" w:rsidP="00055FC2">
            <w:pPr>
              <w:spacing w:line="240" w:lineRule="auto"/>
              <w:rPr>
                <w:sz w:val="28"/>
                <w:szCs w:val="28"/>
              </w:rPr>
            </w:pPr>
            <w:r w:rsidRPr="00D46859">
              <w:rPr>
                <w:sz w:val="28"/>
                <w:szCs w:val="28"/>
              </w:rPr>
              <w:t>Telephone: 602-452-6740</w:t>
            </w:r>
          </w:p>
          <w:p w14:paraId="211A546F" w14:textId="77777777" w:rsidR="00055FC2" w:rsidRPr="00D46859" w:rsidRDefault="00055FC2" w:rsidP="00055FC2">
            <w:pPr>
              <w:spacing w:line="240" w:lineRule="auto"/>
              <w:rPr>
                <w:sz w:val="28"/>
                <w:szCs w:val="28"/>
              </w:rPr>
            </w:pPr>
            <w:r w:rsidRPr="00D46859">
              <w:rPr>
                <w:sz w:val="28"/>
                <w:szCs w:val="28"/>
              </w:rPr>
              <w:t xml:space="preserve">Facsimile: 602-452-3228 </w:t>
            </w:r>
          </w:p>
          <w:p w14:paraId="0A25E2A5" w14:textId="77777777" w:rsidR="001336C3" w:rsidRPr="00D46859" w:rsidRDefault="001336C3" w:rsidP="00031657">
            <w:pPr>
              <w:pStyle w:val="FirmInformation"/>
              <w:spacing w:before="240" w:line="240" w:lineRule="auto"/>
              <w:rPr>
                <w:sz w:val="28"/>
                <w:szCs w:val="28"/>
              </w:rPr>
            </w:pPr>
          </w:p>
        </w:tc>
        <w:tc>
          <w:tcPr>
            <w:tcW w:w="4200" w:type="dxa"/>
          </w:tcPr>
          <w:p w14:paraId="6A748FE2" w14:textId="77777777" w:rsidR="001336C3" w:rsidRPr="00D46859" w:rsidRDefault="001336C3" w:rsidP="00031657">
            <w:pPr>
              <w:spacing w:line="240" w:lineRule="auto"/>
              <w:ind w:left="115" w:right="115"/>
              <w:jc w:val="center"/>
              <w:rPr>
                <w:b/>
                <w:sz w:val="28"/>
                <w:szCs w:val="28"/>
              </w:rPr>
            </w:pPr>
          </w:p>
        </w:tc>
      </w:tr>
    </w:tbl>
    <w:bookmarkEnd w:id="0"/>
    <w:p w14:paraId="40369C88" w14:textId="77777777" w:rsidR="001336C3" w:rsidRPr="00D46859" w:rsidRDefault="001336C3" w:rsidP="001336C3">
      <w:pPr>
        <w:pStyle w:val="Court"/>
        <w:spacing w:before="0" w:after="0" w:line="240" w:lineRule="auto"/>
        <w:ind w:left="-360"/>
        <w:rPr>
          <w:sz w:val="28"/>
          <w:szCs w:val="28"/>
        </w:rPr>
      </w:pPr>
      <w:r w:rsidRPr="00D46859">
        <w:rPr>
          <w:sz w:val="28"/>
          <w:szCs w:val="28"/>
        </w:rPr>
        <w:t xml:space="preserve">in the </w:t>
      </w:r>
      <w:r w:rsidR="006B6E14" w:rsidRPr="00D46859">
        <w:rPr>
          <w:sz w:val="28"/>
          <w:szCs w:val="28"/>
        </w:rPr>
        <w:t xml:space="preserve">ARizona </w:t>
      </w:r>
      <w:r w:rsidRPr="00D46859">
        <w:rPr>
          <w:sz w:val="28"/>
          <w:szCs w:val="28"/>
        </w:rPr>
        <w:t>supreme court</w:t>
      </w:r>
    </w:p>
    <w:p w14:paraId="0A1FDF9B" w14:textId="77777777" w:rsidR="001336C3" w:rsidRPr="00D46859" w:rsidRDefault="001336C3" w:rsidP="001336C3">
      <w:pPr>
        <w:pStyle w:val="Court"/>
        <w:spacing w:before="0" w:after="0" w:line="240" w:lineRule="auto"/>
        <w:rPr>
          <w:sz w:val="28"/>
          <w:szCs w:val="28"/>
        </w:rPr>
      </w:pPr>
    </w:p>
    <w:tbl>
      <w:tblPr>
        <w:tblW w:w="9978" w:type="dxa"/>
        <w:tblInd w:w="-252" w:type="dxa"/>
        <w:tblBorders>
          <w:insideH w:val="single" w:sz="4" w:space="0" w:color="auto"/>
        </w:tblBorders>
        <w:tblLayout w:type="fixed"/>
        <w:tblLook w:val="0000" w:firstRow="0" w:lastRow="0" w:firstColumn="0" w:lastColumn="0" w:noHBand="0" w:noVBand="0"/>
      </w:tblPr>
      <w:tblGrid>
        <w:gridCol w:w="4568"/>
        <w:gridCol w:w="5410"/>
      </w:tblGrid>
      <w:tr w:rsidR="001336C3" w:rsidRPr="00D46859" w14:paraId="624A3DA4" w14:textId="77777777" w:rsidTr="00B27699">
        <w:trPr>
          <w:trHeight w:val="2154"/>
        </w:trPr>
        <w:tc>
          <w:tcPr>
            <w:tcW w:w="4568" w:type="dxa"/>
            <w:tcBorders>
              <w:top w:val="nil"/>
              <w:bottom w:val="single" w:sz="4" w:space="0" w:color="auto"/>
              <w:right w:val="single" w:sz="4" w:space="0" w:color="auto"/>
            </w:tcBorders>
            <w:shd w:val="clear" w:color="auto" w:fill="auto"/>
          </w:tcPr>
          <w:p w14:paraId="03D1FAC1" w14:textId="77777777" w:rsidR="001336C3" w:rsidRPr="00D46859" w:rsidRDefault="001336C3" w:rsidP="004C643F">
            <w:pPr>
              <w:pStyle w:val="Caption"/>
              <w:spacing w:line="240" w:lineRule="auto"/>
              <w:jc w:val="both"/>
              <w:rPr>
                <w:sz w:val="28"/>
                <w:szCs w:val="28"/>
              </w:rPr>
            </w:pPr>
            <w:bookmarkStart w:id="1" w:name="_zzmpFIXED_CaptionTable"/>
            <w:r w:rsidRPr="00D46859">
              <w:rPr>
                <w:sz w:val="28"/>
                <w:szCs w:val="28"/>
              </w:rPr>
              <w:t>In the Matter of:</w:t>
            </w:r>
          </w:p>
          <w:p w14:paraId="298D6F7E" w14:textId="137102AD" w:rsidR="001336C3" w:rsidRPr="00D46859" w:rsidRDefault="004C643F" w:rsidP="004E4EAF">
            <w:pPr>
              <w:spacing w:before="240" w:line="240" w:lineRule="auto"/>
              <w:rPr>
                <w:sz w:val="28"/>
                <w:szCs w:val="28"/>
              </w:rPr>
            </w:pPr>
            <w:r w:rsidRPr="00D46859">
              <w:rPr>
                <w:sz w:val="28"/>
                <w:szCs w:val="28"/>
              </w:rPr>
              <w:t xml:space="preserve">PETITION TO </w:t>
            </w:r>
            <w:r w:rsidR="0079774E">
              <w:rPr>
                <w:sz w:val="28"/>
                <w:szCs w:val="28"/>
              </w:rPr>
              <w:t>AMEND RULE 611, ARIZONA RULES OF EVIDENCE</w:t>
            </w:r>
          </w:p>
        </w:tc>
        <w:tc>
          <w:tcPr>
            <w:tcW w:w="5410" w:type="dxa"/>
            <w:tcBorders>
              <w:top w:val="nil"/>
              <w:left w:val="single" w:sz="4" w:space="0" w:color="auto"/>
            </w:tcBorders>
            <w:shd w:val="clear" w:color="auto" w:fill="auto"/>
          </w:tcPr>
          <w:p w14:paraId="31FB0326" w14:textId="0CAB9626" w:rsidR="001336C3" w:rsidRDefault="001336C3" w:rsidP="004C643F">
            <w:pPr>
              <w:pStyle w:val="Caption"/>
              <w:tabs>
                <w:tab w:val="left" w:pos="1238"/>
              </w:tabs>
              <w:spacing w:line="240" w:lineRule="auto"/>
              <w:ind w:left="259" w:right="115"/>
              <w:jc w:val="both"/>
              <w:rPr>
                <w:sz w:val="28"/>
                <w:szCs w:val="28"/>
              </w:rPr>
            </w:pPr>
            <w:r w:rsidRPr="00D46859">
              <w:rPr>
                <w:sz w:val="28"/>
                <w:szCs w:val="28"/>
              </w:rPr>
              <w:t>Supreme Court No. R-2</w:t>
            </w:r>
            <w:r w:rsidR="0079774E">
              <w:rPr>
                <w:sz w:val="28"/>
                <w:szCs w:val="28"/>
              </w:rPr>
              <w:t>3</w:t>
            </w:r>
            <w:r w:rsidRPr="00D46859">
              <w:rPr>
                <w:sz w:val="28"/>
                <w:szCs w:val="28"/>
              </w:rPr>
              <w:t>-00</w:t>
            </w:r>
            <w:r w:rsidR="0079774E">
              <w:rPr>
                <w:sz w:val="28"/>
                <w:szCs w:val="28"/>
              </w:rPr>
              <w:t>25</w:t>
            </w:r>
          </w:p>
          <w:p w14:paraId="05B4A27F" w14:textId="77777777" w:rsidR="004C643F" w:rsidRPr="004C643F" w:rsidRDefault="004C643F" w:rsidP="004C643F">
            <w:pPr>
              <w:jc w:val="both"/>
            </w:pPr>
          </w:p>
          <w:p w14:paraId="7DCAA5DE" w14:textId="459F88F8" w:rsidR="001336C3" w:rsidRPr="00D46859" w:rsidRDefault="001336C3" w:rsidP="004E4EAF">
            <w:pPr>
              <w:pStyle w:val="DocumentTitle"/>
              <w:spacing w:line="240" w:lineRule="auto"/>
              <w:rPr>
                <w:sz w:val="28"/>
                <w:szCs w:val="28"/>
              </w:rPr>
            </w:pPr>
            <w:r w:rsidRPr="00D46859">
              <w:rPr>
                <w:sz w:val="28"/>
                <w:szCs w:val="28"/>
              </w:rPr>
              <w:t xml:space="preserve">COMMENT OF THE </w:t>
            </w:r>
            <w:r w:rsidR="00A50F39" w:rsidRPr="00D46859">
              <w:rPr>
                <w:sz w:val="28"/>
                <w:szCs w:val="28"/>
              </w:rPr>
              <w:t xml:space="preserve">ADVISORY COMMITTEE </w:t>
            </w:r>
            <w:r w:rsidRPr="00D46859">
              <w:rPr>
                <w:sz w:val="28"/>
                <w:szCs w:val="28"/>
              </w:rPr>
              <w:t>O</w:t>
            </w:r>
            <w:r w:rsidR="0029790B" w:rsidRPr="00D46859">
              <w:rPr>
                <w:sz w:val="28"/>
                <w:szCs w:val="28"/>
              </w:rPr>
              <w:t>N</w:t>
            </w:r>
            <w:r w:rsidRPr="00D46859">
              <w:rPr>
                <w:sz w:val="28"/>
                <w:szCs w:val="28"/>
              </w:rPr>
              <w:t xml:space="preserve"> </w:t>
            </w:r>
            <w:r w:rsidR="00A50F39" w:rsidRPr="00D46859">
              <w:rPr>
                <w:sz w:val="28"/>
                <w:szCs w:val="28"/>
              </w:rPr>
              <w:t xml:space="preserve">THE </w:t>
            </w:r>
            <w:r w:rsidRPr="00D46859">
              <w:rPr>
                <w:sz w:val="28"/>
                <w:szCs w:val="28"/>
              </w:rPr>
              <w:t xml:space="preserve">ARIZONA </w:t>
            </w:r>
            <w:r w:rsidR="00A50F39" w:rsidRPr="00D46859">
              <w:rPr>
                <w:sz w:val="28"/>
                <w:szCs w:val="28"/>
              </w:rPr>
              <w:t xml:space="preserve">RULES OF EVIDENCE </w:t>
            </w:r>
            <w:r w:rsidR="0079774E">
              <w:rPr>
                <w:sz w:val="28"/>
                <w:szCs w:val="28"/>
              </w:rPr>
              <w:t>PROPOSING ALTERNATIVE PLACEMENT OF THE AMENDMENT</w:t>
            </w:r>
          </w:p>
        </w:tc>
      </w:tr>
      <w:bookmarkEnd w:id="1"/>
    </w:tbl>
    <w:p w14:paraId="552BB07E" w14:textId="77777777" w:rsidR="001336C3" w:rsidRPr="00D46859" w:rsidRDefault="001336C3" w:rsidP="001336C3">
      <w:pPr>
        <w:rPr>
          <w:sz w:val="28"/>
          <w:szCs w:val="28"/>
        </w:rPr>
      </w:pPr>
    </w:p>
    <w:p w14:paraId="081EAB8B" w14:textId="07FDE7C5" w:rsidR="0029790B" w:rsidRDefault="004C643F" w:rsidP="004E4EAF">
      <w:pPr>
        <w:pStyle w:val="BodyText"/>
        <w:spacing w:line="240" w:lineRule="auto"/>
        <w:ind w:left="1440" w:right="1890" w:firstLine="0"/>
        <w:jc w:val="center"/>
        <w:rPr>
          <w:b/>
          <w:bCs/>
          <w:sz w:val="28"/>
          <w:szCs w:val="28"/>
        </w:rPr>
      </w:pPr>
      <w:r w:rsidRPr="00E25C78">
        <w:rPr>
          <w:b/>
          <w:bCs/>
          <w:sz w:val="28"/>
          <w:szCs w:val="28"/>
        </w:rPr>
        <w:t>CO</w:t>
      </w:r>
      <w:r w:rsidR="004E4EAF">
        <w:rPr>
          <w:b/>
          <w:bCs/>
          <w:sz w:val="28"/>
          <w:szCs w:val="28"/>
        </w:rPr>
        <w:t xml:space="preserve">MMENT OF THE ADVISORY COMMITTEE </w:t>
      </w:r>
      <w:r w:rsidRPr="00E25C78">
        <w:rPr>
          <w:b/>
          <w:bCs/>
          <w:sz w:val="28"/>
          <w:szCs w:val="28"/>
        </w:rPr>
        <w:t xml:space="preserve">ON THE ARIZONA RULES OF EVIDENCE </w:t>
      </w:r>
      <w:r w:rsidR="004E4EAF">
        <w:rPr>
          <w:b/>
          <w:bCs/>
          <w:sz w:val="28"/>
          <w:szCs w:val="28"/>
        </w:rPr>
        <w:t xml:space="preserve">TO </w:t>
      </w:r>
      <w:r w:rsidR="0079774E">
        <w:rPr>
          <w:b/>
          <w:bCs/>
          <w:sz w:val="28"/>
          <w:szCs w:val="28"/>
        </w:rPr>
        <w:t>PLACE THE AMENDMENT SOUGHT IN ARIZONA SUPREME COURT RULE 124 OR A SIMILAR RULE OF THIS COURT</w:t>
      </w:r>
    </w:p>
    <w:p w14:paraId="1BA797D7" w14:textId="77777777" w:rsidR="004C643F" w:rsidRPr="00E25C78" w:rsidRDefault="004C643F" w:rsidP="004C643F">
      <w:pPr>
        <w:pStyle w:val="BodyText"/>
        <w:tabs>
          <w:tab w:val="left" w:pos="8565"/>
        </w:tabs>
        <w:spacing w:line="240" w:lineRule="auto"/>
        <w:ind w:firstLine="0"/>
        <w:rPr>
          <w:b/>
          <w:bCs/>
          <w:sz w:val="28"/>
          <w:szCs w:val="28"/>
        </w:rPr>
      </w:pPr>
      <w:r>
        <w:rPr>
          <w:b/>
          <w:bCs/>
          <w:sz w:val="28"/>
          <w:szCs w:val="28"/>
        </w:rPr>
        <w:tab/>
      </w:r>
    </w:p>
    <w:p w14:paraId="0778CA42" w14:textId="449A6D63" w:rsidR="004C643F" w:rsidRDefault="0079774E" w:rsidP="004C643F">
      <w:pPr>
        <w:pStyle w:val="NormalWeb"/>
        <w:spacing w:before="0" w:beforeAutospacing="0" w:after="0" w:afterAutospacing="0" w:line="480" w:lineRule="auto"/>
        <w:ind w:firstLine="720"/>
        <w:jc w:val="both"/>
        <w:rPr>
          <w:color w:val="000000"/>
          <w:sz w:val="28"/>
          <w:szCs w:val="28"/>
        </w:rPr>
      </w:pPr>
      <w:r>
        <w:rPr>
          <w:color w:val="000000"/>
          <w:sz w:val="28"/>
          <w:szCs w:val="28"/>
        </w:rPr>
        <w:lastRenderedPageBreak/>
        <w:t>The Advisory Committee on Rules of Evidence</w:t>
      </w:r>
      <w:r w:rsidR="00A213F7">
        <w:rPr>
          <w:color w:val="000000"/>
          <w:sz w:val="28"/>
          <w:szCs w:val="28"/>
        </w:rPr>
        <w:t xml:space="preserve"> (“Committee”)</w:t>
      </w:r>
      <w:r>
        <w:rPr>
          <w:color w:val="000000"/>
          <w:sz w:val="28"/>
          <w:szCs w:val="28"/>
        </w:rPr>
        <w:t xml:space="preserve"> applauds and supports the work of this Court’s Fentanyl and Toxic Evidence Task Force</w:t>
      </w:r>
      <w:r w:rsidR="00223616">
        <w:rPr>
          <w:color w:val="000000"/>
          <w:sz w:val="28"/>
          <w:szCs w:val="28"/>
        </w:rPr>
        <w:t xml:space="preserve"> (“Task Force”)</w:t>
      </w:r>
      <w:r>
        <w:rPr>
          <w:color w:val="000000"/>
          <w:sz w:val="28"/>
          <w:szCs w:val="28"/>
        </w:rPr>
        <w:t xml:space="preserve">, and files this comment supporting the rule amendment but </w:t>
      </w:r>
      <w:r w:rsidR="00223616">
        <w:rPr>
          <w:color w:val="000000"/>
          <w:sz w:val="28"/>
          <w:szCs w:val="28"/>
        </w:rPr>
        <w:t xml:space="preserve">respectfully </w:t>
      </w:r>
      <w:r>
        <w:rPr>
          <w:color w:val="000000"/>
          <w:sz w:val="28"/>
          <w:szCs w:val="28"/>
        </w:rPr>
        <w:t>proposing more optimal placement of the same</w:t>
      </w:r>
      <w:r w:rsidR="004C643F">
        <w:rPr>
          <w:color w:val="000000"/>
          <w:sz w:val="28"/>
          <w:szCs w:val="28"/>
        </w:rPr>
        <w:t>.</w:t>
      </w:r>
    </w:p>
    <w:p w14:paraId="1326B88C" w14:textId="00F31581" w:rsidR="00223616" w:rsidRDefault="00223616" w:rsidP="000358A5">
      <w:pPr>
        <w:pStyle w:val="NormalWeb"/>
        <w:spacing w:before="0" w:beforeAutospacing="0" w:after="0" w:afterAutospacing="0" w:line="480" w:lineRule="auto"/>
        <w:jc w:val="center"/>
        <w:rPr>
          <w:b/>
          <w:bCs/>
          <w:color w:val="000000"/>
          <w:sz w:val="28"/>
          <w:szCs w:val="28"/>
        </w:rPr>
      </w:pPr>
      <w:r>
        <w:rPr>
          <w:b/>
          <w:bCs/>
          <w:color w:val="000000"/>
          <w:sz w:val="28"/>
          <w:szCs w:val="28"/>
        </w:rPr>
        <w:t>INTRODUCTION</w:t>
      </w:r>
    </w:p>
    <w:p w14:paraId="15D35634" w14:textId="60ACCDFB" w:rsidR="000358A5" w:rsidRDefault="00223616" w:rsidP="001B0C78">
      <w:pPr>
        <w:pStyle w:val="NormalWeb"/>
        <w:spacing w:before="0" w:beforeAutospacing="0" w:after="0" w:afterAutospacing="0" w:line="480" w:lineRule="auto"/>
        <w:ind w:firstLine="720"/>
        <w:jc w:val="both"/>
        <w:rPr>
          <w:color w:val="000000"/>
          <w:sz w:val="28"/>
          <w:szCs w:val="28"/>
        </w:rPr>
      </w:pPr>
      <w:r>
        <w:rPr>
          <w:color w:val="000000"/>
          <w:sz w:val="28"/>
          <w:szCs w:val="28"/>
        </w:rPr>
        <w:t>The Task Force’s Petition, filed January 10, 2023, proposes to amend Rule 611 of the Arizona Rules of Evidence (entitled, “Mode and Order of Examining Witnesses and Presenting Evidence”) ‘to adopt a new subpart (d) governing the handling of hazardous evidence in the courtroom.’</w:t>
      </w:r>
      <w:r w:rsidR="00B2414F">
        <w:rPr>
          <w:color w:val="000000"/>
          <w:sz w:val="28"/>
          <w:szCs w:val="28"/>
        </w:rPr>
        <w:t xml:space="preserve"> After review, discussion, and vote at its public meeting on March 3, 2023, this Court’s Advisory Committee on Rules of Evidence proposes that Arizona Supreme Court Rule 124 </w:t>
      </w:r>
      <w:r w:rsidR="008533A2">
        <w:rPr>
          <w:color w:val="000000"/>
          <w:sz w:val="28"/>
          <w:szCs w:val="28"/>
        </w:rPr>
        <w:t xml:space="preserve">(“Rule 124”) </w:t>
      </w:r>
      <w:r w:rsidR="00B2414F">
        <w:rPr>
          <w:color w:val="000000"/>
          <w:sz w:val="28"/>
          <w:szCs w:val="28"/>
        </w:rPr>
        <w:t xml:space="preserve">would be a more appropriate placement for the rule change for at least four reasons. </w:t>
      </w:r>
    </w:p>
    <w:p w14:paraId="088C969C" w14:textId="71ACA929" w:rsidR="00223616" w:rsidRPr="00223616" w:rsidRDefault="00B2414F" w:rsidP="001B0C78">
      <w:pPr>
        <w:pStyle w:val="NormalWeb"/>
        <w:spacing w:before="0" w:beforeAutospacing="0" w:after="0" w:afterAutospacing="0" w:line="480" w:lineRule="auto"/>
        <w:ind w:firstLine="720"/>
        <w:jc w:val="both"/>
        <w:rPr>
          <w:color w:val="000000"/>
          <w:sz w:val="28"/>
          <w:szCs w:val="28"/>
        </w:rPr>
      </w:pPr>
      <w:r>
        <w:rPr>
          <w:color w:val="000000"/>
          <w:sz w:val="28"/>
          <w:szCs w:val="28"/>
        </w:rPr>
        <w:t xml:space="preserve">First, </w:t>
      </w:r>
      <w:r w:rsidR="008533A2">
        <w:rPr>
          <w:color w:val="000000"/>
          <w:sz w:val="28"/>
          <w:szCs w:val="28"/>
        </w:rPr>
        <w:t>Rule 124</w:t>
      </w:r>
      <w:r w:rsidR="00C303B0">
        <w:rPr>
          <w:color w:val="000000"/>
          <w:sz w:val="28"/>
          <w:szCs w:val="28"/>
        </w:rPr>
        <w:t xml:space="preserve"> is within a set of others that govern items in a courtroom or courthouse that may pose security risks (i.e., recording devices and portable electronic devices). Second, other jurisdictions have rules governing hazardous evidence </w:t>
      </w:r>
      <w:r w:rsidR="00616758">
        <w:rPr>
          <w:color w:val="000000"/>
          <w:sz w:val="28"/>
          <w:szCs w:val="28"/>
        </w:rPr>
        <w:t xml:space="preserve">located </w:t>
      </w:r>
      <w:r w:rsidR="00C303B0">
        <w:rPr>
          <w:color w:val="000000"/>
          <w:sz w:val="28"/>
          <w:szCs w:val="28"/>
        </w:rPr>
        <w:t xml:space="preserve">in their generally applicable rules, which operate and govern similarly to the way the rules of this Court do in Arizona. Third, the proposed rule amendment contains procedural elements not commonly found in the Arizona Rules of Evidence. And finally, this Committee expects the Federal Rules of Evidence to </w:t>
      </w:r>
      <w:r w:rsidR="00C303B0">
        <w:rPr>
          <w:color w:val="000000"/>
          <w:sz w:val="28"/>
          <w:szCs w:val="28"/>
        </w:rPr>
        <w:lastRenderedPageBreak/>
        <w:t xml:space="preserve">likely be amended effective January 1, 2025, to add a Rule 611(d) governing illustrative aids. Placing a </w:t>
      </w:r>
      <w:r w:rsidR="005E1D5A">
        <w:rPr>
          <w:color w:val="000000"/>
          <w:sz w:val="28"/>
          <w:szCs w:val="28"/>
        </w:rPr>
        <w:t>R</w:t>
      </w:r>
      <w:r w:rsidR="00C303B0">
        <w:rPr>
          <w:color w:val="000000"/>
          <w:sz w:val="28"/>
          <w:szCs w:val="28"/>
        </w:rPr>
        <w:t xml:space="preserve">ule 611(d) on hazardous evidence in Arizona’s rules </w:t>
      </w:r>
      <w:r w:rsidR="00A35B1F">
        <w:rPr>
          <w:color w:val="000000"/>
          <w:sz w:val="28"/>
          <w:szCs w:val="28"/>
        </w:rPr>
        <w:t xml:space="preserve">instead </w:t>
      </w:r>
      <w:r w:rsidR="00C303B0">
        <w:rPr>
          <w:color w:val="000000"/>
          <w:sz w:val="28"/>
          <w:szCs w:val="28"/>
        </w:rPr>
        <w:t>would mean</w:t>
      </w:r>
      <w:r w:rsidR="000358A5">
        <w:rPr>
          <w:color w:val="000000"/>
          <w:sz w:val="28"/>
          <w:szCs w:val="28"/>
        </w:rPr>
        <w:t xml:space="preserve"> significant organization</w:t>
      </w:r>
      <w:r w:rsidR="00616758">
        <w:rPr>
          <w:color w:val="000000"/>
          <w:sz w:val="28"/>
          <w:szCs w:val="28"/>
        </w:rPr>
        <w:t>al</w:t>
      </w:r>
      <w:r w:rsidR="000358A5">
        <w:rPr>
          <w:color w:val="000000"/>
          <w:sz w:val="28"/>
          <w:szCs w:val="28"/>
        </w:rPr>
        <w:t xml:space="preserve"> differences with the federal rules, which this Committee and this Court have generally sought to avoid.</w:t>
      </w:r>
    </w:p>
    <w:p w14:paraId="5E7A2CDB" w14:textId="096B552B" w:rsidR="00223616" w:rsidRDefault="00223616" w:rsidP="000358A5">
      <w:pPr>
        <w:pStyle w:val="NormalWeb"/>
        <w:spacing w:before="0" w:beforeAutospacing="0" w:after="0" w:afterAutospacing="0" w:line="480" w:lineRule="auto"/>
        <w:jc w:val="center"/>
        <w:rPr>
          <w:b/>
          <w:bCs/>
          <w:color w:val="000000"/>
          <w:sz w:val="28"/>
          <w:szCs w:val="28"/>
        </w:rPr>
      </w:pPr>
      <w:r>
        <w:rPr>
          <w:b/>
          <w:bCs/>
          <w:color w:val="000000"/>
          <w:sz w:val="28"/>
          <w:szCs w:val="28"/>
        </w:rPr>
        <w:t>THE COMMITTEE’S PROPOSAL FOR PLACEMENT IN RULE 124</w:t>
      </w:r>
    </w:p>
    <w:p w14:paraId="75AF063E" w14:textId="4AAA8AEA" w:rsidR="000358A5" w:rsidRDefault="000358A5" w:rsidP="001B0C78">
      <w:pPr>
        <w:pStyle w:val="NormalWeb"/>
        <w:spacing w:before="0" w:beforeAutospacing="0" w:after="0" w:afterAutospacing="0" w:line="480" w:lineRule="auto"/>
        <w:ind w:firstLine="720"/>
        <w:jc w:val="both"/>
        <w:rPr>
          <w:color w:val="000000"/>
          <w:sz w:val="28"/>
          <w:szCs w:val="28"/>
        </w:rPr>
      </w:pPr>
      <w:r>
        <w:rPr>
          <w:color w:val="000000"/>
          <w:sz w:val="28"/>
          <w:szCs w:val="28"/>
        </w:rPr>
        <w:t xml:space="preserve">The Committee’s proposed placement for this rule amendment would fill a presently blank rule that was abrogated effective January 1, 2012, and reserved to await any new rule of this Court on Electronic Filing, Delivery and Service of Documents. (In the interim, administrative orders of this Court </w:t>
      </w:r>
      <w:r w:rsidR="0075031A">
        <w:rPr>
          <w:color w:val="000000"/>
          <w:sz w:val="28"/>
          <w:szCs w:val="28"/>
        </w:rPr>
        <w:t>are</w:t>
      </w:r>
      <w:r>
        <w:rPr>
          <w:color w:val="000000"/>
          <w:sz w:val="28"/>
          <w:szCs w:val="28"/>
        </w:rPr>
        <w:t xml:space="preserve"> designated to govern those functions.</w:t>
      </w:r>
      <w:r>
        <w:rPr>
          <w:rStyle w:val="FootnoteReference"/>
          <w:color w:val="000000"/>
          <w:sz w:val="28"/>
          <w:szCs w:val="28"/>
        </w:rPr>
        <w:footnoteReference w:id="1"/>
      </w:r>
      <w:r>
        <w:rPr>
          <w:color w:val="000000"/>
          <w:sz w:val="28"/>
          <w:szCs w:val="28"/>
        </w:rPr>
        <w:t xml:space="preserve">) </w:t>
      </w:r>
      <w:r w:rsidR="0075031A">
        <w:rPr>
          <w:color w:val="000000"/>
          <w:sz w:val="28"/>
          <w:szCs w:val="28"/>
        </w:rPr>
        <w:t xml:space="preserve">More than a decade has passed without need for a new rule in that space, but the blank reserved rule is within a subset that also includes rules on Use of Recording Devices in a Courtroom (Rule 122, providing a written-or-electronic-request procedure, as well as other procedures for promoting the safety, dignity, and integrity of court proceedings, all participants in them, as well as the administration of justice); Use of Portable Electronic Devices in a Courthouse (Rule 122.1); and Access to Judicial Records (Rule 123, which includes section (i)(2) </w:t>
      </w:r>
      <w:r w:rsidR="0075031A">
        <w:rPr>
          <w:color w:val="000000"/>
          <w:sz w:val="28"/>
          <w:szCs w:val="28"/>
        </w:rPr>
        <w:lastRenderedPageBreak/>
        <w:t>already briefly referencing “physical objects admitted into evidence” and the need to secure them appropriately).</w:t>
      </w:r>
    </w:p>
    <w:p w14:paraId="25921462" w14:textId="0BA00FEC" w:rsidR="00797144" w:rsidRDefault="0075031A" w:rsidP="001B0C78">
      <w:pPr>
        <w:pStyle w:val="NormalWeb"/>
        <w:spacing w:before="0" w:beforeAutospacing="0" w:after="0" w:afterAutospacing="0" w:line="480" w:lineRule="auto"/>
        <w:ind w:firstLine="720"/>
        <w:jc w:val="both"/>
        <w:rPr>
          <w:color w:val="000000"/>
          <w:sz w:val="28"/>
          <w:szCs w:val="28"/>
        </w:rPr>
      </w:pPr>
      <w:r>
        <w:rPr>
          <w:color w:val="000000"/>
          <w:sz w:val="28"/>
          <w:szCs w:val="28"/>
        </w:rPr>
        <w:t>The Committee submits</w:t>
      </w:r>
      <w:r w:rsidR="00A213F7">
        <w:rPr>
          <w:color w:val="000000"/>
          <w:sz w:val="28"/>
          <w:szCs w:val="28"/>
        </w:rPr>
        <w:t xml:space="preserve"> that a rule governing the handling of hazardous evidence in the courtroom would be in good and like company in the 122 </w:t>
      </w:r>
      <w:r w:rsidR="00A213F7">
        <w:rPr>
          <w:i/>
          <w:iCs/>
          <w:color w:val="000000"/>
          <w:sz w:val="28"/>
          <w:szCs w:val="28"/>
        </w:rPr>
        <w:t>et seq.</w:t>
      </w:r>
      <w:r w:rsidR="00A213F7">
        <w:rPr>
          <w:color w:val="000000"/>
          <w:sz w:val="28"/>
          <w:szCs w:val="28"/>
        </w:rPr>
        <w:t xml:space="preserve"> series of this Court’s rules. Judge John Napper, as a member, and Judge Agne, as one of the co-chairs, of the Committee were pleased to be invited by the Task Force’s Chair, Mr. Jerry G. Landau, to speak to the Task Force at its March 21, 2023 meeting. One of the points discussed there was a potential concern for a Rule 124 on hazardous evidence not being sufficiently noticed in that set of the Arizona Supreme Court rules. Judges Napper and Agne, as well as members of the Task Force themselves, however, discussed past press </w:t>
      </w:r>
      <w:r w:rsidR="003D4A4F">
        <w:rPr>
          <w:color w:val="000000"/>
          <w:sz w:val="28"/>
          <w:szCs w:val="28"/>
        </w:rPr>
        <w:t>coverage of</w:t>
      </w:r>
      <w:r w:rsidR="00A213F7">
        <w:rPr>
          <w:color w:val="000000"/>
          <w:sz w:val="28"/>
          <w:szCs w:val="28"/>
        </w:rPr>
        <w:t xml:space="preserve"> the ‘cameras-in-the-courtroom’ (Rule 122) and ‘cameras-in-the-courthouse’ (Rule 122.1) rules and their related administrative orders</w:t>
      </w:r>
      <w:r w:rsidR="003D4A4F">
        <w:rPr>
          <w:color w:val="000000"/>
          <w:sz w:val="28"/>
          <w:szCs w:val="28"/>
        </w:rPr>
        <w:t xml:space="preserve"> (Admin. Order No. 2019-142). Public education, whether through web resources</w:t>
      </w:r>
      <w:r w:rsidR="003D4A4F">
        <w:rPr>
          <w:rStyle w:val="FootnoteReference"/>
          <w:color w:val="000000"/>
          <w:sz w:val="28"/>
          <w:szCs w:val="28"/>
        </w:rPr>
        <w:footnoteReference w:id="2"/>
      </w:r>
      <w:r w:rsidR="003D4A4F">
        <w:rPr>
          <w:color w:val="000000"/>
          <w:sz w:val="28"/>
          <w:szCs w:val="28"/>
        </w:rPr>
        <w:t xml:space="preserve"> or seminars, would also help ameliorate concerns about a Rule 124 on hazardous evidence becoming lost in the rulesets. </w:t>
      </w:r>
    </w:p>
    <w:p w14:paraId="0BDC7638" w14:textId="115A3AB5" w:rsidR="0075031A" w:rsidRDefault="00797144" w:rsidP="001B0C78">
      <w:pPr>
        <w:pStyle w:val="NormalWeb"/>
        <w:spacing w:before="0" w:beforeAutospacing="0" w:after="0" w:afterAutospacing="0" w:line="480" w:lineRule="auto"/>
        <w:ind w:firstLine="720"/>
        <w:jc w:val="both"/>
        <w:rPr>
          <w:color w:val="000000"/>
          <w:sz w:val="28"/>
          <w:szCs w:val="28"/>
        </w:rPr>
      </w:pPr>
      <w:r>
        <w:rPr>
          <w:color w:val="000000"/>
          <w:sz w:val="28"/>
          <w:szCs w:val="28"/>
        </w:rPr>
        <w:t>This Court’s rules cover a wide variety of subjects generally applicable to govern court proceedings of all types in Arizona,</w:t>
      </w:r>
      <w:r>
        <w:rPr>
          <w:rStyle w:val="FootnoteReference"/>
          <w:color w:val="000000"/>
          <w:sz w:val="28"/>
          <w:szCs w:val="28"/>
        </w:rPr>
        <w:footnoteReference w:id="3"/>
      </w:r>
      <w:r>
        <w:rPr>
          <w:color w:val="000000"/>
          <w:sz w:val="28"/>
          <w:szCs w:val="28"/>
        </w:rPr>
        <w:t xml:space="preserve"> whereas the Arizona Rules of </w:t>
      </w:r>
      <w:r>
        <w:rPr>
          <w:color w:val="000000"/>
          <w:sz w:val="28"/>
          <w:szCs w:val="28"/>
        </w:rPr>
        <w:lastRenderedPageBreak/>
        <w:t xml:space="preserve">Evidence at times do not apply at all or apply only in select parts. </w:t>
      </w:r>
      <w:r>
        <w:rPr>
          <w:i/>
          <w:iCs/>
          <w:color w:val="000000"/>
          <w:sz w:val="28"/>
          <w:szCs w:val="28"/>
        </w:rPr>
        <w:t>See, e.g.</w:t>
      </w:r>
      <w:r>
        <w:rPr>
          <w:color w:val="000000"/>
          <w:sz w:val="28"/>
          <w:szCs w:val="28"/>
        </w:rPr>
        <w:t>, Ariz. R. Evid. 1101; Ariz. R. Fam. L.P. 2. A rule setting forth procedures for handling hazardous evidence should apply in the broadest possible sense to court proceedings where that may become an issue, regardless if the particular proceeding was originally considered “evidentiary” and regardless of whether the Arizona Rules of Evidence formally apply or have been invoked.</w:t>
      </w:r>
    </w:p>
    <w:p w14:paraId="4D8AE800" w14:textId="2472CA31" w:rsidR="00797144" w:rsidRDefault="00A21313" w:rsidP="001B0C78">
      <w:pPr>
        <w:pStyle w:val="NormalWeb"/>
        <w:spacing w:before="0" w:beforeAutospacing="0" w:after="0" w:afterAutospacing="0" w:line="480" w:lineRule="auto"/>
        <w:ind w:firstLine="720"/>
        <w:jc w:val="both"/>
        <w:rPr>
          <w:color w:val="000000"/>
          <w:sz w:val="28"/>
          <w:szCs w:val="28"/>
        </w:rPr>
      </w:pPr>
      <w:r>
        <w:rPr>
          <w:color w:val="000000"/>
          <w:sz w:val="28"/>
          <w:szCs w:val="28"/>
        </w:rPr>
        <w:t>Members of the Advisory Committee on Rules of Evidence frequently examine evidentiary rules in other jurisdictions for lessons and knowledge that might apply in Arizona and during the pandemic convened a cross-jurisdictional group of evidence committee members in various states for a symposium on receiving evidence in remote hearings. The Committee’s approach to proposed placement here is no different, and research revealed Washington General Rule 20, in that state’s rules of general application to all courts, that addresses “Security in Handling Court Exhibits.” The rule</w:t>
      </w:r>
      <w:r>
        <w:rPr>
          <w:rStyle w:val="FootnoteReference"/>
          <w:color w:val="000000"/>
          <w:sz w:val="28"/>
          <w:szCs w:val="28"/>
        </w:rPr>
        <w:footnoteReference w:id="4"/>
      </w:r>
      <w:r w:rsidR="00B522D8">
        <w:rPr>
          <w:color w:val="000000"/>
          <w:sz w:val="28"/>
          <w:szCs w:val="28"/>
        </w:rPr>
        <w:t xml:space="preserve"> includes procedures for hazardous exhibits, as well as controlled substances. Wash. GR 20(a), (b). Other jurisdictions address such material by policy </w:t>
      </w:r>
      <w:r w:rsidR="00B522D8">
        <w:rPr>
          <w:color w:val="000000"/>
          <w:sz w:val="28"/>
          <w:szCs w:val="28"/>
        </w:rPr>
        <w:lastRenderedPageBreak/>
        <w:t>statement, administrative order, or local rule.</w:t>
      </w:r>
      <w:r w:rsidR="00B522D8">
        <w:rPr>
          <w:rStyle w:val="FootnoteReference"/>
          <w:color w:val="000000"/>
          <w:sz w:val="28"/>
          <w:szCs w:val="28"/>
        </w:rPr>
        <w:footnoteReference w:id="5"/>
      </w:r>
      <w:r w:rsidR="00B522D8">
        <w:rPr>
          <w:color w:val="000000"/>
          <w:sz w:val="28"/>
          <w:szCs w:val="28"/>
        </w:rPr>
        <w:t xml:space="preserve"> The Committee did not find any other jurisdiction’s rules of evidence to address hazardous evidence.</w:t>
      </w:r>
    </w:p>
    <w:p w14:paraId="62C37A76" w14:textId="32512B57" w:rsidR="00B522D8" w:rsidRDefault="00B522D8" w:rsidP="001B0C78">
      <w:pPr>
        <w:pStyle w:val="NormalWeb"/>
        <w:spacing w:before="0" w:beforeAutospacing="0" w:after="0" w:afterAutospacing="0" w:line="480" w:lineRule="auto"/>
        <w:ind w:firstLine="720"/>
        <w:jc w:val="both"/>
        <w:rPr>
          <w:color w:val="000000"/>
          <w:sz w:val="28"/>
          <w:szCs w:val="28"/>
        </w:rPr>
      </w:pPr>
      <w:r>
        <w:rPr>
          <w:color w:val="000000"/>
          <w:sz w:val="28"/>
          <w:szCs w:val="28"/>
        </w:rPr>
        <w:t>In addition, the proposed rule amendment contains procedural elements—the making of a motion, directions regarding the Clerk of Court and deputy clerks—that the Arizona Rules of Evidence typically do not contain.</w:t>
      </w:r>
      <w:r w:rsidR="00331EDE">
        <w:rPr>
          <w:color w:val="000000"/>
          <w:sz w:val="28"/>
          <w:szCs w:val="28"/>
        </w:rPr>
        <w:t xml:space="preserve"> The sole instance where the words “motion” and “clerk” are used in the Arizona Rules of Evidence is in Rule 706, regarding procedures for court-appointed expert witnesses, which are themselves typically rare. The Arizona Supreme Court rules, in contrast, contain nearly 40 references to motions and 50 references to the word “clerk.”</w:t>
      </w:r>
    </w:p>
    <w:p w14:paraId="6EF87C4C" w14:textId="0234778B" w:rsidR="00331EDE" w:rsidRDefault="00331EDE" w:rsidP="001B0C78">
      <w:pPr>
        <w:pStyle w:val="NormalWeb"/>
        <w:spacing w:before="0" w:beforeAutospacing="0" w:after="0" w:afterAutospacing="0" w:line="480" w:lineRule="auto"/>
        <w:ind w:firstLine="720"/>
        <w:jc w:val="both"/>
        <w:rPr>
          <w:color w:val="000000"/>
          <w:sz w:val="28"/>
          <w:szCs w:val="28"/>
        </w:rPr>
      </w:pPr>
      <w:r>
        <w:rPr>
          <w:color w:val="000000"/>
          <w:sz w:val="28"/>
          <w:szCs w:val="28"/>
        </w:rPr>
        <w:t>Finally, on August 15, 2022, the federal Judicial Conference Advisory Committee on Evidence Rules released for public comment (accepted through February 16, 2023) a draft Rule 611(d) of its own, for the Federal Rules of Evidence.</w:t>
      </w:r>
      <w:r w:rsidR="005160D3">
        <w:rPr>
          <w:rStyle w:val="FootnoteReference"/>
          <w:color w:val="000000"/>
          <w:sz w:val="28"/>
          <w:szCs w:val="28"/>
        </w:rPr>
        <w:footnoteReference w:id="6"/>
      </w:r>
      <w:r>
        <w:rPr>
          <w:color w:val="000000"/>
          <w:sz w:val="28"/>
          <w:szCs w:val="28"/>
        </w:rPr>
        <w:t xml:space="preserve"> This Court’s Advisory Committee on Rules of Evidence has for several months had a Rule 611(d) subcommittee working on monitoring the federal </w:t>
      </w:r>
      <w:r>
        <w:rPr>
          <w:color w:val="000000"/>
          <w:sz w:val="28"/>
          <w:szCs w:val="28"/>
        </w:rPr>
        <w:lastRenderedPageBreak/>
        <w:t>proceedings regarding that rule—which is to address and be titled “Illustrative Aids”—and will likely petition this Court in the future to amend Arizona Rule of Evidence 611 to add a Rule 611(d) on Illustrative Aids. While Arizona Rules of Evidence can certainly have different subheadings and organizational styles than the federal ruleset, the Committee’s general charge is not to differ from the federal rule text absent compelling reason.</w:t>
      </w:r>
      <w:r w:rsidR="005160D3">
        <w:rPr>
          <w:rStyle w:val="FootnoteReference"/>
          <w:color w:val="000000"/>
          <w:sz w:val="28"/>
          <w:szCs w:val="28"/>
        </w:rPr>
        <w:footnoteReference w:id="7"/>
      </w:r>
      <w:r>
        <w:rPr>
          <w:color w:val="000000"/>
          <w:sz w:val="28"/>
          <w:szCs w:val="28"/>
        </w:rPr>
        <w:t xml:space="preserve"> That is the final reason the Committee urges this Court to adopt the Task Force’s good work in a rule amendment, but only in Arizona Supreme Court Rule 124 or in another appropriate rule of the Court. </w:t>
      </w:r>
    </w:p>
    <w:p w14:paraId="31DAB689" w14:textId="2E99719A" w:rsidR="00A63B09" w:rsidRDefault="00A63B09" w:rsidP="001B0C78">
      <w:pPr>
        <w:pStyle w:val="NormalWeb"/>
        <w:spacing w:before="0" w:beforeAutospacing="0" w:after="0" w:afterAutospacing="0" w:line="480" w:lineRule="auto"/>
        <w:ind w:firstLine="720"/>
        <w:jc w:val="both"/>
        <w:rPr>
          <w:color w:val="000000"/>
          <w:sz w:val="28"/>
          <w:szCs w:val="28"/>
        </w:rPr>
      </w:pPr>
    </w:p>
    <w:p w14:paraId="4FA7E488" w14:textId="2267E39D" w:rsidR="00A63B09" w:rsidRDefault="00A63B09" w:rsidP="001B0C78">
      <w:pPr>
        <w:pStyle w:val="NormalWeb"/>
        <w:spacing w:before="0" w:beforeAutospacing="0" w:after="0" w:afterAutospacing="0" w:line="480" w:lineRule="auto"/>
        <w:ind w:firstLine="720"/>
        <w:jc w:val="both"/>
        <w:rPr>
          <w:color w:val="000000"/>
          <w:sz w:val="28"/>
          <w:szCs w:val="28"/>
        </w:rPr>
      </w:pPr>
      <w:r>
        <w:rPr>
          <w:color w:val="000000"/>
          <w:sz w:val="28"/>
          <w:szCs w:val="28"/>
        </w:rPr>
        <w:t>///</w:t>
      </w:r>
    </w:p>
    <w:p w14:paraId="7E250029" w14:textId="6C841D4D" w:rsidR="00A63B09" w:rsidRDefault="00A63B09" w:rsidP="001B0C78">
      <w:pPr>
        <w:pStyle w:val="NormalWeb"/>
        <w:spacing w:before="0" w:beforeAutospacing="0" w:after="0" w:afterAutospacing="0" w:line="480" w:lineRule="auto"/>
        <w:ind w:firstLine="720"/>
        <w:jc w:val="both"/>
        <w:rPr>
          <w:color w:val="000000"/>
          <w:sz w:val="28"/>
          <w:szCs w:val="28"/>
        </w:rPr>
      </w:pPr>
    </w:p>
    <w:p w14:paraId="23650F48" w14:textId="5FB31CAD" w:rsidR="00A63B09" w:rsidRDefault="00A63B09" w:rsidP="001B0C78">
      <w:pPr>
        <w:pStyle w:val="NormalWeb"/>
        <w:spacing w:before="0" w:beforeAutospacing="0" w:after="0" w:afterAutospacing="0" w:line="480" w:lineRule="auto"/>
        <w:ind w:firstLine="720"/>
        <w:jc w:val="both"/>
        <w:rPr>
          <w:color w:val="000000"/>
          <w:sz w:val="28"/>
          <w:szCs w:val="28"/>
        </w:rPr>
      </w:pPr>
      <w:r>
        <w:rPr>
          <w:color w:val="000000"/>
          <w:sz w:val="28"/>
          <w:szCs w:val="28"/>
        </w:rPr>
        <w:t>///</w:t>
      </w:r>
    </w:p>
    <w:p w14:paraId="08A131C4" w14:textId="2AFEE2FA" w:rsidR="00A63B09" w:rsidRDefault="00A63B09" w:rsidP="001B0C78">
      <w:pPr>
        <w:pStyle w:val="NormalWeb"/>
        <w:spacing w:before="0" w:beforeAutospacing="0" w:after="0" w:afterAutospacing="0" w:line="480" w:lineRule="auto"/>
        <w:ind w:firstLine="720"/>
        <w:jc w:val="both"/>
        <w:rPr>
          <w:color w:val="000000"/>
          <w:sz w:val="28"/>
          <w:szCs w:val="28"/>
        </w:rPr>
      </w:pPr>
    </w:p>
    <w:p w14:paraId="0F566232" w14:textId="1436229B" w:rsidR="00A63B09" w:rsidRDefault="00A63B09" w:rsidP="001B0C78">
      <w:pPr>
        <w:pStyle w:val="NormalWeb"/>
        <w:spacing w:before="0" w:beforeAutospacing="0" w:after="0" w:afterAutospacing="0" w:line="480" w:lineRule="auto"/>
        <w:ind w:firstLine="720"/>
        <w:jc w:val="both"/>
        <w:rPr>
          <w:color w:val="000000"/>
          <w:sz w:val="28"/>
          <w:szCs w:val="28"/>
        </w:rPr>
      </w:pPr>
      <w:r>
        <w:rPr>
          <w:color w:val="000000"/>
          <w:sz w:val="28"/>
          <w:szCs w:val="28"/>
        </w:rPr>
        <w:t>///</w:t>
      </w:r>
    </w:p>
    <w:p w14:paraId="616F52EB" w14:textId="06CCF1FE" w:rsidR="00A63B09" w:rsidRDefault="00A63B09" w:rsidP="001B0C78">
      <w:pPr>
        <w:pStyle w:val="NormalWeb"/>
        <w:spacing w:before="0" w:beforeAutospacing="0" w:after="0" w:afterAutospacing="0" w:line="480" w:lineRule="auto"/>
        <w:ind w:firstLine="720"/>
        <w:jc w:val="both"/>
        <w:rPr>
          <w:color w:val="000000"/>
          <w:sz w:val="28"/>
          <w:szCs w:val="28"/>
        </w:rPr>
      </w:pPr>
    </w:p>
    <w:p w14:paraId="7F6C5ED5" w14:textId="7B7F0F1B" w:rsidR="00A63B09" w:rsidRDefault="00A63B09" w:rsidP="001B0C78">
      <w:pPr>
        <w:pStyle w:val="NormalWeb"/>
        <w:spacing w:before="0" w:beforeAutospacing="0" w:after="0" w:afterAutospacing="0" w:line="480" w:lineRule="auto"/>
        <w:ind w:firstLine="720"/>
        <w:jc w:val="both"/>
        <w:rPr>
          <w:color w:val="000000"/>
          <w:sz w:val="28"/>
          <w:szCs w:val="28"/>
        </w:rPr>
      </w:pPr>
    </w:p>
    <w:p w14:paraId="54737738" w14:textId="77777777" w:rsidR="00A63B09" w:rsidRPr="00797144" w:rsidRDefault="00A63B09" w:rsidP="001B0C78">
      <w:pPr>
        <w:pStyle w:val="NormalWeb"/>
        <w:spacing w:before="0" w:beforeAutospacing="0" w:after="0" w:afterAutospacing="0" w:line="480" w:lineRule="auto"/>
        <w:ind w:firstLine="720"/>
        <w:jc w:val="both"/>
        <w:rPr>
          <w:color w:val="000000"/>
          <w:sz w:val="28"/>
          <w:szCs w:val="28"/>
        </w:rPr>
      </w:pPr>
    </w:p>
    <w:p w14:paraId="49249F30" w14:textId="4A2ABDD1" w:rsidR="00223616" w:rsidRDefault="00223616" w:rsidP="000358A5">
      <w:pPr>
        <w:pStyle w:val="NormalWeb"/>
        <w:spacing w:before="0" w:beforeAutospacing="0" w:after="0" w:afterAutospacing="0" w:line="480" w:lineRule="auto"/>
        <w:jc w:val="center"/>
        <w:rPr>
          <w:b/>
          <w:bCs/>
          <w:color w:val="000000"/>
          <w:sz w:val="28"/>
          <w:szCs w:val="28"/>
        </w:rPr>
      </w:pPr>
      <w:r>
        <w:rPr>
          <w:b/>
          <w:bCs/>
          <w:color w:val="000000"/>
          <w:sz w:val="28"/>
          <w:szCs w:val="28"/>
        </w:rPr>
        <w:lastRenderedPageBreak/>
        <w:t>CONCLUSION</w:t>
      </w:r>
    </w:p>
    <w:p w14:paraId="64C0CD92" w14:textId="304A652F" w:rsidR="00223616" w:rsidRPr="00223616" w:rsidRDefault="00223616" w:rsidP="004C643F">
      <w:pPr>
        <w:pStyle w:val="NormalWeb"/>
        <w:spacing w:before="0" w:beforeAutospacing="0" w:after="0" w:afterAutospacing="0" w:line="480" w:lineRule="auto"/>
        <w:ind w:firstLine="720"/>
        <w:jc w:val="both"/>
        <w:rPr>
          <w:sz w:val="28"/>
          <w:szCs w:val="28"/>
        </w:rPr>
      </w:pPr>
      <w:r>
        <w:rPr>
          <w:color w:val="000000"/>
          <w:sz w:val="28"/>
          <w:szCs w:val="28"/>
        </w:rPr>
        <w:t xml:space="preserve">Given the Committee’s support of the Task Force’s work, including support of the rule language itself </w:t>
      </w:r>
      <w:r>
        <w:rPr>
          <w:i/>
          <w:iCs/>
          <w:color w:val="000000"/>
          <w:sz w:val="28"/>
          <w:szCs w:val="28"/>
        </w:rPr>
        <w:t>verbatim</w:t>
      </w:r>
      <w:r>
        <w:rPr>
          <w:color w:val="000000"/>
          <w:sz w:val="28"/>
          <w:szCs w:val="28"/>
        </w:rPr>
        <w:t xml:space="preserve"> as proposed, the Committee comments in support of the proposed rule change, but</w:t>
      </w:r>
      <w:r w:rsidR="00331EDE">
        <w:rPr>
          <w:color w:val="000000"/>
          <w:sz w:val="28"/>
          <w:szCs w:val="28"/>
        </w:rPr>
        <w:t xml:space="preserve"> only</w:t>
      </w:r>
      <w:r>
        <w:rPr>
          <w:color w:val="000000"/>
          <w:sz w:val="28"/>
          <w:szCs w:val="28"/>
        </w:rPr>
        <w:t xml:space="preserve"> as placed in Arizona Supreme Court Rule 124 or a similar rule of this Court as selected by the Court.</w:t>
      </w:r>
    </w:p>
    <w:p w14:paraId="0BE9BD82" w14:textId="77777777" w:rsidR="00194A3C" w:rsidRPr="00D46859" w:rsidRDefault="00194A3C" w:rsidP="00641D73">
      <w:pPr>
        <w:jc w:val="both"/>
        <w:rPr>
          <w:sz w:val="28"/>
          <w:szCs w:val="28"/>
        </w:rPr>
      </w:pPr>
    </w:p>
    <w:p w14:paraId="2117DE73" w14:textId="3A0932CD" w:rsidR="00641D73" w:rsidRPr="00D46859" w:rsidRDefault="00641D73" w:rsidP="00A63B09">
      <w:pPr>
        <w:ind w:firstLine="720"/>
        <w:jc w:val="both"/>
        <w:rPr>
          <w:sz w:val="28"/>
          <w:szCs w:val="28"/>
        </w:rPr>
      </w:pPr>
      <w:r w:rsidRPr="00D46859">
        <w:rPr>
          <w:sz w:val="28"/>
          <w:szCs w:val="28"/>
        </w:rPr>
        <w:t xml:space="preserve">DATED this </w:t>
      </w:r>
      <w:r w:rsidR="005D6652">
        <w:rPr>
          <w:sz w:val="28"/>
          <w:szCs w:val="28"/>
        </w:rPr>
        <w:t>30</w:t>
      </w:r>
      <w:r w:rsidR="000244F3">
        <w:rPr>
          <w:sz w:val="28"/>
          <w:szCs w:val="28"/>
        </w:rPr>
        <w:t>th</w:t>
      </w:r>
      <w:r w:rsidRPr="00D46859">
        <w:rPr>
          <w:sz w:val="28"/>
          <w:szCs w:val="28"/>
        </w:rPr>
        <w:t xml:space="preserve"> day of </w:t>
      </w:r>
      <w:r w:rsidR="00D46859" w:rsidRPr="00D46859">
        <w:rPr>
          <w:sz w:val="28"/>
          <w:szCs w:val="28"/>
        </w:rPr>
        <w:t>April</w:t>
      </w:r>
      <w:r w:rsidRPr="00D46859">
        <w:rPr>
          <w:sz w:val="28"/>
          <w:szCs w:val="28"/>
        </w:rPr>
        <w:t>, 202</w:t>
      </w:r>
      <w:r w:rsidR="0079774E">
        <w:rPr>
          <w:sz w:val="28"/>
          <w:szCs w:val="28"/>
        </w:rPr>
        <w:t>3</w:t>
      </w:r>
      <w:r w:rsidRPr="00D46859">
        <w:rPr>
          <w:sz w:val="28"/>
          <w:szCs w:val="28"/>
        </w:rPr>
        <w:t>.</w:t>
      </w:r>
    </w:p>
    <w:p w14:paraId="2BBD9A6D" w14:textId="77777777" w:rsidR="00D46859" w:rsidRPr="004E4EAF" w:rsidRDefault="00D46859" w:rsidP="00641D73">
      <w:pPr>
        <w:jc w:val="both"/>
        <w:rPr>
          <w:sz w:val="28"/>
          <w:szCs w:val="28"/>
        </w:rPr>
      </w:pPr>
    </w:p>
    <w:p w14:paraId="7E59445C" w14:textId="77777777" w:rsidR="00641D73" w:rsidRPr="00D46859" w:rsidRDefault="00641D73" w:rsidP="00641D73">
      <w:pPr>
        <w:jc w:val="both"/>
        <w:rPr>
          <w:sz w:val="28"/>
          <w:szCs w:val="28"/>
        </w:rPr>
      </w:pPr>
    </w:p>
    <w:p w14:paraId="41A08BDC" w14:textId="1D8D9981" w:rsidR="00641D73" w:rsidRPr="00D46859" w:rsidRDefault="00641D73" w:rsidP="00641D73">
      <w:pPr>
        <w:jc w:val="both"/>
        <w:rPr>
          <w:iCs/>
          <w:sz w:val="28"/>
          <w:szCs w:val="28"/>
          <w:u w:val="single"/>
        </w:rPr>
      </w:pPr>
      <w:r w:rsidRPr="00D46859">
        <w:rPr>
          <w:sz w:val="28"/>
          <w:szCs w:val="28"/>
        </w:rPr>
        <w:tab/>
      </w:r>
      <w:r w:rsidRPr="00D46859">
        <w:rPr>
          <w:sz w:val="28"/>
          <w:szCs w:val="28"/>
        </w:rPr>
        <w:tab/>
      </w:r>
      <w:r w:rsidRPr="00D46859">
        <w:rPr>
          <w:sz w:val="28"/>
          <w:szCs w:val="28"/>
        </w:rPr>
        <w:tab/>
      </w:r>
      <w:r w:rsidRPr="00D46859">
        <w:rPr>
          <w:sz w:val="28"/>
          <w:szCs w:val="28"/>
        </w:rPr>
        <w:tab/>
      </w:r>
      <w:r w:rsidR="000244F3">
        <w:rPr>
          <w:i/>
          <w:iCs/>
          <w:sz w:val="28"/>
          <w:szCs w:val="28"/>
        </w:rPr>
        <w:t>/s/ Sara J. Agne</w:t>
      </w:r>
      <w:r w:rsidRPr="00D46859">
        <w:rPr>
          <w:iCs/>
          <w:sz w:val="28"/>
          <w:szCs w:val="28"/>
          <w:u w:val="single"/>
        </w:rPr>
        <w:tab/>
      </w:r>
      <w:r w:rsidRPr="00D46859">
        <w:rPr>
          <w:iCs/>
          <w:sz w:val="28"/>
          <w:szCs w:val="28"/>
          <w:u w:val="single"/>
        </w:rPr>
        <w:tab/>
      </w:r>
      <w:r w:rsidRPr="00D46859">
        <w:rPr>
          <w:iCs/>
          <w:sz w:val="28"/>
          <w:szCs w:val="28"/>
          <w:u w:val="single"/>
        </w:rPr>
        <w:tab/>
      </w:r>
      <w:r w:rsidRPr="00D46859">
        <w:rPr>
          <w:iCs/>
          <w:sz w:val="28"/>
          <w:szCs w:val="28"/>
          <w:u w:val="single"/>
        </w:rPr>
        <w:tab/>
      </w:r>
      <w:r w:rsidRPr="00D46859">
        <w:rPr>
          <w:iCs/>
          <w:sz w:val="28"/>
          <w:szCs w:val="28"/>
          <w:u w:val="single"/>
        </w:rPr>
        <w:tab/>
      </w:r>
      <w:r w:rsidRPr="00D46859">
        <w:rPr>
          <w:iCs/>
          <w:sz w:val="28"/>
          <w:szCs w:val="28"/>
          <w:u w:val="single"/>
        </w:rPr>
        <w:tab/>
      </w:r>
    </w:p>
    <w:p w14:paraId="47225C4D" w14:textId="77777777" w:rsidR="00641D73" w:rsidRPr="00D46859" w:rsidRDefault="00641D73" w:rsidP="00641D73">
      <w:pPr>
        <w:spacing w:line="240" w:lineRule="auto"/>
        <w:jc w:val="both"/>
        <w:rPr>
          <w:sz w:val="28"/>
          <w:szCs w:val="28"/>
        </w:rPr>
      </w:pPr>
      <w:r w:rsidRPr="00D46859">
        <w:rPr>
          <w:sz w:val="28"/>
          <w:szCs w:val="28"/>
        </w:rPr>
        <w:tab/>
      </w:r>
      <w:r w:rsidRPr="00D46859">
        <w:rPr>
          <w:sz w:val="28"/>
          <w:szCs w:val="28"/>
        </w:rPr>
        <w:tab/>
      </w:r>
      <w:r w:rsidRPr="00D46859">
        <w:rPr>
          <w:sz w:val="28"/>
          <w:szCs w:val="28"/>
        </w:rPr>
        <w:tab/>
      </w:r>
      <w:r w:rsidRPr="00D46859">
        <w:rPr>
          <w:sz w:val="28"/>
          <w:szCs w:val="28"/>
        </w:rPr>
        <w:tab/>
        <w:t>Sara J. Agne</w:t>
      </w:r>
    </w:p>
    <w:p w14:paraId="0C3BC699" w14:textId="77777777" w:rsidR="00641D73" w:rsidRPr="00D46859" w:rsidRDefault="00641D73" w:rsidP="00641D73">
      <w:pPr>
        <w:spacing w:line="240" w:lineRule="auto"/>
        <w:jc w:val="both"/>
        <w:rPr>
          <w:sz w:val="28"/>
          <w:szCs w:val="28"/>
        </w:rPr>
      </w:pPr>
      <w:r w:rsidRPr="00D46859">
        <w:rPr>
          <w:sz w:val="28"/>
          <w:szCs w:val="28"/>
        </w:rPr>
        <w:tab/>
      </w:r>
      <w:r w:rsidRPr="00D46859">
        <w:rPr>
          <w:sz w:val="28"/>
          <w:szCs w:val="28"/>
        </w:rPr>
        <w:tab/>
      </w:r>
      <w:r w:rsidRPr="00D46859">
        <w:rPr>
          <w:sz w:val="28"/>
          <w:szCs w:val="28"/>
        </w:rPr>
        <w:tab/>
      </w:r>
      <w:r w:rsidRPr="00D46859">
        <w:rPr>
          <w:sz w:val="28"/>
          <w:szCs w:val="28"/>
        </w:rPr>
        <w:tab/>
        <w:t>Co-Chair, Advisory Committee on Rules of Evidence</w:t>
      </w:r>
    </w:p>
    <w:p w14:paraId="399266A3" w14:textId="77777777" w:rsidR="00641D73" w:rsidRPr="00D46859" w:rsidRDefault="00641D73" w:rsidP="00641D73">
      <w:pPr>
        <w:spacing w:line="240" w:lineRule="auto"/>
        <w:jc w:val="both"/>
        <w:rPr>
          <w:sz w:val="28"/>
          <w:szCs w:val="28"/>
        </w:rPr>
      </w:pPr>
    </w:p>
    <w:p w14:paraId="407841DF" w14:textId="5C46B610" w:rsidR="00641D73" w:rsidRPr="00D46859" w:rsidRDefault="00641D73" w:rsidP="00641D73">
      <w:pPr>
        <w:spacing w:line="240" w:lineRule="auto"/>
        <w:jc w:val="both"/>
        <w:rPr>
          <w:sz w:val="28"/>
          <w:szCs w:val="28"/>
          <w:u w:val="single"/>
        </w:rPr>
      </w:pPr>
      <w:r w:rsidRPr="00D46859">
        <w:rPr>
          <w:sz w:val="28"/>
          <w:szCs w:val="28"/>
        </w:rPr>
        <w:t xml:space="preserve">                                         </w:t>
      </w:r>
      <w:r w:rsidRPr="00D46859">
        <w:rPr>
          <w:sz w:val="28"/>
          <w:szCs w:val="28"/>
          <w:u w:val="single"/>
        </w:rPr>
        <w:tab/>
      </w:r>
      <w:r w:rsidR="000244F3">
        <w:rPr>
          <w:i/>
          <w:iCs/>
          <w:sz w:val="28"/>
          <w:szCs w:val="28"/>
          <w:u w:val="single"/>
        </w:rPr>
        <w:t>/s/ Maria Elena Cruz</w:t>
      </w:r>
      <w:r w:rsidR="00730576">
        <w:rPr>
          <w:i/>
          <w:iCs/>
          <w:sz w:val="28"/>
          <w:szCs w:val="28"/>
          <w:u w:val="single"/>
        </w:rPr>
        <w:t xml:space="preserve"> w/permission</w:t>
      </w:r>
      <w:r w:rsidRPr="00D46859">
        <w:rPr>
          <w:sz w:val="28"/>
          <w:szCs w:val="28"/>
          <w:u w:val="single"/>
        </w:rPr>
        <w:tab/>
      </w:r>
      <w:r w:rsidRPr="00D46859">
        <w:rPr>
          <w:sz w:val="28"/>
          <w:szCs w:val="28"/>
          <w:u w:val="single"/>
        </w:rPr>
        <w:tab/>
      </w:r>
      <w:r w:rsidRPr="00D46859">
        <w:rPr>
          <w:sz w:val="28"/>
          <w:szCs w:val="28"/>
          <w:u w:val="single"/>
        </w:rPr>
        <w:tab/>
      </w:r>
    </w:p>
    <w:p w14:paraId="6083ECDD" w14:textId="77777777" w:rsidR="00641D73" w:rsidRPr="00D46859" w:rsidRDefault="00641D73" w:rsidP="00641D73">
      <w:pPr>
        <w:spacing w:line="240" w:lineRule="auto"/>
        <w:jc w:val="both"/>
        <w:rPr>
          <w:sz w:val="28"/>
          <w:szCs w:val="28"/>
        </w:rPr>
      </w:pPr>
      <w:r w:rsidRPr="00D46859">
        <w:rPr>
          <w:sz w:val="28"/>
          <w:szCs w:val="28"/>
        </w:rPr>
        <w:t xml:space="preserve">                                         Maria Elena Cruz</w:t>
      </w:r>
    </w:p>
    <w:p w14:paraId="4022C6DB" w14:textId="77777777" w:rsidR="006D5C1E" w:rsidRPr="00D46859" w:rsidRDefault="00641D73" w:rsidP="00E17152">
      <w:pPr>
        <w:spacing w:line="240" w:lineRule="auto"/>
        <w:jc w:val="both"/>
        <w:rPr>
          <w:sz w:val="28"/>
          <w:szCs w:val="28"/>
        </w:rPr>
      </w:pPr>
      <w:r w:rsidRPr="00D46859">
        <w:rPr>
          <w:sz w:val="28"/>
          <w:szCs w:val="28"/>
        </w:rPr>
        <w:t xml:space="preserve">                                         Co-Chair, Advisory Committee on Rules of Evidence</w:t>
      </w:r>
    </w:p>
    <w:sectPr w:rsidR="006D5C1E" w:rsidRPr="00D46859" w:rsidSect="001B0C78">
      <w:headerReference w:type="even" r:id="rId11"/>
      <w:headerReference w:type="default" r:id="rId12"/>
      <w:footerReference w:type="even" r:id="rId13"/>
      <w:footerReference w:type="default" r:id="rId14"/>
      <w:headerReference w:type="first" r:id="rId15"/>
      <w:footerReference w:type="first" r:id="rId16"/>
      <w:pgSz w:w="12240" w:h="15840"/>
      <w:pgMar w:top="-1944" w:right="1440" w:bottom="-1613" w:left="1440" w:header="432" w:footer="36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35C0" w14:textId="77777777" w:rsidR="00EE3170" w:rsidRDefault="00EE3170" w:rsidP="001336C3">
      <w:pPr>
        <w:spacing w:line="240" w:lineRule="auto"/>
      </w:pPr>
      <w:r>
        <w:separator/>
      </w:r>
    </w:p>
  </w:endnote>
  <w:endnote w:type="continuationSeparator" w:id="0">
    <w:p w14:paraId="3B230336" w14:textId="77777777" w:rsidR="00EE3170" w:rsidRDefault="00EE3170" w:rsidP="00133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8AE5" w14:textId="77777777" w:rsidR="00EB60C2" w:rsidRDefault="005D6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032"/>
      <w:gridCol w:w="1555"/>
      <w:gridCol w:w="4032"/>
    </w:tblGrid>
    <w:tr w:rsidR="005B2F3D" w14:paraId="45555DC5" w14:textId="77777777">
      <w:trPr>
        <w:cantSplit/>
        <w:trHeight w:val="320"/>
      </w:trPr>
      <w:tc>
        <w:tcPr>
          <w:tcW w:w="4032" w:type="dxa"/>
        </w:tcPr>
        <w:p w14:paraId="17D7A681" w14:textId="77777777" w:rsidR="005B2F3D" w:rsidRDefault="005D6652"/>
      </w:tc>
      <w:tc>
        <w:tcPr>
          <w:tcW w:w="1555" w:type="dxa"/>
        </w:tcPr>
        <w:p w14:paraId="471B65B3" w14:textId="7C581612" w:rsidR="005B2F3D" w:rsidRDefault="001336C3">
          <w:pPr>
            <w:jc w:val="center"/>
            <w:rPr>
              <w:rStyle w:val="PageNumber"/>
            </w:rPr>
          </w:pPr>
          <w:r>
            <w:rPr>
              <w:rStyle w:val="PageNumber"/>
            </w:rPr>
            <w:t>-</w:t>
          </w:r>
          <w:r w:rsidR="004C2CE2">
            <w:rPr>
              <w:rStyle w:val="PageNumber"/>
            </w:rPr>
            <w:fldChar w:fldCharType="begin"/>
          </w:r>
          <w:r>
            <w:rPr>
              <w:rStyle w:val="PageNumber"/>
            </w:rPr>
            <w:instrText xml:space="preserve"> PAGE \* MERGEFORMAT </w:instrText>
          </w:r>
          <w:r w:rsidR="004C2CE2">
            <w:rPr>
              <w:rStyle w:val="PageNumber"/>
            </w:rPr>
            <w:fldChar w:fldCharType="separate"/>
          </w:r>
          <w:r w:rsidR="00A275BB">
            <w:rPr>
              <w:rStyle w:val="PageNumber"/>
              <w:noProof/>
            </w:rPr>
            <w:t>2</w:t>
          </w:r>
          <w:r w:rsidR="004C2CE2">
            <w:rPr>
              <w:rStyle w:val="PageNumber"/>
            </w:rPr>
            <w:fldChar w:fldCharType="end"/>
          </w:r>
          <w:r>
            <w:rPr>
              <w:rStyle w:val="PageNumber"/>
            </w:rPr>
            <w:t>-</w:t>
          </w:r>
        </w:p>
      </w:tc>
      <w:tc>
        <w:tcPr>
          <w:tcW w:w="4032" w:type="dxa"/>
        </w:tcPr>
        <w:p w14:paraId="01195EC5" w14:textId="77777777" w:rsidR="005B2F3D" w:rsidRDefault="005D6652">
          <w:pPr>
            <w:pStyle w:val="FooterDocumentTitle"/>
          </w:pPr>
        </w:p>
      </w:tc>
    </w:tr>
  </w:tbl>
  <w:p w14:paraId="76FB1CDD" w14:textId="77777777" w:rsidR="005B2F3D" w:rsidRDefault="005D6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032"/>
      <w:gridCol w:w="1555"/>
      <w:gridCol w:w="4032"/>
    </w:tblGrid>
    <w:tr w:rsidR="005B2F3D" w14:paraId="0F44D1E3" w14:textId="77777777">
      <w:trPr>
        <w:cantSplit/>
        <w:trHeight w:val="320"/>
      </w:trPr>
      <w:tc>
        <w:tcPr>
          <w:tcW w:w="4032" w:type="dxa"/>
        </w:tcPr>
        <w:p w14:paraId="18A81436" w14:textId="77777777" w:rsidR="005B2F3D" w:rsidRDefault="005D6652"/>
      </w:tc>
      <w:tc>
        <w:tcPr>
          <w:tcW w:w="1555" w:type="dxa"/>
        </w:tcPr>
        <w:p w14:paraId="031C1AA3" w14:textId="4921D6A1" w:rsidR="005B2F3D" w:rsidRDefault="001336C3">
          <w:pPr>
            <w:jc w:val="center"/>
            <w:rPr>
              <w:rStyle w:val="PageNumber"/>
            </w:rPr>
          </w:pPr>
          <w:r>
            <w:rPr>
              <w:rStyle w:val="PageNumber"/>
            </w:rPr>
            <w:t>-</w:t>
          </w:r>
          <w:r w:rsidR="004C2CE2">
            <w:rPr>
              <w:rStyle w:val="PageNumber"/>
            </w:rPr>
            <w:fldChar w:fldCharType="begin"/>
          </w:r>
          <w:r>
            <w:rPr>
              <w:rStyle w:val="PageNumber"/>
            </w:rPr>
            <w:instrText xml:space="preserve"> PAGE \* MERGEFORMAT </w:instrText>
          </w:r>
          <w:r w:rsidR="004C2CE2">
            <w:rPr>
              <w:rStyle w:val="PageNumber"/>
            </w:rPr>
            <w:fldChar w:fldCharType="separate"/>
          </w:r>
          <w:r w:rsidR="00A275BB">
            <w:rPr>
              <w:rStyle w:val="PageNumber"/>
              <w:noProof/>
            </w:rPr>
            <w:t>1</w:t>
          </w:r>
          <w:r w:rsidR="004C2CE2">
            <w:rPr>
              <w:rStyle w:val="PageNumber"/>
            </w:rPr>
            <w:fldChar w:fldCharType="end"/>
          </w:r>
          <w:r>
            <w:rPr>
              <w:rStyle w:val="PageNumber"/>
            </w:rPr>
            <w:t>-</w:t>
          </w:r>
        </w:p>
      </w:tc>
      <w:tc>
        <w:tcPr>
          <w:tcW w:w="4032" w:type="dxa"/>
        </w:tcPr>
        <w:p w14:paraId="68368979" w14:textId="77777777" w:rsidR="005B2F3D" w:rsidRDefault="005D6652">
          <w:pPr>
            <w:pStyle w:val="FooterDocumentTitle"/>
          </w:pPr>
        </w:p>
      </w:tc>
    </w:tr>
  </w:tbl>
  <w:p w14:paraId="5E349D4C" w14:textId="77777777" w:rsidR="005B2F3D" w:rsidRDefault="005D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B35E" w14:textId="77777777" w:rsidR="00EE3170" w:rsidRDefault="00EE3170" w:rsidP="001336C3">
      <w:pPr>
        <w:spacing w:line="240" w:lineRule="auto"/>
      </w:pPr>
      <w:r>
        <w:separator/>
      </w:r>
    </w:p>
  </w:footnote>
  <w:footnote w:type="continuationSeparator" w:id="0">
    <w:p w14:paraId="166CAFE3" w14:textId="77777777" w:rsidR="00EE3170" w:rsidRDefault="00EE3170" w:rsidP="001336C3">
      <w:pPr>
        <w:spacing w:line="240" w:lineRule="auto"/>
      </w:pPr>
      <w:r>
        <w:continuationSeparator/>
      </w:r>
    </w:p>
  </w:footnote>
  <w:footnote w:id="1">
    <w:p w14:paraId="6F55DCC4" w14:textId="32E07A85" w:rsidR="000358A5" w:rsidRPr="005160D3" w:rsidRDefault="000358A5" w:rsidP="0075031A">
      <w:pPr>
        <w:pStyle w:val="NormalWeb"/>
        <w:spacing w:before="0" w:beforeAutospacing="0" w:after="0" w:afterAutospacing="0"/>
        <w:rPr>
          <w:color w:val="000000"/>
          <w:sz w:val="28"/>
          <w:szCs w:val="28"/>
        </w:rPr>
      </w:pPr>
      <w:r w:rsidRPr="005160D3">
        <w:rPr>
          <w:rStyle w:val="FootnoteReference"/>
          <w:sz w:val="28"/>
          <w:szCs w:val="28"/>
        </w:rPr>
        <w:footnoteRef/>
      </w:r>
      <w:r w:rsidRPr="005160D3">
        <w:rPr>
          <w:sz w:val="28"/>
          <w:szCs w:val="28"/>
        </w:rPr>
        <w:t xml:space="preserve"> </w:t>
      </w:r>
      <w:r w:rsidRPr="005160D3">
        <w:rPr>
          <w:i/>
          <w:iCs/>
          <w:color w:val="000000"/>
          <w:sz w:val="28"/>
          <w:szCs w:val="28"/>
        </w:rPr>
        <w:t>See</w:t>
      </w:r>
      <w:r w:rsidRPr="005160D3">
        <w:rPr>
          <w:color w:val="000000"/>
          <w:sz w:val="28"/>
          <w:szCs w:val="28"/>
        </w:rPr>
        <w:t xml:space="preserve"> Order on R-11-0012, filed September 1, 2011, adding a comment to that 2012 Amendment, </w:t>
      </w:r>
      <w:r w:rsidRPr="005160D3">
        <w:rPr>
          <w:i/>
          <w:iCs/>
          <w:color w:val="000000"/>
          <w:sz w:val="28"/>
          <w:szCs w:val="28"/>
        </w:rPr>
        <w:t>available at</w:t>
      </w:r>
      <w:r w:rsidRPr="005160D3">
        <w:rPr>
          <w:color w:val="000000"/>
          <w:sz w:val="28"/>
          <w:szCs w:val="28"/>
        </w:rPr>
        <w:t xml:space="preserve"> </w:t>
      </w:r>
      <w:hyperlink r:id="rId1" w:history="1">
        <w:r w:rsidRPr="005160D3">
          <w:rPr>
            <w:rStyle w:val="Hyperlink"/>
            <w:sz w:val="28"/>
            <w:szCs w:val="28"/>
          </w:rPr>
          <w:t>https://www.azcourts.gov/Portals/20/R110012.pdf</w:t>
        </w:r>
      </w:hyperlink>
      <w:r w:rsidRPr="005160D3">
        <w:rPr>
          <w:color w:val="000000"/>
          <w:sz w:val="28"/>
          <w:szCs w:val="28"/>
        </w:rPr>
        <w:t xml:space="preserve">. </w:t>
      </w:r>
    </w:p>
  </w:footnote>
  <w:footnote w:id="2">
    <w:p w14:paraId="13917CC7" w14:textId="29ACBA68" w:rsidR="003D4A4F" w:rsidRPr="005160D3" w:rsidRDefault="003D4A4F">
      <w:pPr>
        <w:pStyle w:val="FootnoteText"/>
        <w:rPr>
          <w:sz w:val="28"/>
          <w:szCs w:val="28"/>
        </w:rPr>
      </w:pPr>
      <w:r w:rsidRPr="005160D3">
        <w:rPr>
          <w:rStyle w:val="FootnoteReference"/>
          <w:sz w:val="28"/>
          <w:szCs w:val="28"/>
        </w:rPr>
        <w:footnoteRef/>
      </w:r>
      <w:r w:rsidRPr="005160D3">
        <w:rPr>
          <w:sz w:val="28"/>
          <w:szCs w:val="28"/>
        </w:rPr>
        <w:t xml:space="preserve"> </w:t>
      </w:r>
      <w:r w:rsidRPr="005160D3">
        <w:rPr>
          <w:i/>
          <w:iCs/>
          <w:sz w:val="28"/>
          <w:szCs w:val="28"/>
        </w:rPr>
        <w:t>E.g.</w:t>
      </w:r>
      <w:r w:rsidRPr="005160D3">
        <w:rPr>
          <w:sz w:val="28"/>
          <w:szCs w:val="28"/>
        </w:rPr>
        <w:t xml:space="preserve">, </w:t>
      </w:r>
      <w:hyperlink r:id="rId2" w:history="1">
        <w:r w:rsidRPr="005160D3">
          <w:rPr>
            <w:rStyle w:val="Hyperlink"/>
            <w:sz w:val="28"/>
            <w:szCs w:val="28"/>
          </w:rPr>
          <w:t>https://www.phoenix.gov/court/courtroom-media-coverage-guidelines</w:t>
        </w:r>
      </w:hyperlink>
      <w:r w:rsidRPr="005160D3">
        <w:rPr>
          <w:sz w:val="28"/>
          <w:szCs w:val="28"/>
        </w:rPr>
        <w:t xml:space="preserve"> (City of Phoenix Court Media Coverage Guidelines).</w:t>
      </w:r>
    </w:p>
  </w:footnote>
  <w:footnote w:id="3">
    <w:p w14:paraId="00578EB9" w14:textId="34E6802B" w:rsidR="00797144" w:rsidRPr="005160D3" w:rsidRDefault="00797144">
      <w:pPr>
        <w:pStyle w:val="FootnoteText"/>
        <w:rPr>
          <w:sz w:val="28"/>
          <w:szCs w:val="28"/>
        </w:rPr>
      </w:pPr>
      <w:r w:rsidRPr="005160D3">
        <w:rPr>
          <w:rStyle w:val="FootnoteReference"/>
          <w:sz w:val="28"/>
          <w:szCs w:val="28"/>
        </w:rPr>
        <w:footnoteRef/>
      </w:r>
      <w:r w:rsidRPr="005160D3">
        <w:rPr>
          <w:sz w:val="28"/>
          <w:szCs w:val="28"/>
        </w:rPr>
        <w:t xml:space="preserve"> </w:t>
      </w:r>
      <w:r w:rsidRPr="005160D3">
        <w:rPr>
          <w:smallCaps/>
          <w:sz w:val="28"/>
          <w:szCs w:val="28"/>
        </w:rPr>
        <w:t>Ariz. Const.</w:t>
      </w:r>
      <w:r w:rsidRPr="005160D3">
        <w:rPr>
          <w:sz w:val="28"/>
          <w:szCs w:val="28"/>
        </w:rPr>
        <w:t xml:space="preserve"> art. 6, §5 (“The supreme court shall have . . . Power to make rules relative to all procedural matters in any court.”)</w:t>
      </w:r>
    </w:p>
  </w:footnote>
  <w:footnote w:id="4">
    <w:p w14:paraId="0C65A2B9" w14:textId="4605AC47" w:rsidR="00A21313" w:rsidRPr="005160D3" w:rsidRDefault="00A21313">
      <w:pPr>
        <w:pStyle w:val="FootnoteText"/>
        <w:rPr>
          <w:sz w:val="28"/>
          <w:szCs w:val="28"/>
        </w:rPr>
      </w:pPr>
      <w:r w:rsidRPr="005160D3">
        <w:rPr>
          <w:rStyle w:val="FootnoteReference"/>
          <w:sz w:val="28"/>
          <w:szCs w:val="28"/>
        </w:rPr>
        <w:footnoteRef/>
      </w:r>
      <w:r w:rsidRPr="005160D3">
        <w:rPr>
          <w:sz w:val="28"/>
          <w:szCs w:val="28"/>
        </w:rPr>
        <w:t xml:space="preserve"> </w:t>
      </w:r>
      <w:r w:rsidRPr="005160D3">
        <w:rPr>
          <w:i/>
          <w:iCs/>
          <w:sz w:val="28"/>
          <w:szCs w:val="28"/>
        </w:rPr>
        <w:t>Available at</w:t>
      </w:r>
      <w:r w:rsidRPr="005160D3">
        <w:rPr>
          <w:sz w:val="28"/>
          <w:szCs w:val="28"/>
        </w:rPr>
        <w:t xml:space="preserve"> </w:t>
      </w:r>
      <w:hyperlink r:id="rId3" w:history="1">
        <w:r w:rsidRPr="005160D3">
          <w:rPr>
            <w:rStyle w:val="Hyperlink"/>
            <w:sz w:val="28"/>
            <w:szCs w:val="28"/>
          </w:rPr>
          <w:t>https://www.courts.wa.gov/court_rules/pdf/GR/GA_GR_20_00_00.pdf</w:t>
        </w:r>
      </w:hyperlink>
      <w:r w:rsidRPr="005160D3">
        <w:rPr>
          <w:sz w:val="28"/>
          <w:szCs w:val="28"/>
        </w:rPr>
        <w:t>.</w:t>
      </w:r>
    </w:p>
  </w:footnote>
  <w:footnote w:id="5">
    <w:p w14:paraId="3B309DDC" w14:textId="7181FA4A" w:rsidR="00B522D8" w:rsidRPr="005160D3" w:rsidRDefault="00B522D8">
      <w:pPr>
        <w:pStyle w:val="FootnoteText"/>
        <w:rPr>
          <w:sz w:val="28"/>
          <w:szCs w:val="28"/>
        </w:rPr>
      </w:pPr>
      <w:r w:rsidRPr="005160D3">
        <w:rPr>
          <w:rStyle w:val="FootnoteReference"/>
          <w:sz w:val="28"/>
          <w:szCs w:val="28"/>
        </w:rPr>
        <w:footnoteRef/>
      </w:r>
      <w:r w:rsidRPr="005160D3">
        <w:rPr>
          <w:sz w:val="28"/>
          <w:szCs w:val="28"/>
        </w:rPr>
        <w:t xml:space="preserve"> </w:t>
      </w:r>
      <w:r w:rsidRPr="005160D3">
        <w:rPr>
          <w:i/>
          <w:iCs/>
          <w:sz w:val="28"/>
          <w:szCs w:val="28"/>
        </w:rPr>
        <w:t>See, e.g.</w:t>
      </w:r>
      <w:r w:rsidRPr="005160D3">
        <w:rPr>
          <w:sz w:val="28"/>
          <w:szCs w:val="28"/>
        </w:rPr>
        <w:t xml:space="preserve">, </w:t>
      </w:r>
      <w:hyperlink r:id="rId4" w:history="1">
        <w:r w:rsidRPr="005160D3">
          <w:rPr>
            <w:rStyle w:val="Hyperlink"/>
            <w:sz w:val="28"/>
            <w:szCs w:val="28"/>
          </w:rPr>
          <w:t>https://www.mncourts.gov/Documents/10/Public/Court_Administration/Weapons_and_Potentially_Hazardous_Exhibit_Procedures_1.9.12.pdf</w:t>
        </w:r>
      </w:hyperlink>
      <w:r w:rsidRPr="005160D3">
        <w:rPr>
          <w:sz w:val="28"/>
          <w:szCs w:val="28"/>
        </w:rPr>
        <w:t xml:space="preserve">; </w:t>
      </w:r>
    </w:p>
    <w:p w14:paraId="1EFD9529" w14:textId="41547044" w:rsidR="00B522D8" w:rsidRPr="005160D3" w:rsidRDefault="005D6652">
      <w:pPr>
        <w:pStyle w:val="FootnoteText"/>
        <w:rPr>
          <w:sz w:val="28"/>
          <w:szCs w:val="28"/>
        </w:rPr>
      </w:pPr>
      <w:hyperlink r:id="rId5" w:history="1">
        <w:r w:rsidR="00B522D8" w:rsidRPr="005160D3">
          <w:rPr>
            <w:rStyle w:val="Hyperlink"/>
            <w:sz w:val="28"/>
            <w:szCs w:val="28"/>
          </w:rPr>
          <w:t>https://www.mncourts.gov/mncourtsgov/media/second_district/documents/Orders_and_Policies/P15-03-Handling-of-Potentially-Hazardous-Exhibits-Policy-Approved-2-20-2019.pdf</w:t>
        </w:r>
      </w:hyperlink>
      <w:r w:rsidR="00B522D8" w:rsidRPr="005160D3">
        <w:rPr>
          <w:sz w:val="28"/>
          <w:szCs w:val="28"/>
        </w:rPr>
        <w:t>.</w:t>
      </w:r>
    </w:p>
  </w:footnote>
  <w:footnote w:id="6">
    <w:p w14:paraId="5D4A5C49" w14:textId="521A4E79" w:rsidR="005160D3" w:rsidRPr="005160D3" w:rsidRDefault="005160D3">
      <w:pPr>
        <w:pStyle w:val="FootnoteText"/>
        <w:rPr>
          <w:sz w:val="28"/>
          <w:szCs w:val="28"/>
        </w:rPr>
      </w:pPr>
      <w:r w:rsidRPr="005160D3">
        <w:rPr>
          <w:rStyle w:val="FootnoteReference"/>
          <w:sz w:val="28"/>
          <w:szCs w:val="28"/>
        </w:rPr>
        <w:footnoteRef/>
      </w:r>
      <w:r w:rsidRPr="005160D3">
        <w:rPr>
          <w:sz w:val="28"/>
          <w:szCs w:val="28"/>
        </w:rPr>
        <w:t xml:space="preserve"> </w:t>
      </w:r>
      <w:r w:rsidRPr="005160D3">
        <w:rPr>
          <w:i/>
          <w:iCs/>
          <w:sz w:val="28"/>
          <w:szCs w:val="28"/>
        </w:rPr>
        <w:t>Available at</w:t>
      </w:r>
      <w:r w:rsidRPr="005160D3">
        <w:rPr>
          <w:sz w:val="28"/>
          <w:szCs w:val="28"/>
        </w:rPr>
        <w:t xml:space="preserve"> </w:t>
      </w:r>
      <w:hyperlink r:id="rId6" w:history="1">
        <w:r w:rsidRPr="005160D3">
          <w:rPr>
            <w:rStyle w:val="Hyperlink"/>
            <w:sz w:val="28"/>
            <w:szCs w:val="28"/>
          </w:rPr>
          <w:t>https://www.regulations.gov/document/USC-RULES-EV-2022-0004-0001</w:t>
        </w:r>
      </w:hyperlink>
      <w:r w:rsidRPr="005160D3">
        <w:rPr>
          <w:sz w:val="28"/>
          <w:szCs w:val="28"/>
        </w:rPr>
        <w:t xml:space="preserve"> (pages 286-87 of 320).</w:t>
      </w:r>
    </w:p>
  </w:footnote>
  <w:footnote w:id="7">
    <w:p w14:paraId="234AAC84" w14:textId="3D2F9465" w:rsidR="005160D3" w:rsidRPr="005160D3" w:rsidRDefault="005160D3">
      <w:pPr>
        <w:pStyle w:val="FootnoteText"/>
        <w:rPr>
          <w:sz w:val="28"/>
          <w:szCs w:val="28"/>
        </w:rPr>
      </w:pPr>
      <w:r w:rsidRPr="005160D3">
        <w:rPr>
          <w:rStyle w:val="FootnoteReference"/>
          <w:sz w:val="28"/>
          <w:szCs w:val="28"/>
        </w:rPr>
        <w:footnoteRef/>
      </w:r>
      <w:r w:rsidRPr="005160D3">
        <w:rPr>
          <w:sz w:val="28"/>
          <w:szCs w:val="28"/>
        </w:rPr>
        <w:t xml:space="preserve"> </w:t>
      </w:r>
      <w:r w:rsidRPr="005160D3">
        <w:rPr>
          <w:i/>
          <w:iCs/>
          <w:sz w:val="28"/>
          <w:szCs w:val="28"/>
        </w:rPr>
        <w:t>See</w:t>
      </w:r>
      <w:r w:rsidRPr="005160D3">
        <w:rPr>
          <w:sz w:val="28"/>
          <w:szCs w:val="28"/>
        </w:rPr>
        <w:t xml:space="preserve"> Admin. Order No. 2012-43 (establishing the Committee and seeking input on changes to conform the Arizona Rules of Evidence to the Federal Rules of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CC0D" w14:textId="77777777" w:rsidR="00EB60C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7" w:type="dxa"/>
      <w:tblInd w:w="-827" w:type="dxa"/>
      <w:tblLayout w:type="fixed"/>
      <w:tblCellMar>
        <w:left w:w="0" w:type="dxa"/>
        <w:right w:w="0" w:type="dxa"/>
      </w:tblCellMar>
      <w:tblLook w:val="0000" w:firstRow="0" w:lastRow="0" w:firstColumn="0" w:lastColumn="0" w:noHBand="0" w:noVBand="0"/>
    </w:tblPr>
    <w:tblGrid>
      <w:gridCol w:w="287"/>
      <w:gridCol w:w="10080"/>
    </w:tblGrid>
    <w:tr w:rsidR="005B2F3D" w14:paraId="3755A6D6" w14:textId="77777777">
      <w:trPr>
        <w:trHeight w:hRule="exact" w:val="14880"/>
      </w:trPr>
      <w:tc>
        <w:tcPr>
          <w:tcW w:w="287" w:type="dxa"/>
        </w:tcPr>
        <w:p w14:paraId="5A7D8382" w14:textId="77777777" w:rsidR="005B2F3D" w:rsidRDefault="005D6652">
          <w:pPr>
            <w:pStyle w:val="HeaderNumbers"/>
            <w:spacing w:before="1320"/>
          </w:pPr>
        </w:p>
      </w:tc>
      <w:tc>
        <w:tcPr>
          <w:tcW w:w="10080" w:type="dxa"/>
        </w:tcPr>
        <w:p w14:paraId="1C2AF715" w14:textId="77777777" w:rsidR="005B2F3D" w:rsidRDefault="005D6652">
          <w:pPr>
            <w:tabs>
              <w:tab w:val="center" w:pos="4853"/>
              <w:tab w:val="right" w:pos="9547"/>
            </w:tabs>
            <w:ind w:left="113" w:right="113"/>
          </w:pPr>
        </w:p>
      </w:tc>
    </w:tr>
  </w:tbl>
  <w:p w14:paraId="6BEE4126" w14:textId="77777777" w:rsidR="005B2F3D"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7" w:type="dxa"/>
      <w:tblInd w:w="-827" w:type="dxa"/>
      <w:tblLayout w:type="fixed"/>
      <w:tblCellMar>
        <w:left w:w="0" w:type="dxa"/>
        <w:right w:w="0" w:type="dxa"/>
      </w:tblCellMar>
      <w:tblLook w:val="0000" w:firstRow="0" w:lastRow="0" w:firstColumn="0" w:lastColumn="0" w:noHBand="0" w:noVBand="0"/>
    </w:tblPr>
    <w:tblGrid>
      <w:gridCol w:w="287"/>
      <w:gridCol w:w="10080"/>
    </w:tblGrid>
    <w:tr w:rsidR="005B2F3D" w14:paraId="3BC2EDB1" w14:textId="77777777">
      <w:trPr>
        <w:trHeight w:hRule="exact" w:val="14880"/>
      </w:trPr>
      <w:tc>
        <w:tcPr>
          <w:tcW w:w="287" w:type="dxa"/>
        </w:tcPr>
        <w:p w14:paraId="06D027A9" w14:textId="77777777" w:rsidR="005B2F3D" w:rsidRDefault="005D6652">
          <w:pPr>
            <w:pStyle w:val="HeaderNumbers"/>
            <w:spacing w:before="1320"/>
          </w:pPr>
        </w:p>
      </w:tc>
      <w:tc>
        <w:tcPr>
          <w:tcW w:w="10080" w:type="dxa"/>
        </w:tcPr>
        <w:p w14:paraId="7A8E2F8B" w14:textId="77777777" w:rsidR="005B2F3D" w:rsidRDefault="005D6652">
          <w:pPr>
            <w:tabs>
              <w:tab w:val="center" w:pos="4853"/>
              <w:tab w:val="right" w:pos="9547"/>
            </w:tabs>
            <w:ind w:left="113" w:right="113"/>
          </w:pPr>
        </w:p>
      </w:tc>
    </w:tr>
  </w:tbl>
  <w:p w14:paraId="4025856E" w14:textId="77777777" w:rsidR="005B2F3D" w:rsidRDefault="005D6652">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3561A"/>
    <w:multiLevelType w:val="hybridMultilevel"/>
    <w:tmpl w:val="69B003F0"/>
    <w:lvl w:ilvl="0" w:tplc="2CA62C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06C16"/>
    <w:multiLevelType w:val="hybridMultilevel"/>
    <w:tmpl w:val="B77A5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D31E5F"/>
    <w:multiLevelType w:val="hybridMultilevel"/>
    <w:tmpl w:val="F16A3648"/>
    <w:lvl w:ilvl="0" w:tplc="C046CE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D27CA"/>
    <w:multiLevelType w:val="hybridMultilevel"/>
    <w:tmpl w:val="9B6C2B52"/>
    <w:lvl w:ilvl="0" w:tplc="06D0B1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B724A"/>
    <w:multiLevelType w:val="hybridMultilevel"/>
    <w:tmpl w:val="2DFEE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335532">
    <w:abstractNumId w:val="3"/>
  </w:num>
  <w:num w:numId="2" w16cid:durableId="515191343">
    <w:abstractNumId w:val="0"/>
  </w:num>
  <w:num w:numId="3" w16cid:durableId="1585531999">
    <w:abstractNumId w:val="1"/>
  </w:num>
  <w:num w:numId="4" w16cid:durableId="672681447">
    <w:abstractNumId w:val="4"/>
  </w:num>
  <w:num w:numId="5" w16cid:durableId="1647081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C3"/>
    <w:rsid w:val="00001963"/>
    <w:rsid w:val="000021D6"/>
    <w:rsid w:val="000244F3"/>
    <w:rsid w:val="00032767"/>
    <w:rsid w:val="000358A5"/>
    <w:rsid w:val="00037B9B"/>
    <w:rsid w:val="00042CF7"/>
    <w:rsid w:val="00055FC2"/>
    <w:rsid w:val="000B0459"/>
    <w:rsid w:val="000C706D"/>
    <w:rsid w:val="000D0FB9"/>
    <w:rsid w:val="000E1ADD"/>
    <w:rsid w:val="000E245D"/>
    <w:rsid w:val="00102623"/>
    <w:rsid w:val="001204FF"/>
    <w:rsid w:val="001336C3"/>
    <w:rsid w:val="00152F39"/>
    <w:rsid w:val="001845FA"/>
    <w:rsid w:val="001851B1"/>
    <w:rsid w:val="001913C0"/>
    <w:rsid w:val="00194A3C"/>
    <w:rsid w:val="00196085"/>
    <w:rsid w:val="001979BA"/>
    <w:rsid w:val="001B0C78"/>
    <w:rsid w:val="001B627F"/>
    <w:rsid w:val="001B7B57"/>
    <w:rsid w:val="001D1829"/>
    <w:rsid w:val="001D2B32"/>
    <w:rsid w:val="001E3AAE"/>
    <w:rsid w:val="001F1C3A"/>
    <w:rsid w:val="001F7964"/>
    <w:rsid w:val="00205107"/>
    <w:rsid w:val="0020668D"/>
    <w:rsid w:val="00223616"/>
    <w:rsid w:val="00230490"/>
    <w:rsid w:val="0023474A"/>
    <w:rsid w:val="00235C74"/>
    <w:rsid w:val="00252AD7"/>
    <w:rsid w:val="0026534C"/>
    <w:rsid w:val="00277B13"/>
    <w:rsid w:val="002969F7"/>
    <w:rsid w:val="0029790B"/>
    <w:rsid w:val="002D19E1"/>
    <w:rsid w:val="002D6734"/>
    <w:rsid w:val="002E0F86"/>
    <w:rsid w:val="002F0E00"/>
    <w:rsid w:val="003136B3"/>
    <w:rsid w:val="00331EDE"/>
    <w:rsid w:val="003557B1"/>
    <w:rsid w:val="003639FD"/>
    <w:rsid w:val="00395A14"/>
    <w:rsid w:val="00397BDF"/>
    <w:rsid w:val="003A75B2"/>
    <w:rsid w:val="003A7E90"/>
    <w:rsid w:val="003C2725"/>
    <w:rsid w:val="003D4A4F"/>
    <w:rsid w:val="003F2048"/>
    <w:rsid w:val="003F4D38"/>
    <w:rsid w:val="00433B1A"/>
    <w:rsid w:val="004402B4"/>
    <w:rsid w:val="00443224"/>
    <w:rsid w:val="004507CC"/>
    <w:rsid w:val="00480502"/>
    <w:rsid w:val="004A170E"/>
    <w:rsid w:val="004C2CE2"/>
    <w:rsid w:val="004C643F"/>
    <w:rsid w:val="004E4EAF"/>
    <w:rsid w:val="004F286B"/>
    <w:rsid w:val="005052F5"/>
    <w:rsid w:val="005160D3"/>
    <w:rsid w:val="00525C0C"/>
    <w:rsid w:val="00530AC4"/>
    <w:rsid w:val="005657B9"/>
    <w:rsid w:val="00597A0C"/>
    <w:rsid w:val="005A2C19"/>
    <w:rsid w:val="005C6428"/>
    <w:rsid w:val="005D0F20"/>
    <w:rsid w:val="005D106C"/>
    <w:rsid w:val="005D6652"/>
    <w:rsid w:val="005E1D5A"/>
    <w:rsid w:val="005E41CB"/>
    <w:rsid w:val="00616758"/>
    <w:rsid w:val="00620092"/>
    <w:rsid w:val="00632233"/>
    <w:rsid w:val="00641D73"/>
    <w:rsid w:val="00683131"/>
    <w:rsid w:val="006872A6"/>
    <w:rsid w:val="00695B9D"/>
    <w:rsid w:val="006B6E14"/>
    <w:rsid w:val="006B7C00"/>
    <w:rsid w:val="006C16A7"/>
    <w:rsid w:val="006D0A16"/>
    <w:rsid w:val="006D3DF9"/>
    <w:rsid w:val="006D5C1E"/>
    <w:rsid w:val="006F3499"/>
    <w:rsid w:val="007057FF"/>
    <w:rsid w:val="00721F7F"/>
    <w:rsid w:val="00730576"/>
    <w:rsid w:val="00736C37"/>
    <w:rsid w:val="0075031A"/>
    <w:rsid w:val="00771960"/>
    <w:rsid w:val="00797144"/>
    <w:rsid w:val="0079774E"/>
    <w:rsid w:val="007C76BF"/>
    <w:rsid w:val="007D3684"/>
    <w:rsid w:val="007E2F02"/>
    <w:rsid w:val="007E594B"/>
    <w:rsid w:val="007E705E"/>
    <w:rsid w:val="007F449E"/>
    <w:rsid w:val="008056A0"/>
    <w:rsid w:val="008179C4"/>
    <w:rsid w:val="00817FB7"/>
    <w:rsid w:val="0083456F"/>
    <w:rsid w:val="008533A2"/>
    <w:rsid w:val="008570FD"/>
    <w:rsid w:val="00857FC1"/>
    <w:rsid w:val="0086320C"/>
    <w:rsid w:val="008843A1"/>
    <w:rsid w:val="008A20B3"/>
    <w:rsid w:val="008C43BC"/>
    <w:rsid w:val="008E0A24"/>
    <w:rsid w:val="008E6C10"/>
    <w:rsid w:val="00901D58"/>
    <w:rsid w:val="009061E4"/>
    <w:rsid w:val="00910305"/>
    <w:rsid w:val="009219A0"/>
    <w:rsid w:val="009252BB"/>
    <w:rsid w:val="009273AD"/>
    <w:rsid w:val="00937281"/>
    <w:rsid w:val="009575D2"/>
    <w:rsid w:val="009739EC"/>
    <w:rsid w:val="00974352"/>
    <w:rsid w:val="009757D2"/>
    <w:rsid w:val="00997435"/>
    <w:rsid w:val="009A0E1D"/>
    <w:rsid w:val="009B63F3"/>
    <w:rsid w:val="009D27F4"/>
    <w:rsid w:val="009F5660"/>
    <w:rsid w:val="00A061B6"/>
    <w:rsid w:val="00A10F2D"/>
    <w:rsid w:val="00A21313"/>
    <w:rsid w:val="00A213F7"/>
    <w:rsid w:val="00A275BB"/>
    <w:rsid w:val="00A32786"/>
    <w:rsid w:val="00A341BF"/>
    <w:rsid w:val="00A35B1F"/>
    <w:rsid w:val="00A37244"/>
    <w:rsid w:val="00A47818"/>
    <w:rsid w:val="00A50F39"/>
    <w:rsid w:val="00A536F9"/>
    <w:rsid w:val="00A63B09"/>
    <w:rsid w:val="00A80DA6"/>
    <w:rsid w:val="00A85268"/>
    <w:rsid w:val="00A91039"/>
    <w:rsid w:val="00AA0B4F"/>
    <w:rsid w:val="00AB3365"/>
    <w:rsid w:val="00AD4844"/>
    <w:rsid w:val="00AD7B77"/>
    <w:rsid w:val="00AE093E"/>
    <w:rsid w:val="00AF3225"/>
    <w:rsid w:val="00AF7213"/>
    <w:rsid w:val="00B2414F"/>
    <w:rsid w:val="00B27699"/>
    <w:rsid w:val="00B522D8"/>
    <w:rsid w:val="00B64C29"/>
    <w:rsid w:val="00B9062E"/>
    <w:rsid w:val="00BE203C"/>
    <w:rsid w:val="00BE6804"/>
    <w:rsid w:val="00C104DA"/>
    <w:rsid w:val="00C16DC8"/>
    <w:rsid w:val="00C21AB1"/>
    <w:rsid w:val="00C303B0"/>
    <w:rsid w:val="00C30F1E"/>
    <w:rsid w:val="00C46122"/>
    <w:rsid w:val="00C718DA"/>
    <w:rsid w:val="00CA299B"/>
    <w:rsid w:val="00CC6A59"/>
    <w:rsid w:val="00CF36CA"/>
    <w:rsid w:val="00D0717E"/>
    <w:rsid w:val="00D16A7B"/>
    <w:rsid w:val="00D26359"/>
    <w:rsid w:val="00D46859"/>
    <w:rsid w:val="00D54FB1"/>
    <w:rsid w:val="00D6626F"/>
    <w:rsid w:val="00D82DC1"/>
    <w:rsid w:val="00D96283"/>
    <w:rsid w:val="00DF29F8"/>
    <w:rsid w:val="00DF3E9E"/>
    <w:rsid w:val="00DF5C28"/>
    <w:rsid w:val="00E01B4E"/>
    <w:rsid w:val="00E0325C"/>
    <w:rsid w:val="00E17152"/>
    <w:rsid w:val="00E25C78"/>
    <w:rsid w:val="00E74E14"/>
    <w:rsid w:val="00E945E2"/>
    <w:rsid w:val="00EA10C6"/>
    <w:rsid w:val="00EB30E5"/>
    <w:rsid w:val="00EC0021"/>
    <w:rsid w:val="00EC2200"/>
    <w:rsid w:val="00EE1DB9"/>
    <w:rsid w:val="00EE2381"/>
    <w:rsid w:val="00EE3170"/>
    <w:rsid w:val="00EF49D3"/>
    <w:rsid w:val="00EF5DC7"/>
    <w:rsid w:val="00EF6477"/>
    <w:rsid w:val="00F17908"/>
    <w:rsid w:val="00F357F4"/>
    <w:rsid w:val="00F4109A"/>
    <w:rsid w:val="00F43479"/>
    <w:rsid w:val="00F65A71"/>
    <w:rsid w:val="00F815CD"/>
    <w:rsid w:val="00F82BAE"/>
    <w:rsid w:val="00F843A5"/>
    <w:rsid w:val="00FB34A7"/>
    <w:rsid w:val="00FB6F3D"/>
    <w:rsid w:val="00FD4845"/>
    <w:rsid w:val="00FE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361EF7"/>
  <w15:docId w15:val="{9A715B7B-8CB2-4AC9-86C7-C38674E2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C3"/>
    <w:pPr>
      <w:widowControl w:val="0"/>
      <w:spacing w:line="240" w:lineRule="exac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6C3"/>
    <w:pPr>
      <w:spacing w:line="480" w:lineRule="exact"/>
      <w:ind w:firstLine="720"/>
    </w:pPr>
  </w:style>
  <w:style w:type="character" w:customStyle="1" w:styleId="BodyTextChar">
    <w:name w:val="Body Text Char"/>
    <w:basedOn w:val="DefaultParagraphFont"/>
    <w:link w:val="BodyText"/>
    <w:rsid w:val="001336C3"/>
    <w:rPr>
      <w:rFonts w:ascii="Times New Roman" w:eastAsia="Times New Roman" w:hAnsi="Times New Roman" w:cs="Times New Roman"/>
      <w:szCs w:val="20"/>
    </w:rPr>
  </w:style>
  <w:style w:type="paragraph" w:styleId="Caption">
    <w:name w:val="caption"/>
    <w:basedOn w:val="Normal"/>
    <w:next w:val="Normal"/>
    <w:qFormat/>
    <w:rsid w:val="001336C3"/>
    <w:rPr>
      <w:bCs/>
    </w:rPr>
  </w:style>
  <w:style w:type="paragraph" w:customStyle="1" w:styleId="Court">
    <w:name w:val="Court"/>
    <w:basedOn w:val="Normal"/>
    <w:rsid w:val="001336C3"/>
    <w:pPr>
      <w:spacing w:before="40" w:after="660" w:line="480" w:lineRule="exact"/>
      <w:jc w:val="center"/>
    </w:pPr>
    <w:rPr>
      <w:caps/>
      <w:szCs w:val="24"/>
    </w:rPr>
  </w:style>
  <w:style w:type="paragraph" w:customStyle="1" w:styleId="DocumentTitle">
    <w:name w:val="Document Title"/>
    <w:basedOn w:val="Normal"/>
    <w:rsid w:val="001336C3"/>
    <w:pPr>
      <w:tabs>
        <w:tab w:val="left" w:pos="1238"/>
      </w:tabs>
      <w:spacing w:after="240"/>
      <w:ind w:left="259" w:right="115"/>
    </w:pPr>
    <w:rPr>
      <w:szCs w:val="24"/>
    </w:rPr>
  </w:style>
  <w:style w:type="paragraph" w:customStyle="1" w:styleId="FirmInformation">
    <w:name w:val="Firm Information"/>
    <w:basedOn w:val="Normal"/>
    <w:rsid w:val="001336C3"/>
    <w:pPr>
      <w:ind w:right="144"/>
    </w:pPr>
  </w:style>
  <w:style w:type="paragraph" w:styleId="Footer">
    <w:name w:val="footer"/>
    <w:basedOn w:val="Normal"/>
    <w:link w:val="FooterChar"/>
    <w:rsid w:val="001336C3"/>
    <w:pPr>
      <w:tabs>
        <w:tab w:val="center" w:pos="4320"/>
        <w:tab w:val="right" w:pos="9360"/>
      </w:tabs>
      <w:spacing w:line="200" w:lineRule="exact"/>
    </w:pPr>
  </w:style>
  <w:style w:type="character" w:customStyle="1" w:styleId="FooterChar">
    <w:name w:val="Footer Char"/>
    <w:basedOn w:val="DefaultParagraphFont"/>
    <w:link w:val="Footer"/>
    <w:rsid w:val="001336C3"/>
    <w:rPr>
      <w:rFonts w:ascii="Times New Roman" w:eastAsia="Times New Roman" w:hAnsi="Times New Roman" w:cs="Times New Roman"/>
      <w:szCs w:val="20"/>
    </w:rPr>
  </w:style>
  <w:style w:type="paragraph" w:styleId="Header">
    <w:name w:val="header"/>
    <w:basedOn w:val="Normal"/>
    <w:link w:val="HeaderChar"/>
    <w:rsid w:val="001336C3"/>
    <w:pPr>
      <w:tabs>
        <w:tab w:val="center" w:pos="4320"/>
        <w:tab w:val="right" w:pos="9360"/>
      </w:tabs>
    </w:pPr>
  </w:style>
  <w:style w:type="character" w:customStyle="1" w:styleId="HeaderChar">
    <w:name w:val="Header Char"/>
    <w:basedOn w:val="DefaultParagraphFont"/>
    <w:link w:val="Header"/>
    <w:rsid w:val="001336C3"/>
    <w:rPr>
      <w:rFonts w:ascii="Times New Roman" w:eastAsia="Times New Roman" w:hAnsi="Times New Roman" w:cs="Times New Roman"/>
      <w:szCs w:val="20"/>
    </w:rPr>
  </w:style>
  <w:style w:type="paragraph" w:customStyle="1" w:styleId="HeaderNumbers">
    <w:name w:val="HeaderNumbers"/>
    <w:basedOn w:val="Normal"/>
    <w:rsid w:val="001336C3"/>
    <w:pPr>
      <w:spacing w:before="720" w:line="480" w:lineRule="exact"/>
      <w:ind w:right="144"/>
      <w:jc w:val="right"/>
    </w:pPr>
  </w:style>
  <w:style w:type="character" w:styleId="PageNumber">
    <w:name w:val="page number"/>
    <w:rsid w:val="001336C3"/>
    <w:rPr>
      <w:sz w:val="24"/>
    </w:rPr>
  </w:style>
  <w:style w:type="paragraph" w:customStyle="1" w:styleId="FooterDocumentTitle">
    <w:name w:val="Footer Document Title"/>
    <w:basedOn w:val="Normal"/>
    <w:rsid w:val="001336C3"/>
    <w:pPr>
      <w:widowControl/>
      <w:spacing w:line="240" w:lineRule="auto"/>
      <w:jc w:val="right"/>
    </w:pPr>
    <w:rPr>
      <w:sz w:val="22"/>
      <w:szCs w:val="22"/>
    </w:rPr>
  </w:style>
  <w:style w:type="character" w:customStyle="1" w:styleId="zzmpTrailerItem">
    <w:name w:val="zzmpTrailerItem"/>
    <w:rsid w:val="001336C3"/>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336C3"/>
    <w:rPr>
      <w:color w:val="0563C1" w:themeColor="hyperlink"/>
      <w:u w:val="single"/>
    </w:rPr>
  </w:style>
  <w:style w:type="character" w:customStyle="1" w:styleId="UnresolvedMention1">
    <w:name w:val="Unresolved Mention1"/>
    <w:basedOn w:val="DefaultParagraphFont"/>
    <w:uiPriority w:val="99"/>
    <w:rsid w:val="001336C3"/>
    <w:rPr>
      <w:color w:val="605E5C"/>
      <w:shd w:val="clear" w:color="auto" w:fill="E1DFDD"/>
    </w:rPr>
  </w:style>
  <w:style w:type="paragraph" w:styleId="FootnoteText">
    <w:name w:val="footnote text"/>
    <w:basedOn w:val="Normal"/>
    <w:link w:val="FootnoteTextChar"/>
    <w:uiPriority w:val="99"/>
    <w:semiHidden/>
    <w:unhideWhenUsed/>
    <w:rsid w:val="001336C3"/>
    <w:pPr>
      <w:spacing w:line="240" w:lineRule="auto"/>
    </w:pPr>
    <w:rPr>
      <w:sz w:val="20"/>
    </w:rPr>
  </w:style>
  <w:style w:type="character" w:customStyle="1" w:styleId="FootnoteTextChar">
    <w:name w:val="Footnote Text Char"/>
    <w:basedOn w:val="DefaultParagraphFont"/>
    <w:link w:val="FootnoteText"/>
    <w:uiPriority w:val="99"/>
    <w:semiHidden/>
    <w:rsid w:val="001336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36C3"/>
    <w:rPr>
      <w:vertAlign w:val="superscript"/>
    </w:rPr>
  </w:style>
  <w:style w:type="paragraph" w:styleId="BalloonText">
    <w:name w:val="Balloon Text"/>
    <w:basedOn w:val="Normal"/>
    <w:link w:val="BalloonTextChar"/>
    <w:uiPriority w:val="99"/>
    <w:semiHidden/>
    <w:unhideWhenUsed/>
    <w:rsid w:val="00FB6F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F3D"/>
    <w:rPr>
      <w:rFonts w:ascii="Segoe UI" w:eastAsia="Times New Roman" w:hAnsi="Segoe UI" w:cs="Segoe UI"/>
      <w:sz w:val="18"/>
      <w:szCs w:val="18"/>
    </w:rPr>
  </w:style>
  <w:style w:type="table" w:styleId="TableGrid">
    <w:name w:val="Table Grid"/>
    <w:basedOn w:val="TableNormal"/>
    <w:uiPriority w:val="39"/>
    <w:rsid w:val="003A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71960"/>
    <w:pPr>
      <w:widowControl/>
      <w:spacing w:line="480" w:lineRule="exact"/>
      <w:ind w:firstLine="1440"/>
    </w:pPr>
    <w:rPr>
      <w:sz w:val="26"/>
    </w:rPr>
  </w:style>
  <w:style w:type="character" w:styleId="CommentReference">
    <w:name w:val="annotation reference"/>
    <w:basedOn w:val="DefaultParagraphFont"/>
    <w:uiPriority w:val="99"/>
    <w:semiHidden/>
    <w:unhideWhenUsed/>
    <w:rsid w:val="00C46122"/>
    <w:rPr>
      <w:sz w:val="16"/>
      <w:szCs w:val="16"/>
    </w:rPr>
  </w:style>
  <w:style w:type="paragraph" w:styleId="CommentText">
    <w:name w:val="annotation text"/>
    <w:basedOn w:val="Normal"/>
    <w:link w:val="CommentTextChar"/>
    <w:uiPriority w:val="99"/>
    <w:unhideWhenUsed/>
    <w:rsid w:val="00C46122"/>
    <w:pPr>
      <w:spacing w:line="240" w:lineRule="auto"/>
    </w:pPr>
    <w:rPr>
      <w:sz w:val="20"/>
    </w:rPr>
  </w:style>
  <w:style w:type="character" w:customStyle="1" w:styleId="CommentTextChar">
    <w:name w:val="Comment Text Char"/>
    <w:basedOn w:val="DefaultParagraphFont"/>
    <w:link w:val="CommentText"/>
    <w:uiPriority w:val="99"/>
    <w:rsid w:val="00C461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122"/>
    <w:rPr>
      <w:b/>
      <w:bCs/>
    </w:rPr>
  </w:style>
  <w:style w:type="character" w:customStyle="1" w:styleId="CommentSubjectChar">
    <w:name w:val="Comment Subject Char"/>
    <w:basedOn w:val="CommentTextChar"/>
    <w:link w:val="CommentSubject"/>
    <w:uiPriority w:val="99"/>
    <w:semiHidden/>
    <w:rsid w:val="00C46122"/>
    <w:rPr>
      <w:rFonts w:ascii="Times New Roman" w:eastAsia="Times New Roman" w:hAnsi="Times New Roman" w:cs="Times New Roman"/>
      <w:b/>
      <w:bCs/>
      <w:sz w:val="20"/>
      <w:szCs w:val="20"/>
    </w:rPr>
  </w:style>
  <w:style w:type="paragraph" w:styleId="NormalWeb">
    <w:name w:val="Normal (Web)"/>
    <w:basedOn w:val="Normal"/>
    <w:uiPriority w:val="99"/>
    <w:unhideWhenUsed/>
    <w:rsid w:val="004C643F"/>
    <w:pPr>
      <w:widowControl/>
      <w:spacing w:before="100" w:beforeAutospacing="1" w:after="100" w:afterAutospacing="1" w:line="240" w:lineRule="auto"/>
    </w:pPr>
    <w:rPr>
      <w:szCs w:val="24"/>
    </w:rPr>
  </w:style>
  <w:style w:type="character" w:styleId="UnresolvedMention">
    <w:name w:val="Unresolved Mention"/>
    <w:basedOn w:val="DefaultParagraphFont"/>
    <w:uiPriority w:val="99"/>
    <w:semiHidden/>
    <w:unhideWhenUsed/>
    <w:rsid w:val="000358A5"/>
    <w:rPr>
      <w:color w:val="605E5C"/>
      <w:shd w:val="clear" w:color="auto" w:fill="E1DFDD"/>
    </w:rPr>
  </w:style>
  <w:style w:type="paragraph" w:styleId="Revision">
    <w:name w:val="Revision"/>
    <w:hidden/>
    <w:uiPriority w:val="99"/>
    <w:semiHidden/>
    <w:rsid w:val="008533A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6936">
      <w:bodyDiv w:val="1"/>
      <w:marLeft w:val="0"/>
      <w:marRight w:val="0"/>
      <w:marTop w:val="0"/>
      <w:marBottom w:val="0"/>
      <w:divBdr>
        <w:top w:val="none" w:sz="0" w:space="0" w:color="auto"/>
        <w:left w:val="none" w:sz="0" w:space="0" w:color="auto"/>
        <w:bottom w:val="none" w:sz="0" w:space="0" w:color="auto"/>
        <w:right w:val="none" w:sz="0" w:space="0" w:color="auto"/>
      </w:divBdr>
    </w:div>
    <w:div w:id="584996623">
      <w:bodyDiv w:val="1"/>
      <w:marLeft w:val="0"/>
      <w:marRight w:val="0"/>
      <w:marTop w:val="0"/>
      <w:marBottom w:val="0"/>
      <w:divBdr>
        <w:top w:val="none" w:sz="0" w:space="0" w:color="auto"/>
        <w:left w:val="none" w:sz="0" w:space="0" w:color="auto"/>
        <w:bottom w:val="none" w:sz="0" w:space="0" w:color="auto"/>
        <w:right w:val="none" w:sz="0" w:space="0" w:color="auto"/>
      </w:divBdr>
      <w:divsChild>
        <w:div w:id="1357776964">
          <w:marLeft w:val="0"/>
          <w:marRight w:val="0"/>
          <w:marTop w:val="0"/>
          <w:marBottom w:val="0"/>
          <w:divBdr>
            <w:top w:val="none" w:sz="0" w:space="0" w:color="auto"/>
            <w:left w:val="none" w:sz="0" w:space="0" w:color="auto"/>
            <w:bottom w:val="none" w:sz="0" w:space="0" w:color="auto"/>
            <w:right w:val="none" w:sz="0" w:space="0" w:color="auto"/>
          </w:divBdr>
        </w:div>
      </w:divsChild>
    </w:div>
    <w:div w:id="714157262">
      <w:bodyDiv w:val="1"/>
      <w:marLeft w:val="0"/>
      <w:marRight w:val="0"/>
      <w:marTop w:val="0"/>
      <w:marBottom w:val="0"/>
      <w:divBdr>
        <w:top w:val="none" w:sz="0" w:space="0" w:color="auto"/>
        <w:left w:val="none" w:sz="0" w:space="0" w:color="auto"/>
        <w:bottom w:val="none" w:sz="0" w:space="0" w:color="auto"/>
        <w:right w:val="none" w:sz="0" w:space="0" w:color="auto"/>
      </w:divBdr>
    </w:div>
    <w:div w:id="1685012704">
      <w:bodyDiv w:val="1"/>
      <w:marLeft w:val="0"/>
      <w:marRight w:val="0"/>
      <w:marTop w:val="0"/>
      <w:marBottom w:val="0"/>
      <w:divBdr>
        <w:top w:val="none" w:sz="0" w:space="0" w:color="auto"/>
        <w:left w:val="none" w:sz="0" w:space="0" w:color="auto"/>
        <w:bottom w:val="none" w:sz="0" w:space="0" w:color="auto"/>
        <w:right w:val="none" w:sz="0" w:space="0" w:color="auto"/>
      </w:divBdr>
      <w:divsChild>
        <w:div w:id="694623500">
          <w:marLeft w:val="0"/>
          <w:marRight w:val="0"/>
          <w:marTop w:val="0"/>
          <w:marBottom w:val="0"/>
          <w:divBdr>
            <w:top w:val="none" w:sz="0" w:space="0" w:color="auto"/>
            <w:left w:val="none" w:sz="0" w:space="0" w:color="auto"/>
            <w:bottom w:val="none" w:sz="0" w:space="0" w:color="auto"/>
            <w:right w:val="none" w:sz="0" w:space="0" w:color="auto"/>
          </w:divBdr>
        </w:div>
      </w:divsChild>
    </w:div>
    <w:div w:id="1706174278">
      <w:bodyDiv w:val="1"/>
      <w:marLeft w:val="0"/>
      <w:marRight w:val="0"/>
      <w:marTop w:val="0"/>
      <w:marBottom w:val="0"/>
      <w:divBdr>
        <w:top w:val="none" w:sz="0" w:space="0" w:color="auto"/>
        <w:left w:val="none" w:sz="0" w:space="0" w:color="auto"/>
        <w:bottom w:val="none" w:sz="0" w:space="0" w:color="auto"/>
        <w:right w:val="none" w:sz="0" w:space="0" w:color="auto"/>
      </w:divBdr>
      <w:divsChild>
        <w:div w:id="1857229528">
          <w:marLeft w:val="0"/>
          <w:marRight w:val="0"/>
          <w:marTop w:val="0"/>
          <w:marBottom w:val="0"/>
          <w:divBdr>
            <w:top w:val="none" w:sz="0" w:space="0" w:color="auto"/>
            <w:left w:val="none" w:sz="0" w:space="0" w:color="auto"/>
            <w:bottom w:val="none" w:sz="0" w:space="0" w:color="auto"/>
            <w:right w:val="none" w:sz="0" w:space="0" w:color="auto"/>
          </w:divBdr>
        </w:div>
      </w:divsChild>
    </w:div>
    <w:div w:id="2103992611">
      <w:bodyDiv w:val="1"/>
      <w:marLeft w:val="0"/>
      <w:marRight w:val="0"/>
      <w:marTop w:val="0"/>
      <w:marBottom w:val="0"/>
      <w:divBdr>
        <w:top w:val="none" w:sz="0" w:space="0" w:color="auto"/>
        <w:left w:val="none" w:sz="0" w:space="0" w:color="auto"/>
        <w:bottom w:val="none" w:sz="0" w:space="0" w:color="auto"/>
        <w:right w:val="none" w:sz="0" w:space="0" w:color="auto"/>
      </w:divBdr>
      <w:divsChild>
        <w:div w:id="165487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urts.wa.gov/court_rules/pdf/GR/GA_GR_20_00_00.pdf" TargetMode="External"/><Relationship Id="rId2" Type="http://schemas.openxmlformats.org/officeDocument/2006/relationships/hyperlink" Target="https://www.phoenix.gov/court/courtroom-media-coverage-guidelines" TargetMode="External"/><Relationship Id="rId1" Type="http://schemas.openxmlformats.org/officeDocument/2006/relationships/hyperlink" Target="https://www.azcourts.gov/Portals/20/R110012.pdf" TargetMode="External"/><Relationship Id="rId6" Type="http://schemas.openxmlformats.org/officeDocument/2006/relationships/hyperlink" Target="https://www.regulations.gov/document/USC-RULES-EV-2022-0004-0001" TargetMode="External"/><Relationship Id="rId5" Type="http://schemas.openxmlformats.org/officeDocument/2006/relationships/hyperlink" Target="https://www.mncourts.gov/mncourtsgov/media/second_district/documents/Orders_and_Policies/P15-03-Handling-of-Potentially-Hazardous-Exhibits-Policy-Approved-2-20-2019.pdf" TargetMode="External"/><Relationship Id="rId4" Type="http://schemas.openxmlformats.org/officeDocument/2006/relationships/hyperlink" Target="https://www.mncourts.gov/Documents/10/Public/Court_Administration/Weapons_and_Potentially_Hazardous_Exhibit_Procedures_1.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A1FE00BD9CD74C950E621A8CB58FEE" ma:contentTypeVersion="15" ma:contentTypeDescription="Create a new document." ma:contentTypeScope="" ma:versionID="f20d4c08f9a1f2a5f1ce16ed50d8139e">
  <xsd:schema xmlns:xsd="http://www.w3.org/2001/XMLSchema" xmlns:xs="http://www.w3.org/2001/XMLSchema" xmlns:p="http://schemas.microsoft.com/office/2006/metadata/properties" xmlns:ns1="http://schemas.microsoft.com/sharepoint/v3" xmlns:ns3="548762bf-9276-4a92-8ac8-8db83120f2b8" xmlns:ns4="1e896388-4131-4b47-80d4-710196816bd9" targetNamespace="http://schemas.microsoft.com/office/2006/metadata/properties" ma:root="true" ma:fieldsID="e1e2e1e60457b09a2dfa8e4029e97864" ns1:_="" ns3:_="" ns4:_="">
    <xsd:import namespace="http://schemas.microsoft.com/sharepoint/v3"/>
    <xsd:import namespace="548762bf-9276-4a92-8ac8-8db83120f2b8"/>
    <xsd:import namespace="1e896388-4131-4b47-80d4-710196816b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762bf-9276-4a92-8ac8-8db83120f2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96388-4131-4b47-80d4-710196816b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AB8C5-B69A-43AF-B613-A664D65ADA7D}">
  <ds:schemaRefs>
    <ds:schemaRef ds:uri="http://schemas.openxmlformats.org/officeDocument/2006/bibliography"/>
  </ds:schemaRefs>
</ds:datastoreItem>
</file>

<file path=customXml/itemProps2.xml><?xml version="1.0" encoding="utf-8"?>
<ds:datastoreItem xmlns:ds="http://schemas.openxmlformats.org/officeDocument/2006/customXml" ds:itemID="{4CC6253B-5556-411F-9D64-A20B4D6B0A6F}">
  <ds:schemaRefs>
    <ds:schemaRef ds:uri="http://schemas.microsoft.com/sharepoint/v3/contenttype/forms"/>
  </ds:schemaRefs>
</ds:datastoreItem>
</file>

<file path=customXml/itemProps3.xml><?xml version="1.0" encoding="utf-8"?>
<ds:datastoreItem xmlns:ds="http://schemas.openxmlformats.org/officeDocument/2006/customXml" ds:itemID="{335DC259-A24B-41BF-960F-262098255A4D}">
  <ds:schemaRefs>
    <ds:schemaRef ds:uri="1e896388-4131-4b47-80d4-710196816bd9"/>
    <ds:schemaRef ds:uri="http://purl.org/dc/dcmitype/"/>
    <ds:schemaRef ds:uri="http://www.w3.org/XML/1998/namespace"/>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48762bf-9276-4a92-8ac8-8db83120f2b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AD11B80-67FB-4171-91AD-A9BA4AF5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8762bf-9276-4a92-8ac8-8db83120f2b8"/>
    <ds:schemaRef ds:uri="1e896388-4131-4b47-80d4-710196816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Berch</dc:creator>
  <cp:lastModifiedBy>Sara Agne (SUP)</cp:lastModifiedBy>
  <cp:revision>7</cp:revision>
  <dcterms:created xsi:type="dcterms:W3CDTF">2023-03-31T04:04:00Z</dcterms:created>
  <dcterms:modified xsi:type="dcterms:W3CDTF">2023-05-01T01:06:00Z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0x01010028A1FE00BD9CD74C950E621A8CB58FEE</vt:lpwstr>
  </property>
</Properties>
</file>