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Rosemarie Pena-Lynch</w:t>
      </w:r>
      <w:r w:rsidRPr="00A00E0C">
        <w:rPr>
          <w:rFonts w:ascii="Times New Roman" w:hAnsi="Times New Roman"/>
          <w:sz w:val="28"/>
          <w:szCs w:val="28"/>
        </w:rPr>
        <w:tab/>
        <w:t>Gary Kula</w:t>
      </w:r>
    </w:p>
    <w:p w14:paraId="3D34614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023400</w:t>
      </w:r>
      <w:r w:rsidRPr="00A00E0C">
        <w:rPr>
          <w:rFonts w:ascii="Times New Roman" w:hAnsi="Times New Roman"/>
          <w:sz w:val="28"/>
          <w:szCs w:val="28"/>
        </w:rPr>
        <w:tab/>
        <w:t>Bar No. 012507</w:t>
      </w:r>
    </w:p>
    <w:p w14:paraId="1D8528B4" w14:textId="77777777" w:rsidR="00A00E0C" w:rsidRPr="00A00E0C" w:rsidRDefault="00A00E0C" w:rsidP="00A00E0C">
      <w:pPr>
        <w:widowControl/>
        <w:tabs>
          <w:tab w:val="left" w:pos="5040"/>
        </w:tabs>
        <w:jc w:val="both"/>
        <w:rPr>
          <w:rFonts w:ascii="Times New Roman" w:hAnsi="Times New Roman"/>
          <w:sz w:val="28"/>
          <w:szCs w:val="28"/>
        </w:rPr>
      </w:pPr>
      <w:proofErr w:type="spellStart"/>
      <w:r w:rsidRPr="00A00E0C">
        <w:rPr>
          <w:rFonts w:ascii="Times New Roman" w:hAnsi="Times New Roman"/>
          <w:sz w:val="28"/>
          <w:szCs w:val="28"/>
        </w:rPr>
        <w:t>Mcpa</w:t>
      </w:r>
      <w:proofErr w:type="spellEnd"/>
      <w:r w:rsidRPr="00A00E0C">
        <w:rPr>
          <w:rFonts w:ascii="Times New Roman" w:hAnsi="Times New Roman"/>
          <w:sz w:val="28"/>
          <w:szCs w:val="28"/>
        </w:rPr>
        <w:t xml:space="preserve">. </w:t>
      </w:r>
      <w:proofErr w:type="spellStart"/>
      <w:r w:rsidRPr="00A00E0C">
        <w:rPr>
          <w:rFonts w:ascii="Times New Roman" w:hAnsi="Times New Roman"/>
          <w:sz w:val="28"/>
          <w:szCs w:val="28"/>
        </w:rPr>
        <w:t>Cnty</w:t>
      </w:r>
      <w:proofErr w:type="spellEnd"/>
      <w:r w:rsidRPr="00A00E0C">
        <w:rPr>
          <w:rFonts w:ascii="Times New Roman" w:hAnsi="Times New Roman"/>
          <w:sz w:val="28"/>
          <w:szCs w:val="28"/>
        </w:rPr>
        <w:t>. Ofc. of Public Defense Svc.</w:t>
      </w:r>
      <w:r w:rsidRPr="00A00E0C">
        <w:rPr>
          <w:rFonts w:ascii="Times New Roman" w:hAnsi="Times New Roman"/>
          <w:sz w:val="28"/>
          <w:szCs w:val="28"/>
        </w:rPr>
        <w:tab/>
      </w:r>
      <w:proofErr w:type="spellStart"/>
      <w:r w:rsidRPr="00A00E0C">
        <w:rPr>
          <w:rFonts w:ascii="Times New Roman" w:hAnsi="Times New Roman"/>
          <w:sz w:val="28"/>
          <w:szCs w:val="28"/>
        </w:rPr>
        <w:t>Mcpa</w:t>
      </w:r>
      <w:proofErr w:type="spellEnd"/>
      <w:r w:rsidRPr="00A00E0C">
        <w:rPr>
          <w:rFonts w:ascii="Times New Roman" w:hAnsi="Times New Roman"/>
          <w:sz w:val="28"/>
          <w:szCs w:val="28"/>
        </w:rPr>
        <w:t xml:space="preserve">. </w:t>
      </w:r>
      <w:proofErr w:type="spellStart"/>
      <w:r w:rsidRPr="00A00E0C">
        <w:rPr>
          <w:rFonts w:ascii="Times New Roman" w:hAnsi="Times New Roman"/>
          <w:sz w:val="28"/>
          <w:szCs w:val="28"/>
        </w:rPr>
        <w:t>Cnty</w:t>
      </w:r>
      <w:proofErr w:type="spellEnd"/>
      <w:r w:rsidRPr="00A00E0C">
        <w:rPr>
          <w:rFonts w:ascii="Times New Roman" w:hAnsi="Times New Roman"/>
          <w:sz w:val="28"/>
          <w:szCs w:val="28"/>
        </w:rPr>
        <w:t>. Public Defender’s Ofc.</w:t>
      </w:r>
    </w:p>
    <w:p w14:paraId="18774C8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620 W. Jackson, Suite 3076</w:t>
      </w:r>
      <w:r w:rsidRPr="00A00E0C">
        <w:rPr>
          <w:rFonts w:ascii="Times New Roman" w:hAnsi="Times New Roman"/>
          <w:sz w:val="28"/>
          <w:szCs w:val="28"/>
        </w:rPr>
        <w:tab/>
        <w:t>620 W. Jackson, Suite 4015</w:t>
      </w:r>
    </w:p>
    <w:p w14:paraId="33C0517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85003</w:t>
      </w:r>
      <w:r w:rsidRPr="00A00E0C">
        <w:rPr>
          <w:rFonts w:ascii="Times New Roman" w:hAnsi="Times New Roman"/>
          <w:sz w:val="28"/>
          <w:szCs w:val="28"/>
        </w:rPr>
        <w:tab/>
        <w:t>Phoenix, AZ 85003</w:t>
      </w:r>
    </w:p>
    <w:p w14:paraId="7401AAA0"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506-7228</w:t>
      </w:r>
      <w:r w:rsidRPr="00A00E0C">
        <w:rPr>
          <w:rFonts w:ascii="Times New Roman" w:hAnsi="Times New Roman"/>
          <w:sz w:val="28"/>
          <w:szCs w:val="28"/>
        </w:rPr>
        <w:tab/>
        <w:t>(602) 506-7711</w:t>
      </w:r>
    </w:p>
    <w:p w14:paraId="7EFBB402" w14:textId="77777777" w:rsidR="00A00E0C" w:rsidRPr="00A00E0C" w:rsidRDefault="00000000" w:rsidP="00A00E0C">
      <w:pPr>
        <w:widowControl/>
        <w:tabs>
          <w:tab w:val="left" w:pos="5040"/>
        </w:tabs>
        <w:jc w:val="both"/>
        <w:rPr>
          <w:rFonts w:ascii="Times New Roman" w:hAnsi="Times New Roman"/>
          <w:sz w:val="28"/>
          <w:szCs w:val="28"/>
        </w:rPr>
      </w:pPr>
      <w:hyperlink r:id="rId8" w:history="1">
        <w:r w:rsidR="00A00E0C" w:rsidRPr="00A00E0C">
          <w:rPr>
            <w:rStyle w:val="Hyperlink"/>
            <w:rFonts w:ascii="Times New Roman" w:hAnsi="Times New Roman"/>
            <w:sz w:val="28"/>
            <w:szCs w:val="28"/>
          </w:rPr>
          <w:t>Rosemarie.Pena-Lynch@maricopa.gov</w:t>
        </w:r>
      </w:hyperlink>
      <w:r w:rsidR="00A00E0C" w:rsidRPr="00A00E0C">
        <w:rPr>
          <w:rFonts w:ascii="Times New Roman" w:hAnsi="Times New Roman"/>
          <w:sz w:val="28"/>
          <w:szCs w:val="28"/>
        </w:rPr>
        <w:tab/>
      </w:r>
      <w:hyperlink r:id="rId9" w:history="1">
        <w:r w:rsidR="00A00E0C" w:rsidRPr="00A00E0C">
          <w:rPr>
            <w:rStyle w:val="Hyperlink"/>
            <w:rFonts w:ascii="Times New Roman" w:hAnsi="Times New Roman"/>
            <w:sz w:val="28"/>
            <w:szCs w:val="28"/>
          </w:rPr>
          <w:t>Gary.Kula@maricopa.gov</w:t>
        </w:r>
      </w:hyperlink>
    </w:p>
    <w:p w14:paraId="1935A28C" w14:textId="77777777" w:rsidR="00A00E0C" w:rsidRPr="00A00E0C" w:rsidRDefault="00A00E0C" w:rsidP="00A00E0C">
      <w:pPr>
        <w:widowControl/>
        <w:jc w:val="both"/>
        <w:rPr>
          <w:rFonts w:ascii="Times New Roman" w:hAnsi="Times New Roman"/>
          <w:sz w:val="28"/>
          <w:szCs w:val="28"/>
        </w:rPr>
      </w:pPr>
    </w:p>
    <w:p w14:paraId="39A9850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Steve Koestner</w:t>
      </w:r>
      <w:r w:rsidRPr="00A00E0C">
        <w:rPr>
          <w:rFonts w:ascii="Times New Roman" w:hAnsi="Times New Roman"/>
          <w:sz w:val="28"/>
          <w:szCs w:val="28"/>
        </w:rPr>
        <w:tab/>
        <w:t>Shannon Burns</w:t>
      </w:r>
    </w:p>
    <w:p w14:paraId="3761A29B"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011566</w:t>
      </w:r>
      <w:r w:rsidRPr="00A00E0C">
        <w:rPr>
          <w:rFonts w:ascii="Times New Roman" w:hAnsi="Times New Roman"/>
          <w:sz w:val="28"/>
          <w:szCs w:val="28"/>
        </w:rPr>
        <w:tab/>
        <w:t>Bar No. 015976</w:t>
      </w:r>
    </w:p>
    <w:p w14:paraId="37A7E335" w14:textId="77777777" w:rsidR="00A00E0C" w:rsidRPr="00A00E0C" w:rsidRDefault="00A00E0C" w:rsidP="00A00E0C">
      <w:pPr>
        <w:widowControl/>
        <w:tabs>
          <w:tab w:val="left" w:pos="5040"/>
        </w:tabs>
        <w:jc w:val="both"/>
        <w:rPr>
          <w:rFonts w:ascii="Times New Roman" w:hAnsi="Times New Roman"/>
          <w:sz w:val="28"/>
          <w:szCs w:val="28"/>
        </w:rPr>
      </w:pPr>
      <w:proofErr w:type="spellStart"/>
      <w:r w:rsidRPr="00A00E0C">
        <w:rPr>
          <w:rFonts w:ascii="Times New Roman" w:hAnsi="Times New Roman"/>
          <w:sz w:val="28"/>
          <w:szCs w:val="28"/>
        </w:rPr>
        <w:t>Mcpa</w:t>
      </w:r>
      <w:proofErr w:type="spellEnd"/>
      <w:r w:rsidRPr="00A00E0C">
        <w:rPr>
          <w:rFonts w:ascii="Times New Roman" w:hAnsi="Times New Roman"/>
          <w:sz w:val="28"/>
          <w:szCs w:val="28"/>
        </w:rPr>
        <w:t xml:space="preserve">. </w:t>
      </w:r>
      <w:proofErr w:type="spellStart"/>
      <w:r w:rsidRPr="00A00E0C">
        <w:rPr>
          <w:rFonts w:ascii="Times New Roman" w:hAnsi="Times New Roman"/>
          <w:sz w:val="28"/>
          <w:szCs w:val="28"/>
        </w:rPr>
        <w:t>Cnty</w:t>
      </w:r>
      <w:proofErr w:type="spellEnd"/>
      <w:r w:rsidRPr="00A00E0C">
        <w:rPr>
          <w:rFonts w:ascii="Times New Roman" w:hAnsi="Times New Roman"/>
          <w:sz w:val="28"/>
          <w:szCs w:val="28"/>
        </w:rPr>
        <w:t>. Ofc. of Legal Advocate</w:t>
      </w:r>
      <w:r w:rsidRPr="00A00E0C">
        <w:rPr>
          <w:rFonts w:ascii="Times New Roman" w:hAnsi="Times New Roman"/>
          <w:sz w:val="28"/>
          <w:szCs w:val="28"/>
        </w:rPr>
        <w:tab/>
      </w:r>
      <w:proofErr w:type="spellStart"/>
      <w:r w:rsidRPr="00A00E0C">
        <w:rPr>
          <w:rFonts w:ascii="Times New Roman" w:hAnsi="Times New Roman"/>
          <w:sz w:val="28"/>
          <w:szCs w:val="28"/>
        </w:rPr>
        <w:t>Mcpa</w:t>
      </w:r>
      <w:proofErr w:type="spellEnd"/>
      <w:r w:rsidRPr="00A00E0C">
        <w:rPr>
          <w:rFonts w:ascii="Times New Roman" w:hAnsi="Times New Roman"/>
          <w:sz w:val="28"/>
          <w:szCs w:val="28"/>
        </w:rPr>
        <w:t xml:space="preserve">. </w:t>
      </w:r>
      <w:proofErr w:type="spellStart"/>
      <w:r w:rsidRPr="00A00E0C">
        <w:rPr>
          <w:rFonts w:ascii="Times New Roman" w:hAnsi="Times New Roman"/>
          <w:sz w:val="28"/>
          <w:szCs w:val="28"/>
        </w:rPr>
        <w:t>Cnty</w:t>
      </w:r>
      <w:proofErr w:type="spellEnd"/>
      <w:r w:rsidRPr="00A00E0C">
        <w:rPr>
          <w:rFonts w:ascii="Times New Roman" w:hAnsi="Times New Roman"/>
          <w:sz w:val="28"/>
          <w:szCs w:val="28"/>
        </w:rPr>
        <w:t>. Ofc. of Public Advocate</w:t>
      </w:r>
    </w:p>
    <w:p w14:paraId="3EC44C5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222 N. Central, Suite 154</w:t>
      </w:r>
      <w:r w:rsidRPr="00A00E0C">
        <w:rPr>
          <w:rFonts w:ascii="Times New Roman" w:hAnsi="Times New Roman"/>
          <w:sz w:val="28"/>
          <w:szCs w:val="28"/>
        </w:rPr>
        <w:tab/>
        <w:t>106 E. Baseline Rd.</w:t>
      </w:r>
    </w:p>
    <w:p w14:paraId="0BB232A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85004</w:t>
      </w:r>
      <w:r w:rsidRPr="00A00E0C">
        <w:rPr>
          <w:rFonts w:ascii="Times New Roman" w:hAnsi="Times New Roman"/>
          <w:sz w:val="28"/>
          <w:szCs w:val="28"/>
        </w:rPr>
        <w:tab/>
        <w:t>Mesa, AZ 85210</w:t>
      </w:r>
    </w:p>
    <w:p w14:paraId="4E4ED4B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506-4111</w:t>
      </w:r>
      <w:r w:rsidRPr="00A00E0C">
        <w:rPr>
          <w:rFonts w:ascii="Times New Roman" w:hAnsi="Times New Roman"/>
          <w:sz w:val="28"/>
          <w:szCs w:val="28"/>
        </w:rPr>
        <w:tab/>
        <w:t>(602) 372-2815</w:t>
      </w:r>
    </w:p>
    <w:p w14:paraId="414431D9" w14:textId="77777777" w:rsidR="00A00E0C" w:rsidRPr="00A00E0C" w:rsidRDefault="00000000" w:rsidP="00A00E0C">
      <w:pPr>
        <w:widowControl/>
        <w:tabs>
          <w:tab w:val="left" w:pos="5040"/>
        </w:tabs>
        <w:jc w:val="both"/>
        <w:rPr>
          <w:rFonts w:ascii="Times New Roman" w:hAnsi="Times New Roman"/>
          <w:sz w:val="28"/>
          <w:szCs w:val="28"/>
        </w:rPr>
      </w:pPr>
      <w:hyperlink r:id="rId10" w:history="1">
        <w:r w:rsidR="00A00E0C" w:rsidRPr="00A00E0C">
          <w:rPr>
            <w:rStyle w:val="Hyperlink"/>
            <w:rFonts w:ascii="Times New Roman" w:hAnsi="Times New Roman"/>
            <w:sz w:val="28"/>
            <w:szCs w:val="28"/>
          </w:rPr>
          <w:t>Steve.Koestner@maricopa.gov</w:t>
        </w:r>
      </w:hyperlink>
      <w:r w:rsidR="00A00E0C" w:rsidRPr="00A00E0C">
        <w:rPr>
          <w:rFonts w:ascii="Times New Roman" w:hAnsi="Times New Roman"/>
          <w:sz w:val="28"/>
          <w:szCs w:val="28"/>
        </w:rPr>
        <w:tab/>
      </w:r>
      <w:hyperlink r:id="rId11" w:history="1">
        <w:r w:rsidR="00A00E0C" w:rsidRPr="00A00E0C">
          <w:rPr>
            <w:rStyle w:val="Hyperlink"/>
            <w:rFonts w:ascii="Times New Roman" w:hAnsi="Times New Roman"/>
            <w:sz w:val="28"/>
            <w:szCs w:val="28"/>
          </w:rPr>
          <w:t>Shannon.Burns@maricopa.gov</w:t>
        </w:r>
      </w:hyperlink>
      <w:r w:rsidR="00A00E0C" w:rsidRPr="00A00E0C">
        <w:rPr>
          <w:rFonts w:ascii="Times New Roman" w:hAnsi="Times New Roman"/>
          <w:sz w:val="28"/>
          <w:szCs w:val="28"/>
        </w:rPr>
        <w:t xml:space="preserve"> </w:t>
      </w:r>
    </w:p>
    <w:p w14:paraId="70392DD7" w14:textId="77777777" w:rsidR="00A00E0C" w:rsidRPr="00A00E0C" w:rsidRDefault="00A00E0C" w:rsidP="00A00E0C">
      <w:pPr>
        <w:widowControl/>
        <w:jc w:val="both"/>
        <w:rPr>
          <w:rFonts w:ascii="Times New Roman" w:hAnsi="Times New Roman"/>
          <w:sz w:val="28"/>
          <w:szCs w:val="28"/>
        </w:rPr>
      </w:pPr>
    </w:p>
    <w:p w14:paraId="5CA09368"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Sherri McGuire Lawson</w:t>
      </w:r>
    </w:p>
    <w:p w14:paraId="1743D1D4"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Bar No. 013605</w:t>
      </w:r>
    </w:p>
    <w:p w14:paraId="1FD56BB6" w14:textId="77777777" w:rsidR="00A00E0C" w:rsidRPr="00A00E0C" w:rsidRDefault="00A00E0C" w:rsidP="00A00E0C">
      <w:pPr>
        <w:widowControl/>
        <w:jc w:val="both"/>
        <w:rPr>
          <w:rFonts w:ascii="Times New Roman" w:hAnsi="Times New Roman"/>
          <w:sz w:val="28"/>
          <w:szCs w:val="28"/>
        </w:rPr>
      </w:pPr>
      <w:proofErr w:type="spellStart"/>
      <w:r w:rsidRPr="00A00E0C">
        <w:rPr>
          <w:rFonts w:ascii="Times New Roman" w:hAnsi="Times New Roman"/>
          <w:sz w:val="28"/>
          <w:szCs w:val="28"/>
        </w:rPr>
        <w:t>Mcpa</w:t>
      </w:r>
      <w:proofErr w:type="spellEnd"/>
      <w:r w:rsidRPr="00A00E0C">
        <w:rPr>
          <w:rFonts w:ascii="Times New Roman" w:hAnsi="Times New Roman"/>
          <w:sz w:val="28"/>
          <w:szCs w:val="28"/>
        </w:rPr>
        <w:t xml:space="preserve">. </w:t>
      </w:r>
      <w:proofErr w:type="spellStart"/>
      <w:r w:rsidRPr="00A00E0C">
        <w:rPr>
          <w:rFonts w:ascii="Times New Roman" w:hAnsi="Times New Roman"/>
          <w:sz w:val="28"/>
          <w:szCs w:val="28"/>
        </w:rPr>
        <w:t>Cnty</w:t>
      </w:r>
      <w:proofErr w:type="spellEnd"/>
      <w:r w:rsidRPr="00A00E0C">
        <w:rPr>
          <w:rFonts w:ascii="Times New Roman" w:hAnsi="Times New Roman"/>
          <w:sz w:val="28"/>
          <w:szCs w:val="28"/>
        </w:rPr>
        <w:t>. Ofc. of Legal Defender</w:t>
      </w:r>
    </w:p>
    <w:p w14:paraId="5991F9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222 N. Central, Suite 8100</w:t>
      </w:r>
    </w:p>
    <w:p w14:paraId="502597BA" w14:textId="77777777" w:rsidR="00A00E0C" w:rsidRPr="00B67F38" w:rsidRDefault="00A00E0C" w:rsidP="00A00E0C">
      <w:pPr>
        <w:widowControl/>
        <w:jc w:val="both"/>
        <w:rPr>
          <w:rFonts w:ascii="Times New Roman" w:hAnsi="Times New Roman"/>
          <w:sz w:val="28"/>
          <w:szCs w:val="28"/>
        </w:rPr>
      </w:pPr>
      <w:r w:rsidRPr="00B67F38">
        <w:rPr>
          <w:rFonts w:ascii="Times New Roman" w:hAnsi="Times New Roman"/>
          <w:sz w:val="28"/>
          <w:szCs w:val="28"/>
        </w:rPr>
        <w:t>Phoenix, AZ 85004</w:t>
      </w:r>
    </w:p>
    <w:p w14:paraId="4D3AA7E4" w14:textId="77777777" w:rsidR="00A00E0C" w:rsidRPr="00B67F38" w:rsidRDefault="00A00E0C" w:rsidP="00A00E0C">
      <w:pPr>
        <w:widowControl/>
        <w:jc w:val="both"/>
        <w:rPr>
          <w:rFonts w:ascii="Times New Roman" w:hAnsi="Times New Roman"/>
          <w:sz w:val="28"/>
          <w:szCs w:val="28"/>
        </w:rPr>
      </w:pPr>
      <w:r>
        <w:rPr>
          <w:rFonts w:ascii="Times New Roman" w:hAnsi="Times New Roman"/>
          <w:sz w:val="28"/>
          <w:szCs w:val="28"/>
        </w:rPr>
        <w:t>(</w:t>
      </w:r>
      <w:r w:rsidRPr="00B67F38">
        <w:rPr>
          <w:rFonts w:ascii="Times New Roman" w:hAnsi="Times New Roman"/>
          <w:sz w:val="28"/>
          <w:szCs w:val="28"/>
        </w:rPr>
        <w:t>602</w:t>
      </w:r>
      <w:r>
        <w:rPr>
          <w:rFonts w:ascii="Times New Roman" w:hAnsi="Times New Roman"/>
          <w:sz w:val="28"/>
          <w:szCs w:val="28"/>
        </w:rPr>
        <w:t xml:space="preserve">) </w:t>
      </w:r>
      <w:r w:rsidRPr="00B67F38">
        <w:rPr>
          <w:rFonts w:ascii="Times New Roman" w:hAnsi="Times New Roman"/>
          <w:sz w:val="28"/>
          <w:szCs w:val="28"/>
        </w:rPr>
        <w:t>506-8800</w:t>
      </w:r>
    </w:p>
    <w:p w14:paraId="5E47B031" w14:textId="77777777" w:rsidR="00A00E0C" w:rsidRPr="00B67F38" w:rsidRDefault="00000000" w:rsidP="00A00E0C">
      <w:pPr>
        <w:widowControl/>
        <w:jc w:val="both"/>
        <w:rPr>
          <w:rFonts w:ascii="Times New Roman" w:hAnsi="Times New Roman"/>
          <w:sz w:val="28"/>
          <w:szCs w:val="28"/>
        </w:rPr>
      </w:pPr>
      <w:hyperlink r:id="rId12" w:history="1">
        <w:r w:rsidR="00A00E0C" w:rsidRPr="00B67F38">
          <w:rPr>
            <w:rStyle w:val="Hyperlink"/>
            <w:rFonts w:ascii="Times New Roman" w:hAnsi="Times New Roman"/>
            <w:sz w:val="28"/>
            <w:szCs w:val="28"/>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B67F38" w:rsidRDefault="00A00E0C" w:rsidP="00A00E0C">
      <w:pPr>
        <w:widowControl/>
        <w:jc w:val="center"/>
        <w:rPr>
          <w:rFonts w:ascii="Times New Roman" w:hAnsi="Times New Roman"/>
          <w:b/>
          <w:bCs/>
          <w:sz w:val="28"/>
          <w:szCs w:val="28"/>
        </w:rPr>
      </w:pPr>
      <w:r w:rsidRPr="00B67F38">
        <w:rPr>
          <w:rFonts w:ascii="Times New Roman" w:hAnsi="Times New Roman"/>
          <w:b/>
          <w:bCs/>
          <w:sz w:val="28"/>
          <w:szCs w:val="28"/>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C9061A" w14:paraId="7E87DE14" w14:textId="77777777" w:rsidTr="00C22D59">
        <w:tc>
          <w:tcPr>
            <w:tcW w:w="4500" w:type="dxa"/>
            <w:tcBorders>
              <w:top w:val="nil"/>
              <w:left w:val="nil"/>
              <w:bottom w:val="nil"/>
            </w:tcBorders>
          </w:tcPr>
          <w:p w14:paraId="71CE69E2" w14:textId="77777777" w:rsidR="00A00E0C" w:rsidRPr="00B67F38" w:rsidRDefault="00A00E0C" w:rsidP="00C22D59">
            <w:pPr>
              <w:widowControl/>
              <w:snapToGrid w:val="0"/>
              <w:rPr>
                <w:rFonts w:ascii="Times New Roman" w:hAnsi="Times New Roman"/>
                <w:sz w:val="28"/>
                <w:szCs w:val="28"/>
              </w:rPr>
            </w:pPr>
            <w:r w:rsidRPr="00B67F38">
              <w:rPr>
                <w:rFonts w:ascii="Times New Roman" w:hAnsi="Times New Roman"/>
                <w:sz w:val="28"/>
                <w:szCs w:val="28"/>
              </w:rPr>
              <w:t>In the matter of:</w:t>
            </w:r>
          </w:p>
          <w:p w14:paraId="16C0FEA9" w14:textId="77777777" w:rsidR="00A00E0C" w:rsidRPr="00B67F38" w:rsidRDefault="00A00E0C" w:rsidP="00C22D59">
            <w:pPr>
              <w:widowControl/>
              <w:snapToGrid w:val="0"/>
              <w:rPr>
                <w:rFonts w:ascii="Times New Roman" w:hAnsi="Times New Roman"/>
                <w:sz w:val="28"/>
                <w:szCs w:val="28"/>
              </w:rPr>
            </w:pPr>
          </w:p>
          <w:p w14:paraId="04F6611B" w14:textId="5FEC9826" w:rsidR="00A00E0C" w:rsidRPr="00B67F38" w:rsidRDefault="00BC3B34" w:rsidP="00C22D59">
            <w:pPr>
              <w:widowControl/>
              <w:rPr>
                <w:rFonts w:ascii="Times New Roman" w:hAnsi="Times New Roman"/>
                <w:sz w:val="28"/>
                <w:szCs w:val="28"/>
              </w:rPr>
            </w:pPr>
            <w:r>
              <w:rPr>
                <w:rFonts w:ascii="Times New Roman" w:hAnsi="Times New Roman"/>
                <w:sz w:val="28"/>
                <w:szCs w:val="28"/>
              </w:rPr>
              <w:t>PETITION TO AMEND RULE 611 ARIZONA RULES OF EVIDENCE</w:t>
            </w:r>
          </w:p>
        </w:tc>
        <w:tc>
          <w:tcPr>
            <w:tcW w:w="5058" w:type="dxa"/>
            <w:tcBorders>
              <w:top w:val="nil"/>
              <w:bottom w:val="nil"/>
              <w:right w:val="nil"/>
            </w:tcBorders>
          </w:tcPr>
          <w:p w14:paraId="7AF7F5C3" w14:textId="3D871E89" w:rsidR="00A00E0C" w:rsidRPr="00B67F38" w:rsidRDefault="00A00E0C" w:rsidP="00C22D59">
            <w:pPr>
              <w:widowControl/>
              <w:snapToGrid w:val="0"/>
              <w:ind w:left="137"/>
              <w:rPr>
                <w:rFonts w:ascii="Times New Roman" w:hAnsi="Times New Roman"/>
                <w:sz w:val="28"/>
                <w:szCs w:val="28"/>
              </w:rPr>
            </w:pPr>
            <w:r w:rsidRPr="00B67F38">
              <w:rPr>
                <w:rFonts w:ascii="Times New Roman" w:hAnsi="Times New Roman"/>
                <w:sz w:val="28"/>
                <w:szCs w:val="28"/>
              </w:rPr>
              <w:t>Supreme Court No. R-2</w:t>
            </w:r>
            <w:r w:rsidR="007B7F32">
              <w:rPr>
                <w:rFonts w:ascii="Times New Roman" w:hAnsi="Times New Roman"/>
                <w:sz w:val="28"/>
                <w:szCs w:val="28"/>
              </w:rPr>
              <w:t>3</w:t>
            </w:r>
            <w:r w:rsidRPr="00B67F38">
              <w:rPr>
                <w:rFonts w:ascii="Times New Roman" w:hAnsi="Times New Roman"/>
                <w:sz w:val="28"/>
                <w:szCs w:val="28"/>
              </w:rPr>
              <w:t>-</w:t>
            </w:r>
            <w:r w:rsidR="004C0EEE">
              <w:rPr>
                <w:rFonts w:ascii="Times New Roman" w:hAnsi="Times New Roman"/>
                <w:sz w:val="28"/>
                <w:szCs w:val="28"/>
              </w:rPr>
              <w:t>00</w:t>
            </w:r>
            <w:r w:rsidR="00452658">
              <w:rPr>
                <w:rFonts w:ascii="Times New Roman" w:hAnsi="Times New Roman"/>
                <w:sz w:val="28"/>
                <w:szCs w:val="28"/>
              </w:rPr>
              <w:t>25</w:t>
            </w:r>
          </w:p>
          <w:p w14:paraId="159C3972" w14:textId="77777777" w:rsidR="00A00E0C" w:rsidRPr="00B67F38" w:rsidRDefault="00A00E0C" w:rsidP="00C22D59">
            <w:pPr>
              <w:widowControl/>
              <w:snapToGrid w:val="0"/>
              <w:ind w:left="137"/>
              <w:rPr>
                <w:rFonts w:ascii="Times New Roman" w:hAnsi="Times New Roman"/>
                <w:sz w:val="28"/>
                <w:szCs w:val="28"/>
              </w:rPr>
            </w:pPr>
          </w:p>
          <w:p w14:paraId="25548AC8" w14:textId="77777777" w:rsidR="00A00E0C" w:rsidRPr="00B67F38" w:rsidRDefault="00A00E0C" w:rsidP="00C22D59">
            <w:pPr>
              <w:widowControl/>
              <w:snapToGrid w:val="0"/>
              <w:ind w:left="137"/>
              <w:rPr>
                <w:rFonts w:ascii="Times New Roman" w:hAnsi="Times New Roman"/>
                <w:sz w:val="28"/>
                <w:szCs w:val="28"/>
              </w:rPr>
            </w:pPr>
          </w:p>
          <w:p w14:paraId="375CCF42" w14:textId="413D897D" w:rsidR="00A00E0C" w:rsidRPr="00B67F38" w:rsidRDefault="00A00E0C" w:rsidP="00C22D59">
            <w:pPr>
              <w:widowControl/>
              <w:ind w:left="137"/>
              <w:rPr>
                <w:rFonts w:ascii="Times New Roman" w:hAnsi="Times New Roman"/>
                <w:spacing w:val="-3"/>
                <w:sz w:val="28"/>
                <w:szCs w:val="28"/>
                <w:lang w:val="es-ES"/>
              </w:rPr>
            </w:pPr>
            <w:r w:rsidRPr="00B67F38">
              <w:rPr>
                <w:rFonts w:ascii="Times New Roman" w:hAnsi="Times New Roman"/>
                <w:sz w:val="28"/>
                <w:szCs w:val="28"/>
              </w:rPr>
              <w:t xml:space="preserve">Joint Comment by the Directors of the Maricopa County Indigent Defense Agencies Re: </w:t>
            </w:r>
            <w:r w:rsidR="00BC3B34">
              <w:rPr>
                <w:rFonts w:ascii="Times New Roman" w:hAnsi="Times New Roman"/>
                <w:sz w:val="28"/>
                <w:szCs w:val="28"/>
              </w:rPr>
              <w:t>Petition to Amen</w:t>
            </w:r>
            <w:r w:rsidR="003858E2">
              <w:rPr>
                <w:rFonts w:ascii="Times New Roman" w:hAnsi="Times New Roman"/>
                <w:sz w:val="28"/>
                <w:szCs w:val="28"/>
              </w:rPr>
              <w:t xml:space="preserve">d Rule 611 </w:t>
            </w:r>
            <w:r w:rsidR="006D28B8">
              <w:rPr>
                <w:rFonts w:ascii="Times New Roman" w:hAnsi="Times New Roman"/>
                <w:sz w:val="28"/>
                <w:szCs w:val="28"/>
              </w:rPr>
              <w:t>Arizona Rules of Evidence</w:t>
            </w:r>
          </w:p>
        </w:tc>
      </w:tr>
      <w:tr w:rsidR="00A00E0C" w:rsidRPr="00C9061A" w14:paraId="12B4E4FE" w14:textId="77777777" w:rsidTr="00C22D59">
        <w:tc>
          <w:tcPr>
            <w:tcW w:w="4500" w:type="dxa"/>
            <w:tcBorders>
              <w:top w:val="nil"/>
              <w:left w:val="nil"/>
              <w:bottom w:val="single" w:sz="4" w:space="0" w:color="auto"/>
            </w:tcBorders>
          </w:tcPr>
          <w:p w14:paraId="3D5FB3EE" w14:textId="77777777" w:rsidR="00A00E0C" w:rsidRPr="00C9061A" w:rsidRDefault="00A00E0C" w:rsidP="00C22D59">
            <w:pPr>
              <w:widowControl/>
              <w:rPr>
                <w:rFonts w:ascii="Times New Roman" w:hAnsi="Times New Roman"/>
                <w:sz w:val="28"/>
                <w:szCs w:val="28"/>
              </w:rPr>
            </w:pPr>
          </w:p>
        </w:tc>
        <w:tc>
          <w:tcPr>
            <w:tcW w:w="5058" w:type="dxa"/>
            <w:tcBorders>
              <w:top w:val="nil"/>
              <w:bottom w:val="nil"/>
              <w:right w:val="nil"/>
            </w:tcBorders>
          </w:tcPr>
          <w:p w14:paraId="1B86854F" w14:textId="77777777" w:rsidR="00A00E0C" w:rsidRPr="00C9061A" w:rsidRDefault="00A00E0C" w:rsidP="00C22D59">
            <w:pPr>
              <w:widowControl/>
              <w:ind w:left="137"/>
              <w:rPr>
                <w:rFonts w:ascii="Times New Roman" w:hAnsi="Times New Roman"/>
                <w:sz w:val="28"/>
                <w:szCs w:val="28"/>
              </w:rPr>
            </w:pPr>
          </w:p>
        </w:tc>
      </w:tr>
    </w:tbl>
    <w:p w14:paraId="40C1AE14" w14:textId="77777777" w:rsidR="00A00E0C" w:rsidRDefault="00A00E0C" w:rsidP="00A00E0C">
      <w:pPr>
        <w:widowControl/>
        <w:jc w:val="both"/>
        <w:rPr>
          <w:rFonts w:ascii="Times New Roman" w:hAnsi="Times New Roman"/>
          <w:sz w:val="26"/>
          <w:szCs w:val="26"/>
        </w:rPr>
      </w:pPr>
    </w:p>
    <w:p w14:paraId="61400BE2" w14:textId="77777777" w:rsidR="00A00E0C" w:rsidRDefault="00A00E0C" w:rsidP="00A00E0C">
      <w:pPr>
        <w:widowControl/>
        <w:rPr>
          <w:rFonts w:ascii="Times New Roman" w:hAnsi="Times New Roman"/>
          <w:sz w:val="28"/>
          <w:szCs w:val="28"/>
        </w:rPr>
      </w:pPr>
      <w:r>
        <w:rPr>
          <w:rFonts w:ascii="Times New Roman" w:hAnsi="Times New Roman"/>
          <w:sz w:val="28"/>
          <w:szCs w:val="28"/>
        </w:rPr>
        <w:br w:type="page"/>
      </w:r>
    </w:p>
    <w:p w14:paraId="4A4A981B" w14:textId="3CA5CF0B" w:rsidR="00517872" w:rsidRDefault="00517872" w:rsidP="00C216CA">
      <w:pPr>
        <w:widowControl/>
        <w:spacing w:line="480" w:lineRule="auto"/>
        <w:ind w:firstLine="720"/>
        <w:jc w:val="both"/>
        <w:rPr>
          <w:rFonts w:ascii="Times New Roman" w:hAnsi="Times New Roman"/>
          <w:sz w:val="28"/>
          <w:szCs w:val="28"/>
        </w:rPr>
      </w:pPr>
      <w:r w:rsidRPr="00350A59">
        <w:rPr>
          <w:rFonts w:ascii="Times New Roman" w:hAnsi="Times New Roman"/>
          <w:sz w:val="28"/>
          <w:szCs w:val="28"/>
        </w:rPr>
        <w:lastRenderedPageBreak/>
        <w:t xml:space="preserve">The Maricopa County Indigent Defense Offices, which </w:t>
      </w:r>
      <w:r w:rsidR="005462C0">
        <w:rPr>
          <w:rFonts w:ascii="Times New Roman" w:hAnsi="Times New Roman"/>
          <w:sz w:val="28"/>
          <w:szCs w:val="28"/>
        </w:rPr>
        <w:t>collectively</w:t>
      </w:r>
      <w:r w:rsidRPr="00350A59">
        <w:rPr>
          <w:rFonts w:ascii="Times New Roman" w:hAnsi="Times New Roman"/>
          <w:sz w:val="28"/>
          <w:szCs w:val="28"/>
        </w:rPr>
        <w:t xml:space="preserve"> represent </w:t>
      </w:r>
      <w:r w:rsidR="005462C0">
        <w:rPr>
          <w:rFonts w:ascii="Times New Roman" w:hAnsi="Times New Roman"/>
          <w:sz w:val="28"/>
          <w:szCs w:val="28"/>
        </w:rPr>
        <w:t>most</w:t>
      </w:r>
      <w:r w:rsidRPr="00350A59">
        <w:rPr>
          <w:rFonts w:ascii="Times New Roman" w:hAnsi="Times New Roman"/>
          <w:sz w:val="28"/>
          <w:szCs w:val="28"/>
        </w:rPr>
        <w:t xml:space="preserve"> indigent individuals charged with criminal offenses in our jurisdiction, </w:t>
      </w:r>
      <w:r w:rsidR="00C216CA">
        <w:rPr>
          <w:rFonts w:ascii="Times New Roman" w:hAnsi="Times New Roman"/>
          <w:sz w:val="28"/>
          <w:szCs w:val="28"/>
        </w:rPr>
        <w:t xml:space="preserve">suggest </w:t>
      </w:r>
      <w:r w:rsidR="00A73B25">
        <w:rPr>
          <w:rFonts w:ascii="Times New Roman" w:hAnsi="Times New Roman"/>
          <w:sz w:val="28"/>
          <w:szCs w:val="28"/>
        </w:rPr>
        <w:t xml:space="preserve">four changes to the </w:t>
      </w:r>
      <w:r w:rsidR="003B26B1">
        <w:rPr>
          <w:rFonts w:ascii="Times New Roman" w:hAnsi="Times New Roman"/>
          <w:sz w:val="28"/>
          <w:szCs w:val="28"/>
        </w:rPr>
        <w:t>P</w:t>
      </w:r>
      <w:r w:rsidR="00A73B25">
        <w:rPr>
          <w:rFonts w:ascii="Times New Roman" w:hAnsi="Times New Roman"/>
          <w:sz w:val="28"/>
          <w:szCs w:val="28"/>
        </w:rPr>
        <w:t xml:space="preserve">roposed Rule 611. These </w:t>
      </w:r>
      <w:r w:rsidR="000A51DB">
        <w:rPr>
          <w:rFonts w:ascii="Times New Roman" w:hAnsi="Times New Roman"/>
          <w:sz w:val="28"/>
          <w:szCs w:val="28"/>
        </w:rPr>
        <w:t>c</w:t>
      </w:r>
      <w:r w:rsidR="008D6C96">
        <w:rPr>
          <w:rFonts w:ascii="Times New Roman" w:hAnsi="Times New Roman"/>
          <w:sz w:val="28"/>
          <w:szCs w:val="28"/>
        </w:rPr>
        <w:t xml:space="preserve">hanges </w:t>
      </w:r>
      <w:r w:rsidR="001E3CEE">
        <w:rPr>
          <w:rFonts w:ascii="Times New Roman" w:hAnsi="Times New Roman"/>
          <w:sz w:val="28"/>
          <w:szCs w:val="28"/>
        </w:rPr>
        <w:t xml:space="preserve">commit </w:t>
      </w:r>
      <w:r w:rsidR="00894494">
        <w:rPr>
          <w:rFonts w:ascii="Times New Roman" w:hAnsi="Times New Roman"/>
          <w:sz w:val="28"/>
          <w:szCs w:val="28"/>
        </w:rPr>
        <w:t xml:space="preserve">the policy goals of the proposed rule to their appropriate areas, </w:t>
      </w:r>
      <w:r w:rsidR="008D6C96">
        <w:rPr>
          <w:rFonts w:ascii="Times New Roman" w:hAnsi="Times New Roman"/>
          <w:sz w:val="28"/>
          <w:szCs w:val="28"/>
        </w:rPr>
        <w:t>establish notice</w:t>
      </w:r>
      <w:r w:rsidR="008C6A0F">
        <w:rPr>
          <w:rFonts w:ascii="Times New Roman" w:hAnsi="Times New Roman"/>
          <w:sz w:val="28"/>
          <w:szCs w:val="28"/>
        </w:rPr>
        <w:t xml:space="preserve"> </w:t>
      </w:r>
      <w:r w:rsidR="00C61B09">
        <w:rPr>
          <w:rFonts w:ascii="Times New Roman" w:hAnsi="Times New Roman"/>
          <w:sz w:val="28"/>
          <w:szCs w:val="28"/>
        </w:rPr>
        <w:t xml:space="preserve">and </w:t>
      </w:r>
      <w:r w:rsidR="00BD506B">
        <w:rPr>
          <w:rFonts w:ascii="Times New Roman" w:hAnsi="Times New Roman"/>
          <w:sz w:val="28"/>
          <w:szCs w:val="28"/>
        </w:rPr>
        <w:t xml:space="preserve">timing </w:t>
      </w:r>
      <w:r w:rsidR="00C61B09">
        <w:rPr>
          <w:rFonts w:ascii="Times New Roman" w:hAnsi="Times New Roman"/>
          <w:sz w:val="28"/>
          <w:szCs w:val="28"/>
        </w:rPr>
        <w:t>standard</w:t>
      </w:r>
      <w:r w:rsidR="008C6A0F">
        <w:rPr>
          <w:rFonts w:ascii="Times New Roman" w:hAnsi="Times New Roman"/>
          <w:sz w:val="28"/>
          <w:szCs w:val="28"/>
        </w:rPr>
        <w:t>s</w:t>
      </w:r>
      <w:r w:rsidR="00B87BCC">
        <w:rPr>
          <w:rFonts w:ascii="Times New Roman" w:hAnsi="Times New Roman"/>
          <w:sz w:val="28"/>
          <w:szCs w:val="28"/>
        </w:rPr>
        <w:t>,</w:t>
      </w:r>
      <w:r w:rsidR="00A53F33">
        <w:rPr>
          <w:rFonts w:ascii="Times New Roman" w:hAnsi="Times New Roman"/>
          <w:sz w:val="28"/>
          <w:szCs w:val="28"/>
        </w:rPr>
        <w:t xml:space="preserve"> affirm chain of custody requirements,</w:t>
      </w:r>
      <w:r w:rsidR="00B87BCC">
        <w:rPr>
          <w:rFonts w:ascii="Times New Roman" w:hAnsi="Times New Roman"/>
          <w:sz w:val="28"/>
          <w:szCs w:val="28"/>
        </w:rPr>
        <w:t xml:space="preserve"> </w:t>
      </w:r>
      <w:r w:rsidR="009A452B">
        <w:rPr>
          <w:rFonts w:ascii="Times New Roman" w:hAnsi="Times New Roman"/>
          <w:sz w:val="28"/>
          <w:szCs w:val="28"/>
        </w:rPr>
        <w:t xml:space="preserve">and </w:t>
      </w:r>
      <w:r w:rsidR="00BD506B">
        <w:rPr>
          <w:rFonts w:ascii="Times New Roman" w:hAnsi="Times New Roman"/>
          <w:sz w:val="28"/>
          <w:szCs w:val="28"/>
        </w:rPr>
        <w:t>define</w:t>
      </w:r>
      <w:r w:rsidR="00B87BCC">
        <w:rPr>
          <w:rFonts w:ascii="Times New Roman" w:hAnsi="Times New Roman"/>
          <w:sz w:val="28"/>
          <w:szCs w:val="28"/>
        </w:rPr>
        <w:t xml:space="preserve"> </w:t>
      </w:r>
      <w:r w:rsidR="0091418E">
        <w:rPr>
          <w:rFonts w:ascii="Times New Roman" w:hAnsi="Times New Roman"/>
          <w:sz w:val="28"/>
          <w:szCs w:val="28"/>
        </w:rPr>
        <w:t xml:space="preserve">the judicial role in safeguarding </w:t>
      </w:r>
      <w:r w:rsidR="00C61B09">
        <w:rPr>
          <w:rFonts w:ascii="Times New Roman" w:hAnsi="Times New Roman"/>
          <w:sz w:val="28"/>
          <w:szCs w:val="28"/>
        </w:rPr>
        <w:t>the public and evidentiary record</w:t>
      </w:r>
      <w:r w:rsidR="009A452B">
        <w:rPr>
          <w:rFonts w:ascii="Times New Roman" w:hAnsi="Times New Roman"/>
          <w:sz w:val="28"/>
          <w:szCs w:val="28"/>
        </w:rPr>
        <w:t>.</w:t>
      </w:r>
    </w:p>
    <w:p w14:paraId="2C51F37D" w14:textId="1704EE2E" w:rsidR="00942217" w:rsidRDefault="003E0AD1" w:rsidP="00834DE7">
      <w:pPr>
        <w:pStyle w:val="ListParagraph"/>
        <w:widowControl/>
        <w:numPr>
          <w:ilvl w:val="0"/>
          <w:numId w:val="3"/>
        </w:numPr>
        <w:jc w:val="both"/>
        <w:rPr>
          <w:rFonts w:ascii="Times New Roman" w:hAnsi="Times New Roman"/>
          <w:b/>
          <w:bCs/>
          <w:sz w:val="28"/>
          <w:szCs w:val="28"/>
        </w:rPr>
      </w:pPr>
      <w:r>
        <w:rPr>
          <w:rFonts w:ascii="Times New Roman" w:hAnsi="Times New Roman"/>
          <w:b/>
          <w:bCs/>
          <w:sz w:val="28"/>
          <w:szCs w:val="28"/>
        </w:rPr>
        <w:t>An administrative order is the appropriate vehicle to regulate the conduct of court personnel, while a procedural rule is appropriate</w:t>
      </w:r>
      <w:r w:rsidR="00C5643D">
        <w:rPr>
          <w:rFonts w:ascii="Times New Roman" w:hAnsi="Times New Roman"/>
          <w:b/>
          <w:bCs/>
          <w:sz w:val="28"/>
          <w:szCs w:val="28"/>
        </w:rPr>
        <w:t xml:space="preserve"> to regulate the conduct of litigants seeking court orders regarding hazardous evidenc</w:t>
      </w:r>
      <w:r w:rsidR="00631EE7">
        <w:rPr>
          <w:rFonts w:ascii="Times New Roman" w:hAnsi="Times New Roman"/>
          <w:b/>
          <w:bCs/>
          <w:sz w:val="28"/>
          <w:szCs w:val="28"/>
        </w:rPr>
        <w:t xml:space="preserve">e. </w:t>
      </w:r>
    </w:p>
    <w:p w14:paraId="39B369D1" w14:textId="7C948081" w:rsidR="00D91805" w:rsidRDefault="00D91805" w:rsidP="00D91805">
      <w:pPr>
        <w:widowControl/>
        <w:jc w:val="both"/>
        <w:rPr>
          <w:rFonts w:ascii="Times New Roman" w:hAnsi="Times New Roman"/>
          <w:b/>
          <w:bCs/>
          <w:sz w:val="28"/>
          <w:szCs w:val="28"/>
        </w:rPr>
      </w:pPr>
    </w:p>
    <w:p w14:paraId="63510140" w14:textId="146DE8D1" w:rsidR="00214C75" w:rsidRDefault="008C6903" w:rsidP="008F1268">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t>The proposed</w:t>
      </w:r>
      <w:r w:rsidR="00E607C0">
        <w:rPr>
          <w:rFonts w:ascii="Times New Roman" w:hAnsi="Times New Roman"/>
          <w:sz w:val="28"/>
          <w:szCs w:val="28"/>
        </w:rPr>
        <w:t xml:space="preserve"> Rule 611 attempts to address </w:t>
      </w:r>
      <w:r>
        <w:rPr>
          <w:rFonts w:ascii="Times New Roman" w:hAnsi="Times New Roman"/>
          <w:sz w:val="28"/>
          <w:szCs w:val="28"/>
        </w:rPr>
        <w:t>issues</w:t>
      </w:r>
      <w:r w:rsidR="0081748B">
        <w:rPr>
          <w:rFonts w:ascii="Times New Roman" w:hAnsi="Times New Roman"/>
          <w:sz w:val="28"/>
          <w:szCs w:val="28"/>
        </w:rPr>
        <w:t xml:space="preserve"> </w:t>
      </w:r>
      <w:r w:rsidR="00CF7202">
        <w:rPr>
          <w:rFonts w:ascii="Times New Roman" w:hAnsi="Times New Roman"/>
          <w:sz w:val="28"/>
          <w:szCs w:val="28"/>
        </w:rPr>
        <w:t>more appropriately</w:t>
      </w:r>
      <w:r w:rsidR="0081748B">
        <w:rPr>
          <w:rFonts w:ascii="Times New Roman" w:hAnsi="Times New Roman"/>
          <w:sz w:val="28"/>
          <w:szCs w:val="28"/>
        </w:rPr>
        <w:t xml:space="preserve"> served by</w:t>
      </w:r>
      <w:r w:rsidR="00515F62">
        <w:rPr>
          <w:rFonts w:ascii="Times New Roman" w:hAnsi="Times New Roman"/>
          <w:sz w:val="28"/>
          <w:szCs w:val="28"/>
        </w:rPr>
        <w:t xml:space="preserve"> an </w:t>
      </w:r>
      <w:r w:rsidR="00E34291">
        <w:rPr>
          <w:rFonts w:ascii="Times New Roman" w:hAnsi="Times New Roman"/>
          <w:sz w:val="28"/>
          <w:szCs w:val="28"/>
        </w:rPr>
        <w:t xml:space="preserve">administrative order accompanied by a procedural rule. </w:t>
      </w:r>
      <w:r w:rsidR="001A6A4C">
        <w:rPr>
          <w:rFonts w:ascii="Times New Roman" w:hAnsi="Times New Roman"/>
          <w:sz w:val="28"/>
          <w:szCs w:val="28"/>
        </w:rPr>
        <w:t xml:space="preserve">The </w:t>
      </w:r>
      <w:r w:rsidR="000074FB">
        <w:rPr>
          <w:rFonts w:ascii="Times New Roman" w:hAnsi="Times New Roman"/>
          <w:sz w:val="28"/>
          <w:szCs w:val="28"/>
        </w:rPr>
        <w:t xml:space="preserve">concerns and </w:t>
      </w:r>
      <w:r w:rsidR="001A6A4C">
        <w:rPr>
          <w:rFonts w:ascii="Times New Roman" w:hAnsi="Times New Roman"/>
          <w:sz w:val="28"/>
          <w:szCs w:val="28"/>
        </w:rPr>
        <w:t>policy rationales announced in Arizona Supreme Court Administrative Order 2022-62</w:t>
      </w:r>
      <w:r w:rsidR="000074FB">
        <w:rPr>
          <w:rFonts w:ascii="Times New Roman" w:hAnsi="Times New Roman"/>
          <w:sz w:val="28"/>
          <w:szCs w:val="28"/>
        </w:rPr>
        <w:t xml:space="preserve"> (“A.O. 2022-62”)</w:t>
      </w:r>
      <w:r w:rsidR="001A6A4C">
        <w:rPr>
          <w:rFonts w:ascii="Times New Roman" w:hAnsi="Times New Roman"/>
          <w:sz w:val="28"/>
          <w:szCs w:val="28"/>
        </w:rPr>
        <w:t xml:space="preserve"> and </w:t>
      </w:r>
      <w:r w:rsidR="002B1FFF">
        <w:rPr>
          <w:rFonts w:ascii="Times New Roman" w:hAnsi="Times New Roman"/>
          <w:sz w:val="28"/>
          <w:szCs w:val="28"/>
        </w:rPr>
        <w:t xml:space="preserve">the Rule </w:t>
      </w:r>
      <w:r w:rsidR="006D0FAF">
        <w:rPr>
          <w:rFonts w:ascii="Times New Roman" w:hAnsi="Times New Roman"/>
          <w:sz w:val="28"/>
          <w:szCs w:val="28"/>
        </w:rPr>
        <w:t xml:space="preserve">28 Petition to Amend Rule 611 Arizona Rules of Evidence (“Petition”) </w:t>
      </w:r>
      <w:r w:rsidR="00B442C0">
        <w:rPr>
          <w:rFonts w:ascii="Times New Roman" w:hAnsi="Times New Roman"/>
          <w:sz w:val="28"/>
          <w:szCs w:val="28"/>
        </w:rPr>
        <w:t xml:space="preserve">focus on the conduct of court personnel </w:t>
      </w:r>
      <w:r w:rsidR="00AF2028">
        <w:rPr>
          <w:rFonts w:ascii="Times New Roman" w:hAnsi="Times New Roman"/>
          <w:sz w:val="28"/>
          <w:szCs w:val="28"/>
        </w:rPr>
        <w:t xml:space="preserve">to safeguard the public and </w:t>
      </w:r>
      <w:r w:rsidR="00D01ADE">
        <w:rPr>
          <w:rFonts w:ascii="Times New Roman" w:hAnsi="Times New Roman"/>
          <w:sz w:val="28"/>
          <w:szCs w:val="28"/>
        </w:rPr>
        <w:t>uphold the integrity of the evidence.</w:t>
      </w:r>
      <w:r w:rsidR="00DE4657">
        <w:rPr>
          <w:rFonts w:ascii="Times New Roman" w:hAnsi="Times New Roman"/>
          <w:sz w:val="28"/>
          <w:szCs w:val="28"/>
        </w:rPr>
        <w:t xml:space="preserve"> </w:t>
      </w:r>
      <w:r w:rsidR="00BB66D6">
        <w:rPr>
          <w:rFonts w:ascii="Times New Roman" w:hAnsi="Times New Roman"/>
          <w:sz w:val="28"/>
          <w:szCs w:val="28"/>
        </w:rPr>
        <w:t xml:space="preserve">However, the text of the proposed Rule 611 would </w:t>
      </w:r>
      <w:r w:rsidR="00741B52">
        <w:rPr>
          <w:rFonts w:ascii="Times New Roman" w:hAnsi="Times New Roman"/>
          <w:sz w:val="28"/>
          <w:szCs w:val="28"/>
        </w:rPr>
        <w:t xml:space="preserve">regulate </w:t>
      </w:r>
      <w:r w:rsidR="00741B52">
        <w:rPr>
          <w:rFonts w:ascii="Times New Roman" w:hAnsi="Times New Roman"/>
          <w:i/>
          <w:iCs/>
          <w:sz w:val="28"/>
          <w:szCs w:val="28"/>
        </w:rPr>
        <w:t xml:space="preserve">both </w:t>
      </w:r>
      <w:r w:rsidR="00741B52">
        <w:rPr>
          <w:rFonts w:ascii="Times New Roman" w:hAnsi="Times New Roman"/>
          <w:sz w:val="28"/>
          <w:szCs w:val="28"/>
        </w:rPr>
        <w:t xml:space="preserve">the conduct of court personnel </w:t>
      </w:r>
      <w:r w:rsidR="00741B52">
        <w:rPr>
          <w:rFonts w:ascii="Times New Roman" w:hAnsi="Times New Roman"/>
          <w:i/>
          <w:iCs/>
          <w:sz w:val="28"/>
          <w:szCs w:val="28"/>
        </w:rPr>
        <w:t xml:space="preserve">and </w:t>
      </w:r>
      <w:r w:rsidR="00741B52">
        <w:rPr>
          <w:rFonts w:ascii="Times New Roman" w:hAnsi="Times New Roman"/>
          <w:sz w:val="28"/>
          <w:szCs w:val="28"/>
        </w:rPr>
        <w:t>prescribe conduct for individual litigants</w:t>
      </w:r>
      <w:r w:rsidR="00C543F7">
        <w:rPr>
          <w:rFonts w:ascii="Times New Roman" w:hAnsi="Times New Roman"/>
          <w:sz w:val="28"/>
          <w:szCs w:val="28"/>
        </w:rPr>
        <w:t xml:space="preserve"> throughout the state.</w:t>
      </w:r>
    </w:p>
    <w:p w14:paraId="6653A251" w14:textId="77777777" w:rsidR="00214C75" w:rsidRDefault="00214C75" w:rsidP="00214C75">
      <w:pPr>
        <w:pStyle w:val="ListParagraph"/>
        <w:widowControl/>
        <w:numPr>
          <w:ilvl w:val="0"/>
          <w:numId w:val="4"/>
        </w:numPr>
        <w:jc w:val="both"/>
        <w:rPr>
          <w:rFonts w:ascii="Times New Roman" w:hAnsi="Times New Roman"/>
          <w:sz w:val="28"/>
          <w:szCs w:val="28"/>
          <w:u w:val="single"/>
        </w:rPr>
      </w:pPr>
      <w:r w:rsidRPr="003B5791">
        <w:rPr>
          <w:rFonts w:ascii="Times New Roman" w:hAnsi="Times New Roman"/>
          <w:sz w:val="28"/>
          <w:szCs w:val="28"/>
          <w:u w:val="single"/>
        </w:rPr>
        <w:t xml:space="preserve">Administrative orders and procedural rules implicate separate parties and serve separate goals, calling for separate instruments to address the concerns in the Petition and A.O. 2022-62. </w:t>
      </w:r>
    </w:p>
    <w:p w14:paraId="3186F78F" w14:textId="77777777" w:rsidR="00214C75" w:rsidRPr="003B5791" w:rsidRDefault="00214C75" w:rsidP="00214C75">
      <w:pPr>
        <w:pStyle w:val="ListParagraph"/>
        <w:widowControl/>
        <w:ind w:left="1080"/>
        <w:jc w:val="both"/>
        <w:rPr>
          <w:rFonts w:ascii="Times New Roman" w:hAnsi="Times New Roman"/>
          <w:sz w:val="28"/>
          <w:szCs w:val="28"/>
          <w:u w:val="single"/>
        </w:rPr>
      </w:pPr>
    </w:p>
    <w:p w14:paraId="21D405A3" w14:textId="54BC5192" w:rsidR="00214C75" w:rsidRDefault="00214C75" w:rsidP="008F1268">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The Arizona Constitution gives the Supreme Court the power of administrative supervision over all courts of the state. Ariz. const. art. VI, § 3. This </w:t>
      </w:r>
      <w:r>
        <w:rPr>
          <w:rFonts w:ascii="Times New Roman" w:hAnsi="Times New Roman"/>
          <w:sz w:val="28"/>
          <w:szCs w:val="28"/>
        </w:rPr>
        <w:lastRenderedPageBreak/>
        <w:t xml:space="preserve">includes </w:t>
      </w:r>
      <w:r w:rsidR="0046243C">
        <w:rPr>
          <w:rFonts w:ascii="Times New Roman" w:hAnsi="Times New Roman"/>
          <w:sz w:val="28"/>
          <w:szCs w:val="28"/>
        </w:rPr>
        <w:t xml:space="preserve">promulgating administrative orders </w:t>
      </w:r>
      <w:r>
        <w:rPr>
          <w:rFonts w:ascii="Times New Roman" w:hAnsi="Times New Roman"/>
          <w:sz w:val="28"/>
          <w:szCs w:val="28"/>
        </w:rPr>
        <w:t xml:space="preserve">managing the conduct of officers of the court, including attorneys and court personnel. </w:t>
      </w:r>
      <w:r>
        <w:rPr>
          <w:rFonts w:ascii="Times New Roman" w:hAnsi="Times New Roman"/>
          <w:i/>
          <w:iCs/>
          <w:sz w:val="28"/>
          <w:szCs w:val="28"/>
        </w:rPr>
        <w:t xml:space="preserve">Goldman v. </w:t>
      </w:r>
      <w:proofErr w:type="spellStart"/>
      <w:r>
        <w:rPr>
          <w:rFonts w:ascii="Times New Roman" w:hAnsi="Times New Roman"/>
          <w:i/>
          <w:iCs/>
          <w:sz w:val="28"/>
          <w:szCs w:val="28"/>
        </w:rPr>
        <w:t>Sahl</w:t>
      </w:r>
      <w:proofErr w:type="spellEnd"/>
      <w:r>
        <w:rPr>
          <w:rFonts w:ascii="Times New Roman" w:hAnsi="Times New Roman"/>
          <w:sz w:val="28"/>
          <w:szCs w:val="28"/>
        </w:rPr>
        <w:t xml:space="preserve">, 248 Ariz. 512, 527 ¶ 49, 462 P.3d 1017, 1032 (App. 2020) (citing </w:t>
      </w:r>
      <w:r>
        <w:rPr>
          <w:rFonts w:ascii="Times New Roman" w:hAnsi="Times New Roman"/>
          <w:i/>
          <w:iCs/>
          <w:sz w:val="28"/>
          <w:szCs w:val="28"/>
        </w:rPr>
        <w:t>In re Shannon</w:t>
      </w:r>
      <w:r>
        <w:rPr>
          <w:rFonts w:ascii="Times New Roman" w:hAnsi="Times New Roman"/>
          <w:sz w:val="28"/>
          <w:szCs w:val="28"/>
        </w:rPr>
        <w:t xml:space="preserve">, 179 Ariz. 52, 76-77, 876 P.2d 548, 572-72 (1994)). </w:t>
      </w:r>
    </w:p>
    <w:p w14:paraId="2CA4DFF9" w14:textId="55B27BB4" w:rsidR="00214C75" w:rsidRDefault="00214C75" w:rsidP="008F1268">
      <w:pPr>
        <w:widowControl/>
        <w:spacing w:line="480" w:lineRule="auto"/>
        <w:ind w:firstLine="720"/>
        <w:contextualSpacing/>
        <w:jc w:val="both"/>
        <w:rPr>
          <w:rFonts w:ascii="Times New Roman" w:hAnsi="Times New Roman"/>
          <w:i/>
          <w:iCs/>
          <w:sz w:val="28"/>
          <w:szCs w:val="28"/>
        </w:rPr>
      </w:pPr>
      <w:r>
        <w:rPr>
          <w:rFonts w:ascii="Times New Roman" w:hAnsi="Times New Roman"/>
          <w:sz w:val="28"/>
          <w:szCs w:val="28"/>
        </w:rPr>
        <w:t xml:space="preserve">An administrative order embodies an internal statement of policy not directly applicable to litigants or their counsel, to provide more efficient management and disposition of cases. </w:t>
      </w:r>
      <w:r>
        <w:rPr>
          <w:rFonts w:ascii="Times New Roman" w:hAnsi="Times New Roman"/>
          <w:i/>
          <w:iCs/>
          <w:sz w:val="28"/>
          <w:szCs w:val="28"/>
        </w:rPr>
        <w:t xml:space="preserve">State ex rel. </w:t>
      </w:r>
      <w:proofErr w:type="spellStart"/>
      <w:r>
        <w:rPr>
          <w:rFonts w:ascii="Times New Roman" w:hAnsi="Times New Roman"/>
          <w:i/>
          <w:iCs/>
          <w:sz w:val="28"/>
          <w:szCs w:val="28"/>
        </w:rPr>
        <w:t>Romley</w:t>
      </w:r>
      <w:proofErr w:type="spellEnd"/>
      <w:r>
        <w:rPr>
          <w:rFonts w:ascii="Times New Roman" w:hAnsi="Times New Roman"/>
          <w:i/>
          <w:iCs/>
          <w:sz w:val="28"/>
          <w:szCs w:val="28"/>
        </w:rPr>
        <w:t xml:space="preserve"> v. Ballinger</w:t>
      </w:r>
      <w:r>
        <w:rPr>
          <w:rFonts w:ascii="Times New Roman" w:hAnsi="Times New Roman"/>
          <w:sz w:val="28"/>
          <w:szCs w:val="28"/>
        </w:rPr>
        <w:t>, 209 Ariz. 1,</w:t>
      </w:r>
      <w:r w:rsidR="000518A8">
        <w:rPr>
          <w:rFonts w:ascii="Times New Roman" w:hAnsi="Times New Roman"/>
          <w:sz w:val="28"/>
          <w:szCs w:val="28"/>
        </w:rPr>
        <w:t xml:space="preserve"> 2-3 ¶ 7,</w:t>
      </w:r>
      <w:r>
        <w:rPr>
          <w:rFonts w:ascii="Times New Roman" w:hAnsi="Times New Roman"/>
          <w:sz w:val="28"/>
          <w:szCs w:val="28"/>
        </w:rPr>
        <w:t xml:space="preserve"> 97 P.3d 101</w:t>
      </w:r>
      <w:r w:rsidR="000518A8">
        <w:rPr>
          <w:rFonts w:ascii="Times New Roman" w:hAnsi="Times New Roman"/>
          <w:sz w:val="28"/>
          <w:szCs w:val="28"/>
        </w:rPr>
        <w:t>, 102-03</w:t>
      </w:r>
      <w:r>
        <w:rPr>
          <w:rFonts w:ascii="Times New Roman" w:hAnsi="Times New Roman"/>
          <w:sz w:val="28"/>
          <w:szCs w:val="28"/>
        </w:rPr>
        <w:t xml:space="preserve"> (2004). On the other hand, a procedural rule is one that prescribes a course of conduct that litigants are required to follow, such that the failure to comply with it may deprive the parties of substantial rights. </w:t>
      </w:r>
      <w:r>
        <w:rPr>
          <w:rFonts w:ascii="Times New Roman" w:hAnsi="Times New Roman"/>
          <w:i/>
          <w:iCs/>
          <w:sz w:val="28"/>
          <w:szCs w:val="28"/>
        </w:rPr>
        <w:t xml:space="preserve">Id. </w:t>
      </w:r>
    </w:p>
    <w:p w14:paraId="643246AD" w14:textId="5E2CA992" w:rsidR="000E337B" w:rsidRDefault="00CF3D46" w:rsidP="00791942">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t>The Petition</w:t>
      </w:r>
      <w:r w:rsidR="00A05E0C">
        <w:rPr>
          <w:rFonts w:ascii="Times New Roman" w:hAnsi="Times New Roman"/>
          <w:sz w:val="28"/>
          <w:szCs w:val="28"/>
        </w:rPr>
        <w:t xml:space="preserve">’s proposed addition of section (d) to Rule 611 </w:t>
      </w:r>
      <w:r w:rsidR="0074647F">
        <w:rPr>
          <w:rFonts w:ascii="Times New Roman" w:hAnsi="Times New Roman"/>
          <w:sz w:val="28"/>
          <w:szCs w:val="28"/>
        </w:rPr>
        <w:t xml:space="preserve">regulates the conduct of court personnel insofar as it prohibits </w:t>
      </w:r>
      <w:r w:rsidR="00B62A8D">
        <w:rPr>
          <w:rFonts w:ascii="Times New Roman" w:hAnsi="Times New Roman"/>
          <w:sz w:val="28"/>
          <w:szCs w:val="28"/>
        </w:rPr>
        <w:t>hazardous evidence inside a courtroom</w:t>
      </w:r>
      <w:r w:rsidR="004B5536">
        <w:rPr>
          <w:rFonts w:ascii="Times New Roman" w:hAnsi="Times New Roman"/>
          <w:sz w:val="28"/>
          <w:szCs w:val="28"/>
        </w:rPr>
        <w:t xml:space="preserve">, and prohibits the clerk of court from accepting or retaining hazardous evidence during the pendency of a case. </w:t>
      </w:r>
      <w:r w:rsidR="00F477C0">
        <w:rPr>
          <w:rFonts w:ascii="Times New Roman" w:hAnsi="Times New Roman"/>
          <w:sz w:val="28"/>
          <w:szCs w:val="28"/>
        </w:rPr>
        <w:t xml:space="preserve">At the same time, it also regulates the conduct of individual litigants seeking to have hazardous evidence permitted inside the courtroom, </w:t>
      </w:r>
      <w:r w:rsidR="0075072A">
        <w:rPr>
          <w:rFonts w:ascii="Times New Roman" w:hAnsi="Times New Roman"/>
          <w:sz w:val="28"/>
          <w:szCs w:val="28"/>
        </w:rPr>
        <w:t xml:space="preserve">directly </w:t>
      </w:r>
      <w:r w:rsidR="00F477C0">
        <w:rPr>
          <w:rFonts w:ascii="Times New Roman" w:hAnsi="Times New Roman"/>
          <w:sz w:val="28"/>
          <w:szCs w:val="28"/>
        </w:rPr>
        <w:t>affecting the rights of the parties to litigation.</w:t>
      </w:r>
    </w:p>
    <w:p w14:paraId="62B1C0B4" w14:textId="616CBC40" w:rsidR="00840C78" w:rsidRDefault="00F05E54" w:rsidP="006E1621">
      <w:pPr>
        <w:pStyle w:val="ListParagraph"/>
        <w:widowControl/>
        <w:numPr>
          <w:ilvl w:val="0"/>
          <w:numId w:val="4"/>
        </w:numPr>
        <w:jc w:val="both"/>
        <w:rPr>
          <w:rFonts w:ascii="Times New Roman" w:hAnsi="Times New Roman"/>
          <w:sz w:val="28"/>
          <w:szCs w:val="28"/>
          <w:u w:val="single"/>
        </w:rPr>
      </w:pPr>
      <w:r w:rsidRPr="003B5791">
        <w:rPr>
          <w:rFonts w:ascii="Times New Roman" w:hAnsi="Times New Roman"/>
          <w:sz w:val="28"/>
          <w:szCs w:val="28"/>
          <w:u w:val="single"/>
        </w:rPr>
        <w:t xml:space="preserve">Both A.O. 2022-62 and the Petition </w:t>
      </w:r>
      <w:r w:rsidR="006E1621" w:rsidRPr="003B5791">
        <w:rPr>
          <w:rFonts w:ascii="Times New Roman" w:hAnsi="Times New Roman"/>
          <w:sz w:val="28"/>
          <w:szCs w:val="28"/>
          <w:u w:val="single"/>
        </w:rPr>
        <w:t>mean</w:t>
      </w:r>
      <w:r w:rsidRPr="003B5791">
        <w:rPr>
          <w:rFonts w:ascii="Times New Roman" w:hAnsi="Times New Roman"/>
          <w:sz w:val="28"/>
          <w:szCs w:val="28"/>
          <w:u w:val="single"/>
        </w:rPr>
        <w:t xml:space="preserve"> to </w:t>
      </w:r>
      <w:r w:rsidR="00A55B85" w:rsidRPr="003B5791">
        <w:rPr>
          <w:rFonts w:ascii="Times New Roman" w:hAnsi="Times New Roman"/>
          <w:sz w:val="28"/>
          <w:szCs w:val="28"/>
          <w:u w:val="single"/>
        </w:rPr>
        <w:t xml:space="preserve">develop standards of conduct </w:t>
      </w:r>
      <w:r w:rsidR="00BF613F">
        <w:rPr>
          <w:rFonts w:ascii="Times New Roman" w:hAnsi="Times New Roman"/>
          <w:sz w:val="28"/>
          <w:szCs w:val="28"/>
          <w:u w:val="single"/>
        </w:rPr>
        <w:t>for</w:t>
      </w:r>
      <w:r w:rsidR="00A55B85" w:rsidRPr="003B5791">
        <w:rPr>
          <w:rFonts w:ascii="Times New Roman" w:hAnsi="Times New Roman"/>
          <w:sz w:val="28"/>
          <w:szCs w:val="28"/>
          <w:u w:val="single"/>
        </w:rPr>
        <w:t xml:space="preserve"> court personnel</w:t>
      </w:r>
      <w:r w:rsidR="00BF613F">
        <w:rPr>
          <w:rFonts w:ascii="Times New Roman" w:hAnsi="Times New Roman"/>
          <w:sz w:val="28"/>
          <w:szCs w:val="28"/>
          <w:u w:val="single"/>
        </w:rPr>
        <w:t xml:space="preserve"> regarding hazardous evidence</w:t>
      </w:r>
      <w:r w:rsidR="0045649D">
        <w:rPr>
          <w:rFonts w:ascii="Times New Roman" w:hAnsi="Times New Roman"/>
          <w:sz w:val="28"/>
          <w:szCs w:val="28"/>
          <w:u w:val="single"/>
        </w:rPr>
        <w:t xml:space="preserve">, but the proposed Rule 611 blends </w:t>
      </w:r>
      <w:r w:rsidR="00390877">
        <w:rPr>
          <w:rFonts w:ascii="Times New Roman" w:hAnsi="Times New Roman"/>
          <w:sz w:val="28"/>
          <w:szCs w:val="28"/>
          <w:u w:val="single"/>
        </w:rPr>
        <w:t>those standards with setting procedural rules for litigants, which</w:t>
      </w:r>
      <w:r w:rsidR="002C1A56">
        <w:rPr>
          <w:rFonts w:ascii="Times New Roman" w:hAnsi="Times New Roman"/>
          <w:sz w:val="28"/>
          <w:szCs w:val="28"/>
          <w:u w:val="single"/>
        </w:rPr>
        <w:t xml:space="preserve"> should be bifurcated or clarified. </w:t>
      </w:r>
    </w:p>
    <w:p w14:paraId="41CFDBAC" w14:textId="77777777" w:rsidR="000E337B" w:rsidRDefault="000E337B" w:rsidP="000E337B">
      <w:pPr>
        <w:pStyle w:val="ListParagraph"/>
        <w:widowControl/>
        <w:ind w:left="1080"/>
        <w:jc w:val="both"/>
        <w:rPr>
          <w:rFonts w:ascii="Times New Roman" w:hAnsi="Times New Roman"/>
          <w:sz w:val="28"/>
          <w:szCs w:val="28"/>
          <w:u w:val="single"/>
        </w:rPr>
      </w:pPr>
    </w:p>
    <w:p w14:paraId="10672D27" w14:textId="46B0B876" w:rsidR="00233D78" w:rsidRDefault="00742CE3" w:rsidP="008F1268">
      <w:pPr>
        <w:widowControl/>
        <w:spacing w:line="480" w:lineRule="auto"/>
        <w:ind w:firstLine="720"/>
        <w:contextualSpacing/>
        <w:jc w:val="both"/>
        <w:rPr>
          <w:rFonts w:ascii="Times New Roman" w:hAnsi="Times New Roman"/>
          <w:sz w:val="28"/>
          <w:szCs w:val="28"/>
        </w:rPr>
      </w:pPr>
      <w:r w:rsidRPr="0086624F">
        <w:rPr>
          <w:rFonts w:ascii="Times New Roman" w:hAnsi="Times New Roman"/>
          <w:sz w:val="28"/>
          <w:szCs w:val="28"/>
        </w:rPr>
        <w:t xml:space="preserve">The Arizona Supreme Court promulgated A.O. 2022-62 </w:t>
      </w:r>
      <w:r w:rsidR="00BA7B27" w:rsidRPr="0086624F">
        <w:rPr>
          <w:rFonts w:ascii="Times New Roman" w:hAnsi="Times New Roman"/>
          <w:sz w:val="28"/>
          <w:szCs w:val="28"/>
        </w:rPr>
        <w:t xml:space="preserve">in June of 2022 to create the Task Force to Create Guidelines for the Handling of Fentanyl Evidence </w:t>
      </w:r>
      <w:r w:rsidR="00BA7B27" w:rsidRPr="0086624F">
        <w:rPr>
          <w:rFonts w:ascii="Times New Roman" w:hAnsi="Times New Roman"/>
          <w:sz w:val="28"/>
          <w:szCs w:val="28"/>
        </w:rPr>
        <w:lastRenderedPageBreak/>
        <w:t>and Other Toxic Evidence in the Court House (“</w:t>
      </w:r>
      <w:r w:rsidR="0086624F" w:rsidRPr="0086624F">
        <w:rPr>
          <w:rFonts w:ascii="Times New Roman" w:hAnsi="Times New Roman"/>
          <w:sz w:val="28"/>
          <w:szCs w:val="28"/>
        </w:rPr>
        <w:t xml:space="preserve">Task Force”). </w:t>
      </w:r>
      <w:r w:rsidR="005E0683">
        <w:rPr>
          <w:rFonts w:ascii="Times New Roman" w:hAnsi="Times New Roman"/>
          <w:sz w:val="28"/>
          <w:szCs w:val="28"/>
        </w:rPr>
        <w:t xml:space="preserve">Citing “little guidance </w:t>
      </w:r>
      <w:r w:rsidR="002637D5">
        <w:rPr>
          <w:rFonts w:ascii="Times New Roman" w:hAnsi="Times New Roman"/>
          <w:sz w:val="28"/>
          <w:szCs w:val="28"/>
        </w:rPr>
        <w:t xml:space="preserve">[…] issued for court personnel who may have to handle packaged evidence of fentanyl, </w:t>
      </w:r>
      <w:proofErr w:type="spellStart"/>
      <w:r w:rsidR="002637D5">
        <w:rPr>
          <w:rFonts w:ascii="Times New Roman" w:hAnsi="Times New Roman"/>
          <w:sz w:val="28"/>
          <w:szCs w:val="28"/>
        </w:rPr>
        <w:t>carfentanil</w:t>
      </w:r>
      <w:proofErr w:type="spellEnd"/>
      <w:r w:rsidR="002637D5">
        <w:rPr>
          <w:rFonts w:ascii="Times New Roman" w:hAnsi="Times New Roman"/>
          <w:sz w:val="28"/>
          <w:szCs w:val="28"/>
        </w:rPr>
        <w:t xml:space="preserve">, their analogs, and other toxic </w:t>
      </w:r>
      <w:r w:rsidR="001E2477">
        <w:rPr>
          <w:rFonts w:ascii="Times New Roman" w:hAnsi="Times New Roman"/>
          <w:sz w:val="28"/>
          <w:szCs w:val="28"/>
        </w:rPr>
        <w:t xml:space="preserve">evidence,” A.O. 2022-62 </w:t>
      </w:r>
      <w:r w:rsidR="00945A39">
        <w:rPr>
          <w:rFonts w:ascii="Times New Roman" w:hAnsi="Times New Roman"/>
          <w:sz w:val="28"/>
          <w:szCs w:val="28"/>
        </w:rPr>
        <w:t xml:space="preserve">directed the task force to develop guidelines </w:t>
      </w:r>
      <w:r w:rsidR="0004452F">
        <w:rPr>
          <w:rFonts w:ascii="Times New Roman" w:hAnsi="Times New Roman"/>
          <w:sz w:val="28"/>
          <w:szCs w:val="28"/>
        </w:rPr>
        <w:t xml:space="preserve">for handling such substances when they are presented as evidence in judicial proceedings. </w:t>
      </w:r>
      <w:r w:rsidR="00233D78">
        <w:rPr>
          <w:rFonts w:ascii="Times New Roman" w:hAnsi="Times New Roman"/>
          <w:sz w:val="28"/>
          <w:szCs w:val="28"/>
        </w:rPr>
        <w:t xml:space="preserve">To this end, A.O. 2022-62 presented a list of policy </w:t>
      </w:r>
      <w:r w:rsidR="002A7522">
        <w:rPr>
          <w:rFonts w:ascii="Times New Roman" w:hAnsi="Times New Roman"/>
          <w:sz w:val="28"/>
          <w:szCs w:val="28"/>
        </w:rPr>
        <w:t xml:space="preserve">issues for </w:t>
      </w:r>
      <w:r w:rsidR="00233D78">
        <w:rPr>
          <w:rFonts w:ascii="Times New Roman" w:hAnsi="Times New Roman"/>
          <w:sz w:val="28"/>
          <w:szCs w:val="28"/>
        </w:rPr>
        <w:t>the Task Force</w:t>
      </w:r>
      <w:r w:rsidR="002A7522">
        <w:rPr>
          <w:rFonts w:ascii="Times New Roman" w:hAnsi="Times New Roman"/>
          <w:sz w:val="28"/>
          <w:szCs w:val="28"/>
        </w:rPr>
        <w:t xml:space="preserve"> to address</w:t>
      </w:r>
      <w:r w:rsidR="00233D78">
        <w:rPr>
          <w:rFonts w:ascii="Times New Roman" w:hAnsi="Times New Roman"/>
          <w:sz w:val="28"/>
          <w:szCs w:val="28"/>
        </w:rPr>
        <w:t xml:space="preserve">: </w:t>
      </w:r>
    </w:p>
    <w:p w14:paraId="5282D6D1" w14:textId="5C0A7F28" w:rsidR="00233D78" w:rsidRDefault="00E310DA" w:rsidP="00233D78">
      <w:pPr>
        <w:pStyle w:val="ListParagraph"/>
        <w:widowControl/>
        <w:numPr>
          <w:ilvl w:val="0"/>
          <w:numId w:val="5"/>
        </w:numPr>
        <w:jc w:val="both"/>
        <w:rPr>
          <w:rFonts w:ascii="Times New Roman" w:hAnsi="Times New Roman"/>
          <w:sz w:val="28"/>
          <w:szCs w:val="28"/>
        </w:rPr>
      </w:pPr>
      <w:r>
        <w:rPr>
          <w:rFonts w:ascii="Times New Roman" w:hAnsi="Times New Roman"/>
          <w:sz w:val="28"/>
          <w:szCs w:val="28"/>
        </w:rPr>
        <w:t xml:space="preserve">Whether </w:t>
      </w:r>
      <w:r w:rsidR="007E4FF2">
        <w:rPr>
          <w:rFonts w:ascii="Times New Roman" w:hAnsi="Times New Roman"/>
          <w:sz w:val="28"/>
          <w:szCs w:val="28"/>
        </w:rPr>
        <w:t xml:space="preserve">court personnel should inspect and approve </w:t>
      </w:r>
      <w:r w:rsidR="00BC7DC5">
        <w:rPr>
          <w:rFonts w:ascii="Times New Roman" w:hAnsi="Times New Roman"/>
          <w:sz w:val="28"/>
          <w:szCs w:val="28"/>
        </w:rPr>
        <w:t>hazardous substances</w:t>
      </w:r>
      <w:r w:rsidR="007E4FF2">
        <w:rPr>
          <w:rFonts w:ascii="Times New Roman" w:hAnsi="Times New Roman"/>
          <w:sz w:val="28"/>
          <w:szCs w:val="28"/>
        </w:rPr>
        <w:t xml:space="preserve"> before being allowed into a courthouse;</w:t>
      </w:r>
    </w:p>
    <w:p w14:paraId="329D2A0B" w14:textId="7790675B" w:rsidR="007E4FF2" w:rsidRDefault="007E4FF2" w:rsidP="00233D78">
      <w:pPr>
        <w:pStyle w:val="ListParagraph"/>
        <w:widowControl/>
        <w:numPr>
          <w:ilvl w:val="0"/>
          <w:numId w:val="5"/>
        </w:numPr>
        <w:jc w:val="both"/>
        <w:rPr>
          <w:rFonts w:ascii="Times New Roman" w:hAnsi="Times New Roman"/>
          <w:sz w:val="28"/>
          <w:szCs w:val="28"/>
        </w:rPr>
      </w:pPr>
      <w:r>
        <w:rPr>
          <w:rFonts w:ascii="Times New Roman" w:hAnsi="Times New Roman"/>
          <w:sz w:val="28"/>
          <w:szCs w:val="28"/>
        </w:rPr>
        <w:t xml:space="preserve">Whether </w:t>
      </w:r>
      <w:r w:rsidR="00BC7DC5">
        <w:rPr>
          <w:rFonts w:ascii="Times New Roman" w:hAnsi="Times New Roman"/>
          <w:sz w:val="28"/>
          <w:szCs w:val="28"/>
        </w:rPr>
        <w:t>law enforcement should retain exclusive possession of</w:t>
      </w:r>
      <w:r w:rsidR="00D80003">
        <w:rPr>
          <w:rFonts w:ascii="Times New Roman" w:hAnsi="Times New Roman"/>
          <w:sz w:val="28"/>
          <w:szCs w:val="28"/>
        </w:rPr>
        <w:t xml:space="preserve"> packaged</w:t>
      </w:r>
      <w:r w:rsidR="00BC7DC5">
        <w:rPr>
          <w:rFonts w:ascii="Times New Roman" w:hAnsi="Times New Roman"/>
          <w:sz w:val="28"/>
          <w:szCs w:val="28"/>
        </w:rPr>
        <w:t xml:space="preserve"> hazardous substances, </w:t>
      </w:r>
      <w:r w:rsidR="002A7522">
        <w:rPr>
          <w:rFonts w:ascii="Times New Roman" w:hAnsi="Times New Roman"/>
          <w:sz w:val="28"/>
          <w:szCs w:val="28"/>
        </w:rPr>
        <w:t>and whether they could be handled by court personnel, attorneys, witnesses, court clerks, and jurors;</w:t>
      </w:r>
    </w:p>
    <w:p w14:paraId="7917E469" w14:textId="504FB98F" w:rsidR="002A7522" w:rsidRDefault="002A7522" w:rsidP="00233D78">
      <w:pPr>
        <w:pStyle w:val="ListParagraph"/>
        <w:widowControl/>
        <w:numPr>
          <w:ilvl w:val="0"/>
          <w:numId w:val="5"/>
        </w:numPr>
        <w:jc w:val="both"/>
        <w:rPr>
          <w:rFonts w:ascii="Times New Roman" w:hAnsi="Times New Roman"/>
          <w:sz w:val="28"/>
          <w:szCs w:val="28"/>
        </w:rPr>
      </w:pPr>
      <w:r>
        <w:rPr>
          <w:rFonts w:ascii="Times New Roman" w:hAnsi="Times New Roman"/>
          <w:sz w:val="28"/>
          <w:szCs w:val="28"/>
        </w:rPr>
        <w:t>The protocols to be adopted for handling and packaging of hazardous substances;</w:t>
      </w:r>
    </w:p>
    <w:p w14:paraId="1D8E8C00" w14:textId="131A8F65" w:rsidR="002A7522" w:rsidRDefault="002A7522" w:rsidP="00233D78">
      <w:pPr>
        <w:pStyle w:val="ListParagraph"/>
        <w:widowControl/>
        <w:numPr>
          <w:ilvl w:val="0"/>
          <w:numId w:val="5"/>
        </w:numPr>
        <w:jc w:val="both"/>
        <w:rPr>
          <w:rFonts w:ascii="Times New Roman" w:hAnsi="Times New Roman"/>
          <w:sz w:val="28"/>
          <w:szCs w:val="28"/>
        </w:rPr>
      </w:pPr>
      <w:r>
        <w:rPr>
          <w:rFonts w:ascii="Times New Roman" w:hAnsi="Times New Roman"/>
          <w:sz w:val="28"/>
          <w:szCs w:val="28"/>
        </w:rPr>
        <w:t xml:space="preserve">Whether hazardous substances should remain in a courthouse or </w:t>
      </w:r>
      <w:r w:rsidR="006A0170">
        <w:rPr>
          <w:rFonts w:ascii="Times New Roman" w:hAnsi="Times New Roman"/>
          <w:sz w:val="28"/>
          <w:szCs w:val="28"/>
        </w:rPr>
        <w:t>a related facility, and whether policies on secure and safe storage should be established;</w:t>
      </w:r>
    </w:p>
    <w:p w14:paraId="7CFBE2F0" w14:textId="7AC5D983" w:rsidR="006A0170" w:rsidRDefault="006A0170" w:rsidP="00233D78">
      <w:pPr>
        <w:pStyle w:val="ListParagraph"/>
        <w:widowControl/>
        <w:numPr>
          <w:ilvl w:val="0"/>
          <w:numId w:val="5"/>
        </w:numPr>
        <w:jc w:val="both"/>
        <w:rPr>
          <w:rFonts w:ascii="Times New Roman" w:hAnsi="Times New Roman"/>
          <w:sz w:val="28"/>
          <w:szCs w:val="28"/>
        </w:rPr>
      </w:pPr>
      <w:r>
        <w:rPr>
          <w:rFonts w:ascii="Times New Roman" w:hAnsi="Times New Roman"/>
          <w:sz w:val="28"/>
          <w:szCs w:val="28"/>
        </w:rPr>
        <w:t xml:space="preserve">Whether courthouse personnel should be trained to address possible exposure </w:t>
      </w:r>
      <w:r w:rsidR="00515C1C">
        <w:rPr>
          <w:rFonts w:ascii="Times New Roman" w:hAnsi="Times New Roman"/>
          <w:sz w:val="28"/>
          <w:szCs w:val="28"/>
        </w:rPr>
        <w:t>to hazardous substances, and identify what training is currently available; and</w:t>
      </w:r>
    </w:p>
    <w:p w14:paraId="13367752" w14:textId="6E7615CC" w:rsidR="00515C1C" w:rsidRDefault="00515C1C" w:rsidP="00233D78">
      <w:pPr>
        <w:pStyle w:val="ListParagraph"/>
        <w:widowControl/>
        <w:numPr>
          <w:ilvl w:val="0"/>
          <w:numId w:val="5"/>
        </w:numPr>
        <w:jc w:val="both"/>
        <w:rPr>
          <w:rFonts w:ascii="Times New Roman" w:hAnsi="Times New Roman"/>
          <w:sz w:val="28"/>
          <w:szCs w:val="28"/>
        </w:rPr>
      </w:pPr>
      <w:r>
        <w:rPr>
          <w:rFonts w:ascii="Times New Roman" w:hAnsi="Times New Roman"/>
          <w:sz w:val="28"/>
          <w:szCs w:val="28"/>
        </w:rPr>
        <w:t xml:space="preserve">Whether </w:t>
      </w:r>
      <w:r w:rsidR="00A65978">
        <w:rPr>
          <w:rFonts w:ascii="Times New Roman" w:hAnsi="Times New Roman"/>
          <w:sz w:val="28"/>
          <w:szCs w:val="28"/>
        </w:rPr>
        <w:t>n</w:t>
      </w:r>
      <w:r>
        <w:rPr>
          <w:rFonts w:ascii="Times New Roman" w:hAnsi="Times New Roman"/>
          <w:sz w:val="28"/>
          <w:szCs w:val="28"/>
        </w:rPr>
        <w:t>aloxone should be kept in courthouses</w:t>
      </w:r>
      <w:r w:rsidR="00B36155">
        <w:rPr>
          <w:rFonts w:ascii="Times New Roman" w:hAnsi="Times New Roman"/>
          <w:sz w:val="28"/>
          <w:szCs w:val="28"/>
        </w:rPr>
        <w:t xml:space="preserve">, and whether court administration or security should be trained to administer </w:t>
      </w:r>
      <w:r w:rsidR="00A65978">
        <w:rPr>
          <w:rFonts w:ascii="Times New Roman" w:hAnsi="Times New Roman"/>
          <w:sz w:val="28"/>
          <w:szCs w:val="28"/>
        </w:rPr>
        <w:t>n</w:t>
      </w:r>
      <w:r w:rsidR="00B36155">
        <w:rPr>
          <w:rFonts w:ascii="Times New Roman" w:hAnsi="Times New Roman"/>
          <w:sz w:val="28"/>
          <w:szCs w:val="28"/>
        </w:rPr>
        <w:t xml:space="preserve">aloxone in the event of opioid toxicity. </w:t>
      </w:r>
    </w:p>
    <w:p w14:paraId="49DB4E5E" w14:textId="7BFCD3F2" w:rsidR="00B36155" w:rsidRDefault="00B36155" w:rsidP="00B36155">
      <w:pPr>
        <w:widowControl/>
        <w:jc w:val="both"/>
        <w:rPr>
          <w:rFonts w:ascii="Times New Roman" w:hAnsi="Times New Roman"/>
          <w:sz w:val="28"/>
          <w:szCs w:val="28"/>
        </w:rPr>
      </w:pPr>
    </w:p>
    <w:p w14:paraId="55DAA0FF" w14:textId="55277723" w:rsidR="00D820CB" w:rsidRPr="008F1268" w:rsidRDefault="00985873" w:rsidP="008F1268">
      <w:pPr>
        <w:widowControl/>
        <w:spacing w:line="480" w:lineRule="auto"/>
        <w:ind w:firstLine="720"/>
        <w:jc w:val="both"/>
        <w:rPr>
          <w:rFonts w:ascii="Times New Roman" w:hAnsi="Times New Roman"/>
          <w:sz w:val="28"/>
          <w:szCs w:val="28"/>
        </w:rPr>
      </w:pPr>
      <w:r>
        <w:rPr>
          <w:rFonts w:ascii="Times New Roman" w:hAnsi="Times New Roman"/>
          <w:sz w:val="28"/>
          <w:szCs w:val="28"/>
        </w:rPr>
        <w:t xml:space="preserve">The Petition was made in response to the </w:t>
      </w:r>
      <w:r w:rsidR="008E1D9E">
        <w:rPr>
          <w:rFonts w:ascii="Times New Roman" w:hAnsi="Times New Roman"/>
          <w:sz w:val="28"/>
          <w:szCs w:val="28"/>
        </w:rPr>
        <w:t xml:space="preserve">second question that A.O. 2022-62 posed, regarding </w:t>
      </w:r>
      <w:r w:rsidR="00E52AB6">
        <w:rPr>
          <w:rFonts w:ascii="Times New Roman" w:hAnsi="Times New Roman"/>
          <w:sz w:val="28"/>
          <w:szCs w:val="28"/>
        </w:rPr>
        <w:t>hazardous substance handling</w:t>
      </w:r>
      <w:r w:rsidR="00CC36D4">
        <w:rPr>
          <w:rFonts w:ascii="Times New Roman" w:hAnsi="Times New Roman"/>
          <w:sz w:val="28"/>
          <w:szCs w:val="28"/>
        </w:rPr>
        <w:t xml:space="preserve"> by court staff</w:t>
      </w:r>
      <w:r w:rsidR="00E52AB6">
        <w:rPr>
          <w:rFonts w:ascii="Times New Roman" w:hAnsi="Times New Roman"/>
          <w:sz w:val="28"/>
          <w:szCs w:val="28"/>
        </w:rPr>
        <w:t xml:space="preserve">. </w:t>
      </w:r>
      <w:r w:rsidR="00A34458">
        <w:rPr>
          <w:rFonts w:ascii="Times New Roman" w:hAnsi="Times New Roman"/>
          <w:sz w:val="28"/>
          <w:szCs w:val="28"/>
        </w:rPr>
        <w:t xml:space="preserve">However, the proposed Rule 611 blends </w:t>
      </w:r>
      <w:r w:rsidR="00A251A1">
        <w:rPr>
          <w:rFonts w:ascii="Times New Roman" w:hAnsi="Times New Roman"/>
          <w:sz w:val="28"/>
          <w:szCs w:val="28"/>
        </w:rPr>
        <w:t xml:space="preserve">the regulation of court personnel </w:t>
      </w:r>
      <w:r w:rsidR="005D08F7">
        <w:rPr>
          <w:rFonts w:ascii="Times New Roman" w:hAnsi="Times New Roman"/>
          <w:sz w:val="28"/>
          <w:szCs w:val="28"/>
        </w:rPr>
        <w:t xml:space="preserve">conduct that administrative orders generally </w:t>
      </w:r>
      <w:r w:rsidR="000539CC">
        <w:rPr>
          <w:rFonts w:ascii="Times New Roman" w:hAnsi="Times New Roman"/>
          <w:sz w:val="28"/>
          <w:szCs w:val="28"/>
        </w:rPr>
        <w:t xml:space="preserve">control with </w:t>
      </w:r>
      <w:r w:rsidR="0033797B">
        <w:rPr>
          <w:rFonts w:ascii="Times New Roman" w:hAnsi="Times New Roman"/>
          <w:sz w:val="28"/>
          <w:szCs w:val="28"/>
        </w:rPr>
        <w:t xml:space="preserve">the regulation of litigant conduct, generally handled by procedural rules. </w:t>
      </w:r>
      <w:r w:rsidR="00E9355F">
        <w:rPr>
          <w:rFonts w:ascii="Times New Roman" w:hAnsi="Times New Roman"/>
          <w:sz w:val="28"/>
          <w:szCs w:val="28"/>
        </w:rPr>
        <w:t>Given the separate parties regulated and different goals served by each</w:t>
      </w:r>
      <w:r w:rsidR="00386E81">
        <w:rPr>
          <w:rFonts w:ascii="Times New Roman" w:hAnsi="Times New Roman"/>
          <w:sz w:val="28"/>
          <w:szCs w:val="28"/>
        </w:rPr>
        <w:t xml:space="preserve"> type of</w:t>
      </w:r>
      <w:r w:rsidR="00E9355F">
        <w:rPr>
          <w:rFonts w:ascii="Times New Roman" w:hAnsi="Times New Roman"/>
          <w:sz w:val="28"/>
          <w:szCs w:val="28"/>
        </w:rPr>
        <w:t xml:space="preserve"> instrument, </w:t>
      </w:r>
      <w:r w:rsidR="0008380E">
        <w:rPr>
          <w:rFonts w:ascii="Times New Roman" w:hAnsi="Times New Roman"/>
          <w:sz w:val="28"/>
          <w:szCs w:val="28"/>
        </w:rPr>
        <w:t xml:space="preserve">the Court should </w:t>
      </w:r>
      <w:r w:rsidR="00BC72DF">
        <w:rPr>
          <w:rFonts w:ascii="Times New Roman" w:hAnsi="Times New Roman"/>
          <w:sz w:val="28"/>
          <w:szCs w:val="28"/>
        </w:rPr>
        <w:t>consider</w:t>
      </w:r>
      <w:r w:rsidR="00E632CA">
        <w:rPr>
          <w:rFonts w:ascii="Times New Roman" w:hAnsi="Times New Roman"/>
          <w:sz w:val="28"/>
          <w:szCs w:val="28"/>
        </w:rPr>
        <w:t xml:space="preserve"> </w:t>
      </w:r>
      <w:r w:rsidR="00E632CA">
        <w:rPr>
          <w:rFonts w:ascii="Times New Roman" w:hAnsi="Times New Roman"/>
          <w:sz w:val="28"/>
          <w:szCs w:val="28"/>
        </w:rPr>
        <w:lastRenderedPageBreak/>
        <w:t xml:space="preserve">bifurcating the standards </w:t>
      </w:r>
      <w:r w:rsidR="00BF290F">
        <w:rPr>
          <w:rFonts w:ascii="Times New Roman" w:hAnsi="Times New Roman"/>
          <w:sz w:val="28"/>
          <w:szCs w:val="28"/>
        </w:rPr>
        <w:t xml:space="preserve">into different instruments </w:t>
      </w:r>
      <w:r w:rsidR="008F0CFE">
        <w:rPr>
          <w:rFonts w:ascii="Times New Roman" w:hAnsi="Times New Roman"/>
          <w:sz w:val="28"/>
          <w:szCs w:val="28"/>
        </w:rPr>
        <w:t xml:space="preserve">insofar </w:t>
      </w:r>
      <w:r w:rsidR="00E632CA">
        <w:rPr>
          <w:rFonts w:ascii="Times New Roman" w:hAnsi="Times New Roman"/>
          <w:sz w:val="28"/>
          <w:szCs w:val="28"/>
        </w:rPr>
        <w:t>as they relate to different parties</w:t>
      </w:r>
      <w:r w:rsidR="00BF290F">
        <w:rPr>
          <w:rFonts w:ascii="Times New Roman" w:hAnsi="Times New Roman"/>
          <w:sz w:val="28"/>
          <w:szCs w:val="28"/>
        </w:rPr>
        <w:t xml:space="preserve">. Alternatively, the Court should clarify </w:t>
      </w:r>
      <w:r w:rsidR="0038754C">
        <w:rPr>
          <w:rFonts w:ascii="Times New Roman" w:hAnsi="Times New Roman"/>
          <w:sz w:val="28"/>
          <w:szCs w:val="28"/>
        </w:rPr>
        <w:t xml:space="preserve">standards </w:t>
      </w:r>
      <w:r w:rsidR="000F444D">
        <w:rPr>
          <w:rFonts w:ascii="Times New Roman" w:hAnsi="Times New Roman"/>
          <w:sz w:val="28"/>
          <w:szCs w:val="28"/>
        </w:rPr>
        <w:t xml:space="preserve">for the different parties </w:t>
      </w:r>
      <w:r w:rsidR="0038754C">
        <w:rPr>
          <w:rFonts w:ascii="Times New Roman" w:hAnsi="Times New Roman"/>
          <w:sz w:val="28"/>
          <w:szCs w:val="28"/>
        </w:rPr>
        <w:t>within a unitary Administrative Order</w:t>
      </w:r>
      <w:r w:rsidR="000F444D">
        <w:rPr>
          <w:rFonts w:ascii="Times New Roman" w:hAnsi="Times New Roman"/>
          <w:sz w:val="28"/>
          <w:szCs w:val="28"/>
        </w:rPr>
        <w:t xml:space="preserve">. </w:t>
      </w:r>
    </w:p>
    <w:p w14:paraId="46BD9759" w14:textId="7FDCC986" w:rsidR="00BB5117" w:rsidRDefault="00BD395E" w:rsidP="00834DE7">
      <w:pPr>
        <w:pStyle w:val="ListParagraph"/>
        <w:widowControl/>
        <w:numPr>
          <w:ilvl w:val="0"/>
          <w:numId w:val="3"/>
        </w:numPr>
        <w:jc w:val="both"/>
        <w:rPr>
          <w:rFonts w:ascii="Times New Roman" w:hAnsi="Times New Roman"/>
          <w:b/>
          <w:bCs/>
          <w:sz w:val="28"/>
          <w:szCs w:val="28"/>
        </w:rPr>
      </w:pPr>
      <w:r>
        <w:rPr>
          <w:rFonts w:ascii="Times New Roman" w:hAnsi="Times New Roman"/>
          <w:b/>
          <w:bCs/>
          <w:sz w:val="28"/>
          <w:szCs w:val="28"/>
        </w:rPr>
        <w:t xml:space="preserve">Amend </w:t>
      </w:r>
      <w:r w:rsidR="00BB5117" w:rsidRPr="00834DE7">
        <w:rPr>
          <w:rFonts w:ascii="Times New Roman" w:hAnsi="Times New Roman"/>
          <w:b/>
          <w:bCs/>
          <w:sz w:val="28"/>
          <w:szCs w:val="28"/>
        </w:rPr>
        <w:t xml:space="preserve">Proposed Rule 611 </w:t>
      </w:r>
      <w:r>
        <w:rPr>
          <w:rFonts w:ascii="Times New Roman" w:hAnsi="Times New Roman"/>
          <w:b/>
          <w:bCs/>
          <w:sz w:val="28"/>
          <w:szCs w:val="28"/>
        </w:rPr>
        <w:t>to</w:t>
      </w:r>
      <w:r w:rsidR="00464755" w:rsidRPr="00834DE7">
        <w:rPr>
          <w:rFonts w:ascii="Times New Roman" w:hAnsi="Times New Roman"/>
          <w:b/>
          <w:bCs/>
          <w:sz w:val="28"/>
          <w:szCs w:val="28"/>
        </w:rPr>
        <w:t xml:space="preserve"> establish</w:t>
      </w:r>
      <w:r w:rsidR="00834DE7" w:rsidRPr="00834DE7">
        <w:rPr>
          <w:rFonts w:ascii="Times New Roman" w:hAnsi="Times New Roman"/>
          <w:b/>
          <w:bCs/>
          <w:sz w:val="28"/>
          <w:szCs w:val="28"/>
        </w:rPr>
        <w:t xml:space="preserve"> standards and deadlines for notice and the opportunity to object</w:t>
      </w:r>
      <w:r w:rsidR="00C37440">
        <w:rPr>
          <w:rFonts w:ascii="Times New Roman" w:hAnsi="Times New Roman"/>
          <w:b/>
          <w:bCs/>
          <w:sz w:val="28"/>
          <w:szCs w:val="28"/>
        </w:rPr>
        <w:t>,</w:t>
      </w:r>
      <w:r w:rsidR="00FF3775">
        <w:rPr>
          <w:rFonts w:ascii="Times New Roman" w:hAnsi="Times New Roman"/>
          <w:b/>
          <w:bCs/>
          <w:sz w:val="28"/>
          <w:szCs w:val="28"/>
        </w:rPr>
        <w:t xml:space="preserve"> and affirm chain of custody requirements</w:t>
      </w:r>
      <w:r w:rsidR="00834DE7" w:rsidRPr="00834DE7">
        <w:rPr>
          <w:rFonts w:ascii="Times New Roman" w:hAnsi="Times New Roman"/>
          <w:b/>
          <w:bCs/>
          <w:sz w:val="28"/>
          <w:szCs w:val="28"/>
        </w:rPr>
        <w:t xml:space="preserve">. </w:t>
      </w:r>
    </w:p>
    <w:p w14:paraId="3E845F84" w14:textId="773E37D8" w:rsidR="0079141B" w:rsidRDefault="0079141B" w:rsidP="00A76EAD">
      <w:pPr>
        <w:widowControl/>
        <w:jc w:val="both"/>
        <w:rPr>
          <w:rFonts w:ascii="Times New Roman" w:hAnsi="Times New Roman"/>
          <w:b/>
          <w:bCs/>
          <w:sz w:val="28"/>
          <w:szCs w:val="28"/>
        </w:rPr>
      </w:pPr>
    </w:p>
    <w:p w14:paraId="6E1AE4D8" w14:textId="246273EC" w:rsidR="009361BD" w:rsidRDefault="00FF3AC8" w:rsidP="008F1268">
      <w:pPr>
        <w:widowControl/>
        <w:spacing w:line="480" w:lineRule="auto"/>
        <w:ind w:firstLine="360"/>
        <w:contextualSpacing/>
        <w:jc w:val="both"/>
        <w:rPr>
          <w:rFonts w:ascii="Times New Roman" w:hAnsi="Times New Roman"/>
          <w:sz w:val="28"/>
          <w:szCs w:val="28"/>
        </w:rPr>
      </w:pPr>
      <w:r>
        <w:rPr>
          <w:rFonts w:ascii="Times New Roman" w:hAnsi="Times New Roman"/>
          <w:sz w:val="28"/>
          <w:szCs w:val="28"/>
        </w:rPr>
        <w:t xml:space="preserve">As drafted, </w:t>
      </w:r>
      <w:r w:rsidR="00D54BD5">
        <w:rPr>
          <w:rFonts w:ascii="Times New Roman" w:hAnsi="Times New Roman"/>
          <w:sz w:val="28"/>
          <w:szCs w:val="28"/>
        </w:rPr>
        <w:t xml:space="preserve">Proposed Rule 611 does not explicitly </w:t>
      </w:r>
      <w:r w:rsidR="00926A5A">
        <w:rPr>
          <w:rFonts w:ascii="Times New Roman" w:hAnsi="Times New Roman"/>
          <w:sz w:val="28"/>
          <w:szCs w:val="28"/>
        </w:rPr>
        <w:t xml:space="preserve">determine how </w:t>
      </w:r>
      <w:r w:rsidR="00B05077">
        <w:rPr>
          <w:rFonts w:ascii="Times New Roman" w:hAnsi="Times New Roman"/>
          <w:sz w:val="28"/>
          <w:szCs w:val="28"/>
        </w:rPr>
        <w:t xml:space="preserve">the parties are provided notice and an opportunity to be heard </w:t>
      </w:r>
      <w:r w:rsidR="005A5FBC">
        <w:rPr>
          <w:rFonts w:ascii="Times New Roman" w:hAnsi="Times New Roman"/>
          <w:sz w:val="28"/>
          <w:szCs w:val="28"/>
        </w:rPr>
        <w:t xml:space="preserve">when seeking orders to have hazardous evidence permitted in the courtroom. Moreover, </w:t>
      </w:r>
      <w:r w:rsidR="00B36AB1">
        <w:rPr>
          <w:rFonts w:ascii="Times New Roman" w:hAnsi="Times New Roman"/>
          <w:sz w:val="28"/>
          <w:szCs w:val="28"/>
        </w:rPr>
        <w:t xml:space="preserve">Proposed Rule 611 does not explicitly guarantee </w:t>
      </w:r>
      <w:r w:rsidR="00D477B5">
        <w:rPr>
          <w:rFonts w:ascii="Times New Roman" w:hAnsi="Times New Roman"/>
          <w:sz w:val="28"/>
          <w:szCs w:val="28"/>
        </w:rPr>
        <w:t>chain of custody requirements for</w:t>
      </w:r>
      <w:r w:rsidR="00B36AB1">
        <w:rPr>
          <w:rFonts w:ascii="Times New Roman" w:hAnsi="Times New Roman"/>
          <w:sz w:val="28"/>
          <w:szCs w:val="28"/>
        </w:rPr>
        <w:t xml:space="preserve"> digital representations of hazardous evidenc</w:t>
      </w:r>
      <w:r w:rsidR="00D477B5">
        <w:rPr>
          <w:rFonts w:ascii="Times New Roman" w:hAnsi="Times New Roman"/>
          <w:sz w:val="28"/>
          <w:szCs w:val="28"/>
        </w:rPr>
        <w:t xml:space="preserve">e. </w:t>
      </w:r>
    </w:p>
    <w:p w14:paraId="492D23E2" w14:textId="5251457A" w:rsidR="004E5F1C" w:rsidRDefault="004E5F1C" w:rsidP="009361BD">
      <w:pPr>
        <w:pStyle w:val="ListParagraph"/>
        <w:widowControl/>
        <w:numPr>
          <w:ilvl w:val="0"/>
          <w:numId w:val="6"/>
        </w:numPr>
        <w:jc w:val="both"/>
        <w:rPr>
          <w:rFonts w:ascii="Times New Roman" w:hAnsi="Times New Roman"/>
          <w:sz w:val="28"/>
          <w:szCs w:val="28"/>
          <w:u w:val="single"/>
        </w:rPr>
      </w:pPr>
      <w:r w:rsidRPr="009361BD">
        <w:rPr>
          <w:rFonts w:ascii="Times New Roman" w:hAnsi="Times New Roman"/>
          <w:sz w:val="28"/>
          <w:szCs w:val="28"/>
          <w:u w:val="single"/>
        </w:rPr>
        <w:t xml:space="preserve">Proposed Rule 611 should be amended to </w:t>
      </w:r>
      <w:r w:rsidR="009361BD" w:rsidRPr="009361BD">
        <w:rPr>
          <w:rFonts w:ascii="Times New Roman" w:hAnsi="Times New Roman"/>
          <w:sz w:val="28"/>
          <w:szCs w:val="28"/>
          <w:u w:val="single"/>
        </w:rPr>
        <w:t>set</w:t>
      </w:r>
      <w:r w:rsidR="000F04D3" w:rsidRPr="009361BD">
        <w:rPr>
          <w:rFonts w:ascii="Times New Roman" w:hAnsi="Times New Roman"/>
          <w:sz w:val="28"/>
          <w:szCs w:val="28"/>
          <w:u w:val="single"/>
        </w:rPr>
        <w:t xml:space="preserve"> standards and deadlines for notice and opportunity to object when a party seeks orders to bring </w:t>
      </w:r>
      <w:r w:rsidR="009361BD" w:rsidRPr="009361BD">
        <w:rPr>
          <w:rFonts w:ascii="Times New Roman" w:hAnsi="Times New Roman"/>
          <w:sz w:val="28"/>
          <w:szCs w:val="28"/>
          <w:u w:val="single"/>
        </w:rPr>
        <w:t xml:space="preserve">hazardous evidence into the courtroom. </w:t>
      </w:r>
    </w:p>
    <w:p w14:paraId="46B208E8" w14:textId="56B33A0F" w:rsidR="00897E82" w:rsidRDefault="00897E82" w:rsidP="001B2E71">
      <w:pPr>
        <w:widowControl/>
        <w:ind w:left="360"/>
        <w:jc w:val="both"/>
        <w:rPr>
          <w:rFonts w:ascii="Times New Roman" w:hAnsi="Times New Roman"/>
          <w:sz w:val="28"/>
          <w:szCs w:val="28"/>
          <w:u w:val="single"/>
        </w:rPr>
      </w:pPr>
    </w:p>
    <w:p w14:paraId="34C7461D" w14:textId="2D7FA949" w:rsidR="001B2E71" w:rsidRDefault="004A6514" w:rsidP="008F1268">
      <w:pPr>
        <w:widowControl/>
        <w:spacing w:line="480" w:lineRule="auto"/>
        <w:ind w:firstLine="360"/>
        <w:contextualSpacing/>
        <w:jc w:val="both"/>
        <w:rPr>
          <w:rFonts w:ascii="Times New Roman" w:hAnsi="Times New Roman"/>
          <w:sz w:val="28"/>
          <w:szCs w:val="28"/>
        </w:rPr>
      </w:pPr>
      <w:r>
        <w:rPr>
          <w:rFonts w:ascii="Times New Roman" w:hAnsi="Times New Roman"/>
          <w:sz w:val="28"/>
          <w:szCs w:val="28"/>
        </w:rPr>
        <w:t xml:space="preserve">As drafted, Proposed Rule 611 </w:t>
      </w:r>
      <w:r w:rsidR="003B0154">
        <w:rPr>
          <w:rFonts w:ascii="Times New Roman" w:hAnsi="Times New Roman"/>
          <w:sz w:val="28"/>
          <w:szCs w:val="28"/>
        </w:rPr>
        <w:t>offers few</w:t>
      </w:r>
      <w:r w:rsidR="00BB427A">
        <w:rPr>
          <w:rFonts w:ascii="Times New Roman" w:hAnsi="Times New Roman"/>
          <w:sz w:val="28"/>
          <w:szCs w:val="28"/>
        </w:rPr>
        <w:t xml:space="preserve"> explicit standards for the timing, </w:t>
      </w:r>
      <w:r w:rsidR="00FA2B20">
        <w:rPr>
          <w:rFonts w:ascii="Times New Roman" w:hAnsi="Times New Roman"/>
          <w:sz w:val="28"/>
          <w:szCs w:val="28"/>
        </w:rPr>
        <w:t xml:space="preserve">pretrial </w:t>
      </w:r>
      <w:r w:rsidR="007D3043">
        <w:rPr>
          <w:rFonts w:ascii="Times New Roman" w:hAnsi="Times New Roman"/>
          <w:sz w:val="28"/>
          <w:szCs w:val="28"/>
        </w:rPr>
        <w:t>disclosure</w:t>
      </w:r>
      <w:r w:rsidR="00FA2B20">
        <w:rPr>
          <w:rFonts w:ascii="Times New Roman" w:hAnsi="Times New Roman"/>
          <w:sz w:val="28"/>
          <w:szCs w:val="28"/>
        </w:rPr>
        <w:t>s</w:t>
      </w:r>
      <w:r w:rsidR="007D3043">
        <w:rPr>
          <w:rFonts w:ascii="Times New Roman" w:hAnsi="Times New Roman"/>
          <w:sz w:val="28"/>
          <w:szCs w:val="28"/>
        </w:rPr>
        <w:t xml:space="preserve">, </w:t>
      </w:r>
      <w:r w:rsidR="003B0154">
        <w:rPr>
          <w:rFonts w:ascii="Times New Roman" w:hAnsi="Times New Roman"/>
          <w:sz w:val="28"/>
          <w:szCs w:val="28"/>
        </w:rPr>
        <w:t>and procedure for determining whether hazardous</w:t>
      </w:r>
      <w:r w:rsidR="00FA2B20">
        <w:rPr>
          <w:rFonts w:ascii="Times New Roman" w:hAnsi="Times New Roman"/>
          <w:sz w:val="28"/>
          <w:szCs w:val="28"/>
        </w:rPr>
        <w:t xml:space="preserve"> evidence will be allowed into the courtroom. </w:t>
      </w:r>
      <w:r w:rsidR="00DC2839">
        <w:rPr>
          <w:rFonts w:ascii="Times New Roman" w:hAnsi="Times New Roman"/>
          <w:sz w:val="28"/>
          <w:szCs w:val="28"/>
        </w:rPr>
        <w:t xml:space="preserve">Amendments </w:t>
      </w:r>
      <w:r w:rsidR="000D2F8D">
        <w:rPr>
          <w:rFonts w:ascii="Times New Roman" w:hAnsi="Times New Roman"/>
          <w:sz w:val="28"/>
          <w:szCs w:val="28"/>
        </w:rPr>
        <w:t>establishing</w:t>
      </w:r>
      <w:r w:rsidR="00281310">
        <w:rPr>
          <w:rFonts w:ascii="Times New Roman" w:hAnsi="Times New Roman"/>
          <w:sz w:val="28"/>
          <w:szCs w:val="28"/>
        </w:rPr>
        <w:t xml:space="preserve"> explicit</w:t>
      </w:r>
      <w:r w:rsidR="000D2F8D">
        <w:rPr>
          <w:rFonts w:ascii="Times New Roman" w:hAnsi="Times New Roman"/>
          <w:sz w:val="28"/>
          <w:szCs w:val="28"/>
        </w:rPr>
        <w:t xml:space="preserve"> notice requirements would </w:t>
      </w:r>
      <w:r w:rsidR="00AE2694">
        <w:rPr>
          <w:rFonts w:ascii="Times New Roman" w:hAnsi="Times New Roman"/>
          <w:sz w:val="28"/>
          <w:szCs w:val="28"/>
        </w:rPr>
        <w:t xml:space="preserve">help </w:t>
      </w:r>
      <w:r w:rsidR="00281310">
        <w:rPr>
          <w:rFonts w:ascii="Times New Roman" w:hAnsi="Times New Roman"/>
          <w:sz w:val="28"/>
          <w:szCs w:val="28"/>
        </w:rPr>
        <w:t xml:space="preserve">to </w:t>
      </w:r>
      <w:r w:rsidR="00AE2694">
        <w:rPr>
          <w:rFonts w:ascii="Times New Roman" w:hAnsi="Times New Roman"/>
          <w:sz w:val="28"/>
          <w:szCs w:val="28"/>
        </w:rPr>
        <w:t>avoid unnecessary surprise litigation shortly before trial</w:t>
      </w:r>
      <w:r w:rsidR="00AD67B1">
        <w:rPr>
          <w:rFonts w:ascii="Times New Roman" w:hAnsi="Times New Roman"/>
          <w:sz w:val="28"/>
          <w:szCs w:val="28"/>
        </w:rPr>
        <w:t xml:space="preserve">, and </w:t>
      </w:r>
      <w:r w:rsidR="00281310">
        <w:rPr>
          <w:rFonts w:ascii="Times New Roman" w:hAnsi="Times New Roman"/>
          <w:sz w:val="28"/>
          <w:szCs w:val="28"/>
        </w:rPr>
        <w:t xml:space="preserve">better </w:t>
      </w:r>
      <w:r w:rsidR="00AD67B1">
        <w:rPr>
          <w:rFonts w:ascii="Times New Roman" w:hAnsi="Times New Roman"/>
          <w:sz w:val="28"/>
          <w:szCs w:val="28"/>
        </w:rPr>
        <w:t xml:space="preserve">afford parties the ability to be heard on the issue. </w:t>
      </w:r>
    </w:p>
    <w:p w14:paraId="7909470F" w14:textId="77777777" w:rsidR="008348D2" w:rsidRDefault="00B7254A" w:rsidP="008F1268">
      <w:pPr>
        <w:widowControl/>
        <w:spacing w:line="480" w:lineRule="auto"/>
        <w:ind w:firstLine="720"/>
        <w:contextualSpacing/>
        <w:jc w:val="both"/>
        <w:rPr>
          <w:rFonts w:ascii="Times New Roman" w:hAnsi="Times New Roman"/>
          <w:snapToGrid/>
          <w:color w:val="000000"/>
          <w:sz w:val="28"/>
          <w:szCs w:val="28"/>
        </w:rPr>
      </w:pPr>
      <w:r w:rsidRPr="00837905">
        <w:rPr>
          <w:rFonts w:ascii="Times New Roman" w:hAnsi="Times New Roman"/>
          <w:sz w:val="28"/>
          <w:szCs w:val="28"/>
        </w:rPr>
        <w:t>“</w:t>
      </w:r>
      <w:r w:rsidRPr="00837905">
        <w:rPr>
          <w:rFonts w:ascii="Times New Roman" w:hAnsi="Times New Roman"/>
          <w:snapToGrid/>
          <w:color w:val="000000"/>
          <w:sz w:val="28"/>
          <w:szCs w:val="28"/>
          <w:shd w:val="clear" w:color="auto" w:fill="FFFFFF"/>
        </w:rPr>
        <w:t>An essential principle of due process is that a deprivation of life, liberty, or property ‘</w:t>
      </w:r>
      <w:r w:rsidRPr="00B7254A">
        <w:rPr>
          <w:rFonts w:ascii="Times New Roman" w:hAnsi="Times New Roman"/>
          <w:snapToGrid/>
          <w:color w:val="000000"/>
          <w:sz w:val="28"/>
          <w:szCs w:val="28"/>
          <w:shd w:val="clear" w:color="auto" w:fill="FFFFFF"/>
        </w:rPr>
        <w:t>be preceded</w:t>
      </w:r>
      <w:r w:rsidRPr="00837905">
        <w:rPr>
          <w:rFonts w:ascii="Times New Roman" w:hAnsi="Times New Roman"/>
          <w:snapToGrid/>
          <w:color w:val="000000"/>
          <w:sz w:val="28"/>
          <w:szCs w:val="28"/>
          <w:shd w:val="clear" w:color="auto" w:fill="FFFFFF"/>
        </w:rPr>
        <w:t xml:space="preserve"> by notice and opportunity for hearing appropriate to the nature </w:t>
      </w:r>
      <w:r w:rsidRPr="00837905">
        <w:rPr>
          <w:rFonts w:ascii="Times New Roman" w:hAnsi="Times New Roman"/>
          <w:snapToGrid/>
          <w:color w:val="000000"/>
          <w:sz w:val="28"/>
          <w:szCs w:val="28"/>
          <w:shd w:val="clear" w:color="auto" w:fill="FFFFFF"/>
        </w:rPr>
        <w:lastRenderedPageBreak/>
        <w:t xml:space="preserve">of the case.’” </w:t>
      </w:r>
      <w:r w:rsidRPr="00ED089C">
        <w:rPr>
          <w:rFonts w:ascii="Times New Roman" w:hAnsi="Times New Roman"/>
          <w:i/>
          <w:iCs/>
          <w:snapToGrid/>
          <w:color w:val="000000"/>
          <w:sz w:val="28"/>
          <w:szCs w:val="28"/>
          <w:bdr w:val="none" w:sz="0" w:space="0" w:color="auto" w:frame="1"/>
        </w:rPr>
        <w:t xml:space="preserve">Cleveland Bd. of Educ. v. </w:t>
      </w:r>
      <w:proofErr w:type="spellStart"/>
      <w:r w:rsidRPr="00ED089C">
        <w:rPr>
          <w:rFonts w:ascii="Times New Roman" w:hAnsi="Times New Roman"/>
          <w:i/>
          <w:iCs/>
          <w:snapToGrid/>
          <w:color w:val="000000"/>
          <w:sz w:val="28"/>
          <w:szCs w:val="28"/>
          <w:bdr w:val="none" w:sz="0" w:space="0" w:color="auto" w:frame="1"/>
        </w:rPr>
        <w:t>Loudermill</w:t>
      </w:r>
      <w:proofErr w:type="spellEnd"/>
      <w:r w:rsidRPr="00ED089C">
        <w:rPr>
          <w:rFonts w:ascii="Times New Roman" w:hAnsi="Times New Roman"/>
          <w:snapToGrid/>
          <w:color w:val="000000"/>
          <w:sz w:val="28"/>
          <w:szCs w:val="28"/>
        </w:rPr>
        <w:t>, 470 U.S. 532, 542 (1985)</w:t>
      </w:r>
      <w:r w:rsidRPr="00837905">
        <w:rPr>
          <w:rFonts w:ascii="Times New Roman" w:hAnsi="Times New Roman"/>
          <w:snapToGrid/>
          <w:color w:val="000000"/>
          <w:sz w:val="28"/>
          <w:szCs w:val="28"/>
        </w:rPr>
        <w:t xml:space="preserve"> (quoting </w:t>
      </w:r>
      <w:r w:rsidRPr="00837905">
        <w:rPr>
          <w:rFonts w:ascii="Times New Roman" w:hAnsi="Times New Roman"/>
          <w:i/>
          <w:iCs/>
          <w:snapToGrid/>
          <w:color w:val="000000"/>
          <w:sz w:val="28"/>
          <w:szCs w:val="28"/>
        </w:rPr>
        <w:t>Mullane v. Central Hanover Bank &amp; Trust Co.</w:t>
      </w:r>
      <w:r w:rsidRPr="00C05810">
        <w:rPr>
          <w:rFonts w:ascii="Times New Roman" w:hAnsi="Times New Roman"/>
          <w:snapToGrid/>
          <w:color w:val="000000"/>
          <w:sz w:val="28"/>
          <w:szCs w:val="28"/>
        </w:rPr>
        <w:t>,</w:t>
      </w:r>
      <w:r w:rsidRPr="00837905">
        <w:rPr>
          <w:rFonts w:ascii="Times New Roman" w:hAnsi="Times New Roman"/>
          <w:snapToGrid/>
          <w:color w:val="000000"/>
          <w:sz w:val="28"/>
          <w:szCs w:val="28"/>
        </w:rPr>
        <w:t xml:space="preserve"> 339 U.S. 306, 313 (195</w:t>
      </w:r>
      <w:r>
        <w:rPr>
          <w:rFonts w:ascii="Times New Roman" w:hAnsi="Times New Roman"/>
          <w:snapToGrid/>
          <w:color w:val="000000"/>
          <w:sz w:val="28"/>
          <w:szCs w:val="28"/>
        </w:rPr>
        <w:t>0</w:t>
      </w:r>
      <w:r w:rsidRPr="00837905">
        <w:rPr>
          <w:rFonts w:ascii="Times New Roman" w:hAnsi="Times New Roman"/>
          <w:snapToGrid/>
          <w:color w:val="000000"/>
          <w:sz w:val="28"/>
          <w:szCs w:val="28"/>
        </w:rPr>
        <w:t>)</w:t>
      </w:r>
      <w:r>
        <w:rPr>
          <w:rFonts w:ascii="Times New Roman" w:hAnsi="Times New Roman"/>
          <w:snapToGrid/>
          <w:color w:val="000000"/>
          <w:sz w:val="28"/>
          <w:szCs w:val="28"/>
        </w:rPr>
        <w:t>).</w:t>
      </w:r>
    </w:p>
    <w:p w14:paraId="197A36D7" w14:textId="2CFFA140" w:rsidR="00B7254A" w:rsidRDefault="008348D2" w:rsidP="008F1268">
      <w:pPr>
        <w:widowControl/>
        <w:spacing w:line="480" w:lineRule="auto"/>
        <w:contextualSpacing/>
        <w:jc w:val="both"/>
        <w:rPr>
          <w:rFonts w:ascii="Times New Roman" w:hAnsi="Times New Roman"/>
          <w:snapToGrid/>
          <w:color w:val="000000"/>
          <w:sz w:val="28"/>
          <w:szCs w:val="28"/>
        </w:rPr>
      </w:pPr>
      <w:r>
        <w:rPr>
          <w:rFonts w:ascii="Times New Roman" w:hAnsi="Times New Roman"/>
          <w:snapToGrid/>
          <w:color w:val="000000"/>
          <w:sz w:val="28"/>
          <w:szCs w:val="28"/>
        </w:rPr>
        <w:tab/>
        <w:t>Likewise, procedural rules regarding the disclosure and presentation of evidence have policy bases in avoiding surprise</w:t>
      </w:r>
      <w:r w:rsidR="004F12F1">
        <w:rPr>
          <w:rFonts w:ascii="Times New Roman" w:hAnsi="Times New Roman"/>
          <w:snapToGrid/>
          <w:color w:val="000000"/>
          <w:sz w:val="28"/>
          <w:szCs w:val="28"/>
        </w:rPr>
        <w:t xml:space="preserve"> and </w:t>
      </w:r>
      <w:r w:rsidR="00917EB1">
        <w:rPr>
          <w:rFonts w:ascii="Times New Roman" w:hAnsi="Times New Roman"/>
          <w:snapToGrid/>
          <w:color w:val="000000"/>
          <w:sz w:val="28"/>
          <w:szCs w:val="28"/>
        </w:rPr>
        <w:t xml:space="preserve">eliminating unjustifiable expense and </w:t>
      </w:r>
      <w:r w:rsidR="005903E8">
        <w:rPr>
          <w:rFonts w:ascii="Times New Roman" w:hAnsi="Times New Roman"/>
          <w:snapToGrid/>
          <w:color w:val="000000"/>
          <w:sz w:val="28"/>
          <w:szCs w:val="28"/>
        </w:rPr>
        <w:t xml:space="preserve">delay. </w:t>
      </w:r>
      <w:r w:rsidR="005903E8">
        <w:rPr>
          <w:rFonts w:ascii="Times New Roman" w:hAnsi="Times New Roman"/>
          <w:i/>
          <w:iCs/>
          <w:snapToGrid/>
          <w:color w:val="000000"/>
          <w:sz w:val="28"/>
          <w:szCs w:val="28"/>
        </w:rPr>
        <w:t>See</w:t>
      </w:r>
      <w:r w:rsidR="005903E8">
        <w:rPr>
          <w:rFonts w:ascii="Times New Roman" w:hAnsi="Times New Roman"/>
          <w:snapToGrid/>
          <w:color w:val="000000"/>
          <w:sz w:val="28"/>
          <w:szCs w:val="28"/>
        </w:rPr>
        <w:t xml:space="preserve">, </w:t>
      </w:r>
      <w:r w:rsidR="005903E8">
        <w:rPr>
          <w:rFonts w:ascii="Times New Roman" w:hAnsi="Times New Roman"/>
          <w:i/>
          <w:iCs/>
          <w:snapToGrid/>
          <w:color w:val="000000"/>
          <w:sz w:val="28"/>
          <w:szCs w:val="28"/>
        </w:rPr>
        <w:t>e.g.</w:t>
      </w:r>
      <w:r w:rsidR="005903E8">
        <w:rPr>
          <w:rFonts w:ascii="Times New Roman" w:hAnsi="Times New Roman"/>
          <w:snapToGrid/>
          <w:color w:val="000000"/>
          <w:sz w:val="28"/>
          <w:szCs w:val="28"/>
        </w:rPr>
        <w:t xml:space="preserve">, Ariz. R. </w:t>
      </w:r>
      <w:proofErr w:type="spellStart"/>
      <w:r w:rsidR="005903E8">
        <w:rPr>
          <w:rFonts w:ascii="Times New Roman" w:hAnsi="Times New Roman"/>
          <w:snapToGrid/>
          <w:color w:val="000000"/>
          <w:sz w:val="28"/>
          <w:szCs w:val="28"/>
        </w:rPr>
        <w:t>Ev</w:t>
      </w:r>
      <w:proofErr w:type="spellEnd"/>
      <w:r w:rsidR="005903E8">
        <w:rPr>
          <w:rFonts w:ascii="Times New Roman" w:hAnsi="Times New Roman"/>
          <w:snapToGrid/>
          <w:color w:val="000000"/>
          <w:sz w:val="28"/>
          <w:szCs w:val="28"/>
        </w:rPr>
        <w:t xml:space="preserve">. 102; </w:t>
      </w:r>
      <w:r w:rsidR="00597D77">
        <w:rPr>
          <w:rFonts w:ascii="Times New Roman" w:hAnsi="Times New Roman"/>
          <w:snapToGrid/>
          <w:color w:val="000000"/>
          <w:sz w:val="28"/>
          <w:szCs w:val="28"/>
        </w:rPr>
        <w:t xml:space="preserve">Ariz. R. Crim. P. 1.2; </w:t>
      </w:r>
      <w:r w:rsidR="003C72E0">
        <w:rPr>
          <w:rFonts w:ascii="Times New Roman" w:hAnsi="Times New Roman"/>
          <w:i/>
          <w:iCs/>
          <w:snapToGrid/>
          <w:color w:val="000000"/>
          <w:sz w:val="28"/>
          <w:szCs w:val="28"/>
        </w:rPr>
        <w:t>State v. Stewart</w:t>
      </w:r>
      <w:r w:rsidR="00AE4FCF">
        <w:rPr>
          <w:rFonts w:ascii="Times New Roman" w:hAnsi="Times New Roman"/>
          <w:snapToGrid/>
          <w:color w:val="000000"/>
          <w:sz w:val="28"/>
          <w:szCs w:val="28"/>
        </w:rPr>
        <w:t xml:space="preserve">, </w:t>
      </w:r>
      <w:r w:rsidR="00666D2A">
        <w:rPr>
          <w:rFonts w:ascii="Times New Roman" w:hAnsi="Times New Roman"/>
          <w:snapToGrid/>
          <w:color w:val="000000"/>
          <w:sz w:val="28"/>
          <w:szCs w:val="28"/>
        </w:rPr>
        <w:t xml:space="preserve">139 Ariz. 50, 59, </w:t>
      </w:r>
      <w:r w:rsidR="00AA0C80">
        <w:rPr>
          <w:rFonts w:ascii="Times New Roman" w:hAnsi="Times New Roman"/>
          <w:snapToGrid/>
          <w:color w:val="000000"/>
          <w:sz w:val="28"/>
          <w:szCs w:val="28"/>
        </w:rPr>
        <w:t>676 P.2d 1108, 1117 (1984)</w:t>
      </w:r>
      <w:r w:rsidR="005022AD">
        <w:rPr>
          <w:rFonts w:ascii="Times New Roman" w:hAnsi="Times New Roman"/>
          <w:snapToGrid/>
          <w:color w:val="000000"/>
          <w:sz w:val="28"/>
          <w:szCs w:val="28"/>
        </w:rPr>
        <w:t xml:space="preserve"> (underlying principle of Criminal Rule 15 </w:t>
      </w:r>
      <w:r w:rsidR="00137150">
        <w:rPr>
          <w:rFonts w:ascii="Times New Roman" w:hAnsi="Times New Roman"/>
          <w:snapToGrid/>
          <w:color w:val="000000"/>
          <w:sz w:val="28"/>
          <w:szCs w:val="28"/>
        </w:rPr>
        <w:t>reciprocal discovery rules to avoid undue delay and surprise at trial by both sides)</w:t>
      </w:r>
      <w:r w:rsidR="005145F5">
        <w:rPr>
          <w:rFonts w:ascii="Times New Roman" w:hAnsi="Times New Roman"/>
          <w:snapToGrid/>
          <w:color w:val="000000"/>
          <w:sz w:val="28"/>
          <w:szCs w:val="28"/>
        </w:rPr>
        <w:t xml:space="preserve">; </w:t>
      </w:r>
      <w:r w:rsidR="005145F5">
        <w:rPr>
          <w:rFonts w:ascii="Times New Roman" w:hAnsi="Times New Roman"/>
          <w:i/>
          <w:iCs/>
          <w:snapToGrid/>
          <w:color w:val="000000"/>
          <w:sz w:val="28"/>
          <w:szCs w:val="28"/>
        </w:rPr>
        <w:t>Schwartz v. Arizona Primary Care Physicians</w:t>
      </w:r>
      <w:r w:rsidR="005145F5">
        <w:rPr>
          <w:rFonts w:ascii="Times New Roman" w:hAnsi="Times New Roman"/>
          <w:snapToGrid/>
          <w:color w:val="000000"/>
          <w:sz w:val="28"/>
          <w:szCs w:val="28"/>
        </w:rPr>
        <w:t xml:space="preserve">, </w:t>
      </w:r>
      <w:r w:rsidR="00EB5920">
        <w:rPr>
          <w:rFonts w:ascii="Times New Roman" w:hAnsi="Times New Roman"/>
          <w:snapToGrid/>
          <w:color w:val="000000"/>
          <w:sz w:val="28"/>
          <w:szCs w:val="28"/>
        </w:rPr>
        <w:t xml:space="preserve">192 Ariz. 290, 296 ¶ 21, 964 P.2d </w:t>
      </w:r>
      <w:r w:rsidR="0057070A">
        <w:rPr>
          <w:rFonts w:ascii="Times New Roman" w:hAnsi="Times New Roman"/>
          <w:snapToGrid/>
          <w:color w:val="000000"/>
          <w:sz w:val="28"/>
          <w:szCs w:val="28"/>
        </w:rPr>
        <w:t>491 (App. 1998)</w:t>
      </w:r>
      <w:r w:rsidR="00F8396E">
        <w:rPr>
          <w:rFonts w:ascii="Times New Roman" w:hAnsi="Times New Roman"/>
          <w:snapToGrid/>
          <w:color w:val="000000"/>
          <w:sz w:val="28"/>
          <w:szCs w:val="28"/>
        </w:rPr>
        <w:t xml:space="preserve"> (policy behind </w:t>
      </w:r>
      <w:r w:rsidR="005022AD">
        <w:rPr>
          <w:rFonts w:ascii="Times New Roman" w:hAnsi="Times New Roman"/>
          <w:snapToGrid/>
          <w:color w:val="000000"/>
          <w:sz w:val="28"/>
          <w:szCs w:val="28"/>
        </w:rPr>
        <w:t>C</w:t>
      </w:r>
      <w:r w:rsidR="00F8396E">
        <w:rPr>
          <w:rFonts w:ascii="Times New Roman" w:hAnsi="Times New Roman"/>
          <w:snapToGrid/>
          <w:color w:val="000000"/>
          <w:sz w:val="28"/>
          <w:szCs w:val="28"/>
        </w:rPr>
        <w:t xml:space="preserve">ivil </w:t>
      </w:r>
      <w:r w:rsidR="00965BAC">
        <w:rPr>
          <w:rFonts w:ascii="Times New Roman" w:hAnsi="Times New Roman"/>
          <w:snapToGrid/>
          <w:color w:val="000000"/>
          <w:sz w:val="28"/>
          <w:szCs w:val="28"/>
        </w:rPr>
        <w:t>R</w:t>
      </w:r>
      <w:r w:rsidR="00F8396E">
        <w:rPr>
          <w:rFonts w:ascii="Times New Roman" w:hAnsi="Times New Roman"/>
          <w:snapToGrid/>
          <w:color w:val="000000"/>
          <w:sz w:val="28"/>
          <w:szCs w:val="28"/>
        </w:rPr>
        <w:t>ule 26.1 disclosure is to deter “litigation by ambush”)</w:t>
      </w:r>
      <w:r w:rsidR="0057070A">
        <w:rPr>
          <w:rFonts w:ascii="Times New Roman" w:hAnsi="Times New Roman"/>
          <w:snapToGrid/>
          <w:color w:val="000000"/>
          <w:sz w:val="28"/>
          <w:szCs w:val="28"/>
        </w:rPr>
        <w:t xml:space="preserve">. </w:t>
      </w:r>
      <w:r w:rsidR="00B7254A" w:rsidRPr="00837905">
        <w:rPr>
          <w:rFonts w:ascii="Times New Roman" w:hAnsi="Times New Roman"/>
          <w:snapToGrid/>
          <w:color w:val="000000"/>
          <w:sz w:val="28"/>
          <w:szCs w:val="28"/>
        </w:rPr>
        <w:t xml:space="preserve"> </w:t>
      </w:r>
    </w:p>
    <w:p w14:paraId="158E2805" w14:textId="28D30474" w:rsidR="00A73CC5" w:rsidRDefault="00CA4C51" w:rsidP="008F1268">
      <w:pPr>
        <w:widowControl/>
        <w:spacing w:line="480" w:lineRule="auto"/>
        <w:ind w:firstLine="360"/>
        <w:contextualSpacing/>
        <w:jc w:val="both"/>
        <w:rPr>
          <w:rFonts w:ascii="Times New Roman" w:hAnsi="Times New Roman"/>
          <w:sz w:val="28"/>
          <w:szCs w:val="28"/>
        </w:rPr>
      </w:pPr>
      <w:r>
        <w:rPr>
          <w:rFonts w:ascii="Times New Roman" w:hAnsi="Times New Roman"/>
          <w:sz w:val="28"/>
          <w:szCs w:val="28"/>
        </w:rPr>
        <w:t xml:space="preserve">In criminal cases, </w:t>
      </w:r>
      <w:r w:rsidR="002C03E5">
        <w:rPr>
          <w:rFonts w:ascii="Times New Roman" w:hAnsi="Times New Roman"/>
          <w:sz w:val="28"/>
          <w:szCs w:val="28"/>
        </w:rPr>
        <w:t>parties generally must make all pretrial motions no later than twenty days before trial</w:t>
      </w:r>
      <w:r w:rsidR="0090047E">
        <w:rPr>
          <w:rFonts w:ascii="Times New Roman" w:hAnsi="Times New Roman"/>
          <w:sz w:val="28"/>
          <w:szCs w:val="28"/>
        </w:rPr>
        <w:t xml:space="preserve"> unless the court modifies the deadline</w:t>
      </w:r>
      <w:r w:rsidR="002C03E5">
        <w:rPr>
          <w:rFonts w:ascii="Times New Roman" w:hAnsi="Times New Roman"/>
          <w:sz w:val="28"/>
          <w:szCs w:val="28"/>
        </w:rPr>
        <w:t xml:space="preserve">. </w:t>
      </w:r>
      <w:r w:rsidR="0090047E">
        <w:rPr>
          <w:rFonts w:ascii="Times New Roman" w:hAnsi="Times New Roman"/>
          <w:sz w:val="28"/>
          <w:szCs w:val="28"/>
        </w:rPr>
        <w:t>Ariz. R. Crim. P. 16.1(b).</w:t>
      </w:r>
      <w:r w:rsidR="005565AB">
        <w:rPr>
          <w:rFonts w:ascii="Times New Roman" w:hAnsi="Times New Roman"/>
          <w:sz w:val="28"/>
          <w:szCs w:val="28"/>
        </w:rPr>
        <w:t xml:space="preserve"> In the civil context, </w:t>
      </w:r>
      <w:r w:rsidR="00FC123D">
        <w:rPr>
          <w:rFonts w:ascii="Times New Roman" w:hAnsi="Times New Roman"/>
          <w:sz w:val="28"/>
          <w:szCs w:val="28"/>
        </w:rPr>
        <w:t xml:space="preserve">motion deadlines </w:t>
      </w:r>
      <w:r w:rsidR="001822A5">
        <w:rPr>
          <w:rFonts w:ascii="Times New Roman" w:hAnsi="Times New Roman"/>
          <w:sz w:val="28"/>
          <w:szCs w:val="28"/>
        </w:rPr>
        <w:t>are fixed through joint scheduling orders otherwise</w:t>
      </w:r>
      <w:r w:rsidR="008A3FD5">
        <w:rPr>
          <w:rFonts w:ascii="Times New Roman" w:hAnsi="Times New Roman"/>
          <w:sz w:val="28"/>
          <w:szCs w:val="28"/>
        </w:rPr>
        <w:t xml:space="preserve"> the default filing deadline for motions in </w:t>
      </w:r>
      <w:proofErr w:type="spellStart"/>
      <w:r w:rsidR="008A3FD5">
        <w:rPr>
          <w:rFonts w:ascii="Times New Roman" w:hAnsi="Times New Roman"/>
          <w:sz w:val="28"/>
          <w:szCs w:val="28"/>
        </w:rPr>
        <w:t>limine</w:t>
      </w:r>
      <w:proofErr w:type="spellEnd"/>
      <w:r w:rsidR="008A3FD5">
        <w:rPr>
          <w:rFonts w:ascii="Times New Roman" w:hAnsi="Times New Roman"/>
          <w:sz w:val="28"/>
          <w:szCs w:val="28"/>
        </w:rPr>
        <w:t xml:space="preserve"> for which pretrial rulings are desired </w:t>
      </w:r>
      <w:r w:rsidR="00FD22A8">
        <w:rPr>
          <w:rFonts w:ascii="Times New Roman" w:hAnsi="Times New Roman"/>
          <w:sz w:val="28"/>
          <w:szCs w:val="28"/>
        </w:rPr>
        <w:t>is thirty days before a trial management conference or the trial date. Ariz. R. Civ. P. 7.2(b)</w:t>
      </w:r>
      <w:r w:rsidR="001822A5">
        <w:rPr>
          <w:rFonts w:ascii="Times New Roman" w:hAnsi="Times New Roman"/>
          <w:sz w:val="28"/>
          <w:szCs w:val="28"/>
        </w:rPr>
        <w:t>, 16(c)</w:t>
      </w:r>
      <w:r w:rsidR="00FD22A8">
        <w:rPr>
          <w:rFonts w:ascii="Times New Roman" w:hAnsi="Times New Roman"/>
          <w:sz w:val="28"/>
          <w:szCs w:val="28"/>
        </w:rPr>
        <w:t xml:space="preserve">. </w:t>
      </w:r>
    </w:p>
    <w:p w14:paraId="206851FE" w14:textId="390B155B" w:rsidR="0051481D" w:rsidRPr="008F1268" w:rsidRDefault="0044078C" w:rsidP="008F1268">
      <w:pPr>
        <w:widowControl/>
        <w:spacing w:line="480" w:lineRule="auto"/>
        <w:ind w:firstLine="360"/>
        <w:contextualSpacing/>
        <w:jc w:val="both"/>
        <w:rPr>
          <w:rFonts w:ascii="Times New Roman" w:hAnsi="Times New Roman"/>
          <w:sz w:val="28"/>
          <w:szCs w:val="28"/>
        </w:rPr>
      </w:pPr>
      <w:r>
        <w:rPr>
          <w:rFonts w:ascii="Times New Roman" w:hAnsi="Times New Roman"/>
          <w:sz w:val="28"/>
          <w:szCs w:val="28"/>
        </w:rPr>
        <w:t xml:space="preserve">Just as existing civil and criminal procedural rules prescribe robust </w:t>
      </w:r>
      <w:r w:rsidR="00164B6D">
        <w:rPr>
          <w:rFonts w:ascii="Times New Roman" w:hAnsi="Times New Roman"/>
          <w:sz w:val="28"/>
          <w:szCs w:val="28"/>
        </w:rPr>
        <w:t xml:space="preserve">notice and disclosure requirements for pretrial disclosures and motions, so too should the Proposed Rule 611. </w:t>
      </w:r>
      <w:r w:rsidR="006A387F">
        <w:rPr>
          <w:rFonts w:ascii="Times New Roman" w:hAnsi="Times New Roman"/>
          <w:sz w:val="28"/>
          <w:szCs w:val="28"/>
        </w:rPr>
        <w:t xml:space="preserve">Adding in more explicit timing requirements </w:t>
      </w:r>
      <w:r w:rsidR="003A0BE8">
        <w:rPr>
          <w:rFonts w:ascii="Times New Roman" w:hAnsi="Times New Roman"/>
          <w:sz w:val="28"/>
          <w:szCs w:val="28"/>
        </w:rPr>
        <w:t xml:space="preserve">would </w:t>
      </w:r>
      <w:r w:rsidR="0088166F">
        <w:rPr>
          <w:rFonts w:ascii="Times New Roman" w:hAnsi="Times New Roman"/>
          <w:sz w:val="28"/>
          <w:szCs w:val="28"/>
        </w:rPr>
        <w:t xml:space="preserve">promote procedural due process, and </w:t>
      </w:r>
      <w:r w:rsidR="003A0BE8">
        <w:rPr>
          <w:rFonts w:ascii="Times New Roman" w:hAnsi="Times New Roman"/>
          <w:sz w:val="28"/>
          <w:szCs w:val="28"/>
        </w:rPr>
        <w:t xml:space="preserve">reduce the </w:t>
      </w:r>
      <w:r w:rsidR="00BE18DD">
        <w:rPr>
          <w:rFonts w:ascii="Times New Roman" w:hAnsi="Times New Roman"/>
          <w:sz w:val="28"/>
          <w:szCs w:val="28"/>
        </w:rPr>
        <w:t xml:space="preserve">potential for undue surprise and delay caused </w:t>
      </w:r>
      <w:r w:rsidR="00BE18DD">
        <w:rPr>
          <w:rFonts w:ascii="Times New Roman" w:hAnsi="Times New Roman"/>
          <w:sz w:val="28"/>
          <w:szCs w:val="28"/>
        </w:rPr>
        <w:lastRenderedPageBreak/>
        <w:t xml:space="preserve">by </w:t>
      </w:r>
      <w:r w:rsidR="00075C9A">
        <w:rPr>
          <w:rFonts w:ascii="Times New Roman" w:hAnsi="Times New Roman"/>
          <w:sz w:val="28"/>
          <w:szCs w:val="28"/>
        </w:rPr>
        <w:t xml:space="preserve">parties </w:t>
      </w:r>
      <w:r w:rsidR="00532161">
        <w:rPr>
          <w:rFonts w:ascii="Times New Roman" w:hAnsi="Times New Roman"/>
          <w:sz w:val="28"/>
          <w:szCs w:val="28"/>
        </w:rPr>
        <w:t xml:space="preserve">seeking court orders regarding hazardous evidence shortly before trial. </w:t>
      </w:r>
      <w:r w:rsidR="00071191">
        <w:rPr>
          <w:rFonts w:ascii="Times New Roman" w:hAnsi="Times New Roman"/>
          <w:sz w:val="28"/>
          <w:szCs w:val="28"/>
        </w:rPr>
        <w:t xml:space="preserve">Moreover, explicitly requiring the proponent of a digital representation of hazardous evidence to give notice </w:t>
      </w:r>
      <w:r w:rsidR="00060190">
        <w:rPr>
          <w:rFonts w:ascii="Times New Roman" w:hAnsi="Times New Roman"/>
          <w:sz w:val="28"/>
          <w:szCs w:val="28"/>
        </w:rPr>
        <w:t xml:space="preserve">and produce the digital representations before trial would better allow </w:t>
      </w:r>
      <w:r w:rsidR="003931F0">
        <w:rPr>
          <w:rFonts w:ascii="Times New Roman" w:hAnsi="Times New Roman"/>
          <w:sz w:val="28"/>
          <w:szCs w:val="28"/>
        </w:rPr>
        <w:t>courts to consider the rights of the parties and the sufficiency and effectiveness of presenting digital representations</w:t>
      </w:r>
      <w:r w:rsidR="006D7773">
        <w:rPr>
          <w:rFonts w:ascii="Times New Roman" w:hAnsi="Times New Roman"/>
          <w:sz w:val="28"/>
          <w:szCs w:val="28"/>
        </w:rPr>
        <w:t xml:space="preserve"> before issuing pretrial rulings. </w:t>
      </w:r>
      <w:r w:rsidR="00F24F0F">
        <w:rPr>
          <w:rFonts w:ascii="Times New Roman" w:hAnsi="Times New Roman"/>
          <w:sz w:val="28"/>
          <w:szCs w:val="28"/>
        </w:rPr>
        <w:t xml:space="preserve">Finally, </w:t>
      </w:r>
      <w:r w:rsidR="004A70A6">
        <w:rPr>
          <w:rFonts w:ascii="Times New Roman" w:hAnsi="Times New Roman"/>
          <w:sz w:val="28"/>
          <w:szCs w:val="28"/>
        </w:rPr>
        <w:t>other jurisdictions</w:t>
      </w:r>
      <w:r w:rsidR="00564A9C">
        <w:rPr>
          <w:rFonts w:ascii="Times New Roman" w:hAnsi="Times New Roman"/>
          <w:sz w:val="28"/>
          <w:szCs w:val="28"/>
        </w:rPr>
        <w:t xml:space="preserve"> such as </w:t>
      </w:r>
      <w:r w:rsidR="006366ED">
        <w:rPr>
          <w:rFonts w:ascii="Times New Roman" w:hAnsi="Times New Roman"/>
          <w:sz w:val="28"/>
          <w:szCs w:val="28"/>
        </w:rPr>
        <w:t xml:space="preserve">Minnesota, </w:t>
      </w:r>
      <w:r w:rsidR="00564A9C">
        <w:rPr>
          <w:rFonts w:ascii="Times New Roman" w:hAnsi="Times New Roman"/>
          <w:sz w:val="28"/>
          <w:szCs w:val="28"/>
        </w:rPr>
        <w:t>Oregon</w:t>
      </w:r>
      <w:r w:rsidR="006366ED">
        <w:rPr>
          <w:rFonts w:ascii="Times New Roman" w:hAnsi="Times New Roman"/>
          <w:sz w:val="28"/>
          <w:szCs w:val="28"/>
        </w:rPr>
        <w:t>,</w:t>
      </w:r>
      <w:r w:rsidR="00564A9C">
        <w:rPr>
          <w:rFonts w:ascii="Times New Roman" w:hAnsi="Times New Roman"/>
          <w:sz w:val="28"/>
          <w:szCs w:val="28"/>
        </w:rPr>
        <w:t xml:space="preserve"> and Virginia</w:t>
      </w:r>
      <w:r w:rsidR="004A70A6">
        <w:rPr>
          <w:rFonts w:ascii="Times New Roman" w:hAnsi="Times New Roman"/>
          <w:sz w:val="28"/>
          <w:szCs w:val="28"/>
        </w:rPr>
        <w:t xml:space="preserve"> have successfully implemented hazardous e</w:t>
      </w:r>
      <w:r w:rsidR="006366ED">
        <w:rPr>
          <w:rFonts w:ascii="Times New Roman" w:hAnsi="Times New Roman"/>
          <w:sz w:val="28"/>
          <w:szCs w:val="28"/>
        </w:rPr>
        <w:t>xhibit</w:t>
      </w:r>
      <w:r w:rsidR="004A70A6">
        <w:rPr>
          <w:rFonts w:ascii="Times New Roman" w:hAnsi="Times New Roman"/>
          <w:sz w:val="28"/>
          <w:szCs w:val="28"/>
        </w:rPr>
        <w:t xml:space="preserve"> rules with more rigorous </w:t>
      </w:r>
      <w:r w:rsidR="00E42068">
        <w:rPr>
          <w:rFonts w:ascii="Times New Roman" w:hAnsi="Times New Roman"/>
          <w:sz w:val="28"/>
          <w:szCs w:val="28"/>
        </w:rPr>
        <w:t>notice and timing requirements</w:t>
      </w:r>
      <w:r w:rsidR="00996798">
        <w:rPr>
          <w:rFonts w:ascii="Times New Roman" w:hAnsi="Times New Roman"/>
          <w:sz w:val="28"/>
          <w:szCs w:val="28"/>
        </w:rPr>
        <w:t>.</w:t>
      </w:r>
      <w:r w:rsidR="00996798" w:rsidRPr="00047905">
        <w:rPr>
          <w:rStyle w:val="FootnoteReference"/>
          <w:rFonts w:ascii="Times New Roman" w:hAnsi="Times New Roman"/>
          <w:sz w:val="20"/>
          <w:vertAlign w:val="superscript"/>
        </w:rPr>
        <w:footnoteReference w:id="1"/>
      </w:r>
      <w:r w:rsidR="00075C9A" w:rsidRPr="00047905">
        <w:rPr>
          <w:rFonts w:ascii="Times New Roman" w:hAnsi="Times New Roman"/>
          <w:sz w:val="20"/>
          <w:vertAlign w:val="superscript"/>
        </w:rPr>
        <w:t xml:space="preserve"> </w:t>
      </w:r>
    </w:p>
    <w:p w14:paraId="21022DDE" w14:textId="416B6DC3" w:rsidR="009361BD" w:rsidRPr="009361BD" w:rsidRDefault="009361BD" w:rsidP="009361BD">
      <w:pPr>
        <w:pStyle w:val="ListParagraph"/>
        <w:widowControl/>
        <w:numPr>
          <w:ilvl w:val="0"/>
          <w:numId w:val="6"/>
        </w:numPr>
        <w:jc w:val="both"/>
        <w:rPr>
          <w:rFonts w:ascii="Times New Roman" w:hAnsi="Times New Roman"/>
          <w:sz w:val="28"/>
          <w:szCs w:val="28"/>
          <w:u w:val="single"/>
        </w:rPr>
      </w:pPr>
      <w:r>
        <w:rPr>
          <w:rFonts w:ascii="Times New Roman" w:hAnsi="Times New Roman"/>
          <w:sz w:val="28"/>
          <w:szCs w:val="28"/>
          <w:u w:val="single"/>
        </w:rPr>
        <w:t xml:space="preserve">Proposed Rule 611 should be amended to </w:t>
      </w:r>
      <w:r w:rsidR="0051481D">
        <w:rPr>
          <w:rFonts w:ascii="Times New Roman" w:hAnsi="Times New Roman"/>
          <w:sz w:val="28"/>
          <w:szCs w:val="28"/>
          <w:u w:val="single"/>
        </w:rPr>
        <w:t xml:space="preserve">explicitly </w:t>
      </w:r>
      <w:r>
        <w:rPr>
          <w:rFonts w:ascii="Times New Roman" w:hAnsi="Times New Roman"/>
          <w:sz w:val="28"/>
          <w:szCs w:val="28"/>
          <w:u w:val="single"/>
        </w:rPr>
        <w:t xml:space="preserve">affirm chain of custody requirements for </w:t>
      </w:r>
      <w:r w:rsidR="0051481D">
        <w:rPr>
          <w:rFonts w:ascii="Times New Roman" w:hAnsi="Times New Roman"/>
          <w:sz w:val="28"/>
          <w:szCs w:val="28"/>
          <w:u w:val="single"/>
        </w:rPr>
        <w:t xml:space="preserve">presenting </w:t>
      </w:r>
      <w:r>
        <w:rPr>
          <w:rFonts w:ascii="Times New Roman" w:hAnsi="Times New Roman"/>
          <w:sz w:val="28"/>
          <w:szCs w:val="28"/>
          <w:u w:val="single"/>
        </w:rPr>
        <w:t xml:space="preserve">digital representations of hazardous evidence. </w:t>
      </w:r>
    </w:p>
    <w:p w14:paraId="509051ED" w14:textId="4CA7F78B" w:rsidR="00A76EAD" w:rsidRDefault="00A76EAD" w:rsidP="00A76EAD">
      <w:pPr>
        <w:widowControl/>
        <w:jc w:val="both"/>
        <w:rPr>
          <w:rFonts w:ascii="Times New Roman" w:hAnsi="Times New Roman"/>
          <w:b/>
          <w:bCs/>
          <w:sz w:val="28"/>
          <w:szCs w:val="28"/>
        </w:rPr>
      </w:pPr>
    </w:p>
    <w:p w14:paraId="62D072A0" w14:textId="4AB605A2" w:rsidR="001F5A77" w:rsidRDefault="001F5A77" w:rsidP="008F1268">
      <w:pPr>
        <w:widowControl/>
        <w:spacing w:line="480" w:lineRule="auto"/>
        <w:ind w:firstLine="360"/>
        <w:contextualSpacing/>
        <w:jc w:val="both"/>
        <w:rPr>
          <w:rFonts w:ascii="Times New Roman" w:hAnsi="Times New Roman"/>
          <w:sz w:val="28"/>
          <w:szCs w:val="28"/>
        </w:rPr>
      </w:pPr>
      <w:r>
        <w:rPr>
          <w:rFonts w:ascii="Times New Roman" w:hAnsi="Times New Roman"/>
          <w:sz w:val="28"/>
          <w:szCs w:val="28"/>
        </w:rPr>
        <w:t xml:space="preserve">The Petition </w:t>
      </w:r>
      <w:r w:rsidR="009C31A1">
        <w:rPr>
          <w:rFonts w:ascii="Times New Roman" w:hAnsi="Times New Roman"/>
          <w:sz w:val="28"/>
          <w:szCs w:val="28"/>
        </w:rPr>
        <w:t>recognizes the value of upholding the integrity of the evidentiary record. However, the Pe</w:t>
      </w:r>
      <w:r w:rsidR="0043430C">
        <w:rPr>
          <w:rFonts w:ascii="Times New Roman" w:hAnsi="Times New Roman"/>
          <w:sz w:val="28"/>
          <w:szCs w:val="28"/>
        </w:rPr>
        <w:t xml:space="preserve">tition </w:t>
      </w:r>
      <w:proofErr w:type="gramStart"/>
      <w:r w:rsidR="0043430C">
        <w:rPr>
          <w:rFonts w:ascii="Times New Roman" w:hAnsi="Times New Roman"/>
          <w:sz w:val="28"/>
          <w:szCs w:val="28"/>
        </w:rPr>
        <w:t xml:space="preserve">makes </w:t>
      </w:r>
      <w:r w:rsidR="00F65BB3">
        <w:rPr>
          <w:rFonts w:ascii="Times New Roman" w:hAnsi="Times New Roman"/>
          <w:sz w:val="28"/>
          <w:szCs w:val="28"/>
        </w:rPr>
        <w:t xml:space="preserve">an </w:t>
      </w:r>
      <w:r w:rsidR="0043430C">
        <w:rPr>
          <w:rFonts w:ascii="Times New Roman" w:hAnsi="Times New Roman"/>
          <w:sz w:val="28"/>
          <w:szCs w:val="28"/>
        </w:rPr>
        <w:t>assumption</w:t>
      </w:r>
      <w:proofErr w:type="gramEnd"/>
      <w:r w:rsidR="0043430C">
        <w:rPr>
          <w:rFonts w:ascii="Times New Roman" w:hAnsi="Times New Roman"/>
          <w:sz w:val="28"/>
          <w:szCs w:val="28"/>
        </w:rPr>
        <w:t xml:space="preserve"> that the custodian will “in all likelihood be a law enforcement agency,” complying with marking and packaging requirements throughout the case. </w:t>
      </w:r>
      <w:r w:rsidR="00F65BB3">
        <w:rPr>
          <w:rFonts w:ascii="Times New Roman" w:hAnsi="Times New Roman"/>
          <w:sz w:val="28"/>
          <w:szCs w:val="28"/>
        </w:rPr>
        <w:t>This fails to account for the fact that Proposed Rule 611 is silent</w:t>
      </w:r>
      <w:r w:rsidR="00454340">
        <w:rPr>
          <w:rFonts w:ascii="Times New Roman" w:hAnsi="Times New Roman"/>
          <w:sz w:val="28"/>
          <w:szCs w:val="28"/>
        </w:rPr>
        <w:t xml:space="preserve"> on maintaining chain of custody requirements. </w:t>
      </w:r>
    </w:p>
    <w:p w14:paraId="7E9AAE72" w14:textId="77777777" w:rsidR="00D443DA" w:rsidRDefault="00454340" w:rsidP="008F1268">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lastRenderedPageBreak/>
        <w:t xml:space="preserve">Other jurisdictions have made explicit </w:t>
      </w:r>
      <w:r w:rsidR="001F3EC1">
        <w:rPr>
          <w:rFonts w:ascii="Times New Roman" w:hAnsi="Times New Roman"/>
          <w:sz w:val="28"/>
          <w:szCs w:val="28"/>
        </w:rPr>
        <w:t xml:space="preserve">what the Petition simply assumes: that chain of custody and </w:t>
      </w:r>
      <w:r w:rsidR="006D088D">
        <w:rPr>
          <w:rFonts w:ascii="Times New Roman" w:hAnsi="Times New Roman"/>
          <w:sz w:val="28"/>
          <w:szCs w:val="28"/>
        </w:rPr>
        <w:t xml:space="preserve">authentication requirements must be </w:t>
      </w:r>
      <w:r w:rsidR="00302BC8">
        <w:rPr>
          <w:rFonts w:ascii="Times New Roman" w:hAnsi="Times New Roman"/>
          <w:sz w:val="28"/>
          <w:szCs w:val="28"/>
        </w:rPr>
        <w:t xml:space="preserve">met before the exhibit may be offered in court. </w:t>
      </w:r>
    </w:p>
    <w:p w14:paraId="4402F01E" w14:textId="34FE18F2" w:rsidR="00454340" w:rsidRDefault="00D443DA" w:rsidP="008F1268">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t>For example, V</w:t>
      </w:r>
      <w:r w:rsidR="00302BC8">
        <w:rPr>
          <w:rFonts w:ascii="Times New Roman" w:hAnsi="Times New Roman"/>
          <w:sz w:val="28"/>
          <w:szCs w:val="28"/>
        </w:rPr>
        <w:t xml:space="preserve">irginia’s </w:t>
      </w:r>
      <w:r>
        <w:rPr>
          <w:rFonts w:ascii="Times New Roman" w:hAnsi="Times New Roman"/>
          <w:sz w:val="28"/>
          <w:szCs w:val="28"/>
        </w:rPr>
        <w:t>evidentiary r</w:t>
      </w:r>
      <w:r w:rsidR="00302BC8">
        <w:rPr>
          <w:rFonts w:ascii="Times New Roman" w:hAnsi="Times New Roman"/>
          <w:sz w:val="28"/>
          <w:szCs w:val="28"/>
        </w:rPr>
        <w:t>ule regarding “</w:t>
      </w:r>
      <w:r>
        <w:rPr>
          <w:rFonts w:ascii="Times New Roman" w:hAnsi="Times New Roman"/>
          <w:sz w:val="28"/>
          <w:szCs w:val="28"/>
        </w:rPr>
        <w:t>u</w:t>
      </w:r>
      <w:r w:rsidR="00302BC8">
        <w:rPr>
          <w:rFonts w:ascii="Times New Roman" w:hAnsi="Times New Roman"/>
          <w:sz w:val="28"/>
          <w:szCs w:val="28"/>
        </w:rPr>
        <w:t>ltrahazardous items</w:t>
      </w:r>
      <w:r>
        <w:rPr>
          <w:rFonts w:ascii="Times New Roman" w:hAnsi="Times New Roman"/>
          <w:sz w:val="28"/>
          <w:szCs w:val="28"/>
        </w:rPr>
        <w:t xml:space="preserve"> as exhibits” explicitly </w:t>
      </w:r>
      <w:r w:rsidR="00201B47">
        <w:rPr>
          <w:rFonts w:ascii="Times New Roman" w:hAnsi="Times New Roman"/>
          <w:sz w:val="28"/>
          <w:szCs w:val="28"/>
        </w:rPr>
        <w:t>notes that it “does not excuse the party offering such evidence from proving chain of custody</w:t>
      </w:r>
      <w:r w:rsidR="008F60BF">
        <w:rPr>
          <w:rFonts w:ascii="Times New Roman" w:hAnsi="Times New Roman"/>
          <w:sz w:val="28"/>
          <w:szCs w:val="28"/>
        </w:rPr>
        <w:t>.”</w:t>
      </w:r>
      <w:r w:rsidR="00F3548C" w:rsidRPr="00F3548C">
        <w:rPr>
          <w:rStyle w:val="FootnoteReference"/>
          <w:rFonts w:ascii="Times New Roman" w:hAnsi="Times New Roman"/>
          <w:sz w:val="20"/>
          <w:vertAlign w:val="superscript"/>
        </w:rPr>
        <w:footnoteReference w:id="2"/>
      </w:r>
      <w:r w:rsidR="008F60BF">
        <w:rPr>
          <w:rFonts w:ascii="Times New Roman" w:hAnsi="Times New Roman"/>
          <w:sz w:val="28"/>
          <w:szCs w:val="28"/>
        </w:rPr>
        <w:t xml:space="preserve"> </w:t>
      </w:r>
      <w:r w:rsidR="00BB5FAB">
        <w:rPr>
          <w:rFonts w:ascii="Times New Roman" w:hAnsi="Times New Roman"/>
          <w:sz w:val="28"/>
          <w:szCs w:val="28"/>
        </w:rPr>
        <w:t>Likewise,</w:t>
      </w:r>
      <w:r w:rsidR="00462BE5">
        <w:rPr>
          <w:rFonts w:ascii="Times New Roman" w:hAnsi="Times New Roman"/>
          <w:sz w:val="28"/>
          <w:szCs w:val="28"/>
        </w:rPr>
        <w:t xml:space="preserve"> Minnesota’s </w:t>
      </w:r>
      <w:r w:rsidR="00A55EAA">
        <w:rPr>
          <w:rFonts w:ascii="Times New Roman" w:hAnsi="Times New Roman"/>
          <w:sz w:val="28"/>
          <w:szCs w:val="28"/>
        </w:rPr>
        <w:t>Judicial Branch Policy on “potentially hazardous exhibit[s]” state that “[n]</w:t>
      </w:r>
      <w:proofErr w:type="spellStart"/>
      <w:r w:rsidR="00A55EAA">
        <w:rPr>
          <w:rFonts w:ascii="Times New Roman" w:hAnsi="Times New Roman"/>
          <w:sz w:val="28"/>
          <w:szCs w:val="28"/>
        </w:rPr>
        <w:t>othing</w:t>
      </w:r>
      <w:proofErr w:type="spellEnd"/>
      <w:r w:rsidR="00A55EAA">
        <w:rPr>
          <w:rFonts w:ascii="Times New Roman" w:hAnsi="Times New Roman"/>
          <w:sz w:val="28"/>
          <w:szCs w:val="28"/>
        </w:rPr>
        <w:t xml:space="preserve"> contained in [this policy</w:t>
      </w:r>
      <w:r w:rsidR="008C48C1">
        <w:rPr>
          <w:rFonts w:ascii="Times New Roman" w:hAnsi="Times New Roman"/>
          <w:sz w:val="28"/>
          <w:szCs w:val="28"/>
        </w:rPr>
        <w:t>]</w:t>
      </w:r>
      <w:r w:rsidR="00A55EAA">
        <w:rPr>
          <w:rFonts w:ascii="Times New Roman" w:hAnsi="Times New Roman"/>
          <w:sz w:val="28"/>
          <w:szCs w:val="28"/>
        </w:rPr>
        <w:t xml:space="preserve"> is intended to override the inherent power of the C</w:t>
      </w:r>
      <w:r w:rsidR="00BB5FAB">
        <w:rPr>
          <w:rFonts w:ascii="Times New Roman" w:hAnsi="Times New Roman"/>
          <w:sz w:val="28"/>
          <w:szCs w:val="28"/>
        </w:rPr>
        <w:t>our</w:t>
      </w:r>
      <w:r w:rsidR="00A55EAA">
        <w:rPr>
          <w:rFonts w:ascii="Times New Roman" w:hAnsi="Times New Roman"/>
          <w:sz w:val="28"/>
          <w:szCs w:val="28"/>
        </w:rPr>
        <w:t xml:space="preserve">t to render rulings, </w:t>
      </w:r>
      <w:r w:rsidR="00BB5FAB">
        <w:rPr>
          <w:rFonts w:ascii="Times New Roman" w:hAnsi="Times New Roman"/>
          <w:sz w:val="28"/>
          <w:szCs w:val="28"/>
        </w:rPr>
        <w:t>consistent with the rules of evidence and the rules of criminal procedure, on the handling of exhibits being offered into evidence before the Court.”</w:t>
      </w:r>
      <w:r w:rsidR="00F3548C" w:rsidRPr="00F3548C">
        <w:rPr>
          <w:rStyle w:val="FootnoteReference"/>
          <w:rFonts w:ascii="Times New Roman" w:hAnsi="Times New Roman"/>
          <w:sz w:val="20"/>
          <w:vertAlign w:val="superscript"/>
        </w:rPr>
        <w:footnoteReference w:id="3"/>
      </w:r>
    </w:p>
    <w:p w14:paraId="5F4E2021" w14:textId="1C89A8E9" w:rsidR="008F1268" w:rsidRPr="001F5A77" w:rsidRDefault="00EE0A29" w:rsidP="00E460C8">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Adding simple language affirming these requirements does not detract from the </w:t>
      </w:r>
      <w:r w:rsidR="009A0CD2">
        <w:rPr>
          <w:rFonts w:ascii="Times New Roman" w:hAnsi="Times New Roman"/>
          <w:sz w:val="28"/>
          <w:szCs w:val="28"/>
        </w:rPr>
        <w:t>public safety goals of prohibiting hazardous materials in the courtroom. Instead,</w:t>
      </w:r>
      <w:r>
        <w:rPr>
          <w:rFonts w:ascii="Times New Roman" w:hAnsi="Times New Roman"/>
          <w:sz w:val="28"/>
          <w:szCs w:val="28"/>
        </w:rPr>
        <w:t xml:space="preserve"> </w:t>
      </w:r>
      <w:r w:rsidR="00AC49FA">
        <w:rPr>
          <w:rFonts w:ascii="Times New Roman" w:hAnsi="Times New Roman"/>
          <w:sz w:val="28"/>
          <w:szCs w:val="28"/>
        </w:rPr>
        <w:t xml:space="preserve">Amending Proposed Rule 611 to </w:t>
      </w:r>
      <w:r w:rsidR="00F3548C">
        <w:rPr>
          <w:rFonts w:ascii="Times New Roman" w:hAnsi="Times New Roman"/>
          <w:sz w:val="28"/>
          <w:szCs w:val="28"/>
        </w:rPr>
        <w:t xml:space="preserve">explicitly </w:t>
      </w:r>
      <w:r w:rsidR="00AC49FA">
        <w:rPr>
          <w:rFonts w:ascii="Times New Roman" w:hAnsi="Times New Roman"/>
          <w:sz w:val="28"/>
          <w:szCs w:val="28"/>
        </w:rPr>
        <w:t xml:space="preserve">account for chain of custody requirements would </w:t>
      </w:r>
      <w:r w:rsidR="009A0CD2">
        <w:rPr>
          <w:rFonts w:ascii="Times New Roman" w:hAnsi="Times New Roman"/>
          <w:sz w:val="28"/>
          <w:szCs w:val="28"/>
        </w:rPr>
        <w:t xml:space="preserve">promote the policy goal of </w:t>
      </w:r>
      <w:r w:rsidR="00761AB1">
        <w:rPr>
          <w:rFonts w:ascii="Times New Roman" w:hAnsi="Times New Roman"/>
          <w:sz w:val="28"/>
          <w:szCs w:val="28"/>
        </w:rPr>
        <w:t xml:space="preserve">safeguarding the evidentiary record. </w:t>
      </w:r>
      <w:r w:rsidR="00B66DAE">
        <w:rPr>
          <w:rFonts w:ascii="Times New Roman" w:hAnsi="Times New Roman"/>
          <w:sz w:val="28"/>
          <w:szCs w:val="28"/>
        </w:rPr>
        <w:t xml:space="preserve"> </w:t>
      </w:r>
    </w:p>
    <w:p w14:paraId="640FA347" w14:textId="1343957D" w:rsidR="00834DE7" w:rsidRDefault="00834DE7" w:rsidP="00834DE7">
      <w:pPr>
        <w:pStyle w:val="ListParagraph"/>
        <w:widowControl/>
        <w:numPr>
          <w:ilvl w:val="0"/>
          <w:numId w:val="3"/>
        </w:numPr>
        <w:jc w:val="both"/>
        <w:rPr>
          <w:rFonts w:ascii="Times New Roman" w:hAnsi="Times New Roman"/>
          <w:b/>
          <w:bCs/>
          <w:sz w:val="28"/>
          <w:szCs w:val="28"/>
        </w:rPr>
      </w:pPr>
      <w:r>
        <w:rPr>
          <w:rFonts w:ascii="Times New Roman" w:hAnsi="Times New Roman"/>
          <w:b/>
          <w:bCs/>
          <w:sz w:val="28"/>
          <w:szCs w:val="28"/>
        </w:rPr>
        <w:t>A</w:t>
      </w:r>
      <w:r w:rsidR="00BD395E">
        <w:rPr>
          <w:rFonts w:ascii="Times New Roman" w:hAnsi="Times New Roman"/>
          <w:b/>
          <w:bCs/>
          <w:sz w:val="28"/>
          <w:szCs w:val="28"/>
        </w:rPr>
        <w:t>mend</w:t>
      </w:r>
      <w:r>
        <w:rPr>
          <w:rFonts w:ascii="Times New Roman" w:hAnsi="Times New Roman"/>
          <w:b/>
          <w:bCs/>
          <w:sz w:val="28"/>
          <w:szCs w:val="28"/>
        </w:rPr>
        <w:t xml:space="preserve"> Proposed Rule 611 to </w:t>
      </w:r>
      <w:r w:rsidR="00391996">
        <w:rPr>
          <w:rFonts w:ascii="Times New Roman" w:hAnsi="Times New Roman"/>
          <w:b/>
          <w:bCs/>
          <w:sz w:val="28"/>
          <w:szCs w:val="28"/>
        </w:rPr>
        <w:t xml:space="preserve">further </w:t>
      </w:r>
      <w:r w:rsidR="00641756">
        <w:rPr>
          <w:rFonts w:ascii="Times New Roman" w:hAnsi="Times New Roman"/>
          <w:b/>
          <w:bCs/>
          <w:sz w:val="28"/>
          <w:szCs w:val="28"/>
        </w:rPr>
        <w:t>define</w:t>
      </w:r>
      <w:r w:rsidR="0079141B">
        <w:rPr>
          <w:rFonts w:ascii="Times New Roman" w:hAnsi="Times New Roman"/>
          <w:b/>
          <w:bCs/>
          <w:sz w:val="28"/>
          <w:szCs w:val="28"/>
        </w:rPr>
        <w:t xml:space="preserve"> the judicial role in </w:t>
      </w:r>
      <w:r w:rsidR="00C610CF">
        <w:rPr>
          <w:rFonts w:ascii="Times New Roman" w:hAnsi="Times New Roman"/>
          <w:b/>
          <w:bCs/>
          <w:sz w:val="28"/>
          <w:szCs w:val="28"/>
        </w:rPr>
        <w:t xml:space="preserve">regulating the handling, use, and disposition of hazardous evidence in </w:t>
      </w:r>
      <w:r w:rsidR="0079141B">
        <w:rPr>
          <w:rFonts w:ascii="Times New Roman" w:hAnsi="Times New Roman"/>
          <w:b/>
          <w:bCs/>
          <w:sz w:val="28"/>
          <w:szCs w:val="28"/>
        </w:rPr>
        <w:t xml:space="preserve">cases where </w:t>
      </w:r>
      <w:r w:rsidR="00C610CF">
        <w:rPr>
          <w:rFonts w:ascii="Times New Roman" w:hAnsi="Times New Roman"/>
          <w:b/>
          <w:bCs/>
          <w:sz w:val="28"/>
          <w:szCs w:val="28"/>
        </w:rPr>
        <w:t>it</w:t>
      </w:r>
      <w:r w:rsidR="0079141B">
        <w:rPr>
          <w:rFonts w:ascii="Times New Roman" w:hAnsi="Times New Roman"/>
          <w:b/>
          <w:bCs/>
          <w:sz w:val="28"/>
          <w:szCs w:val="28"/>
        </w:rPr>
        <w:t xml:space="preserve"> is allowed into the courtroom. </w:t>
      </w:r>
    </w:p>
    <w:p w14:paraId="754FE8F2" w14:textId="6209E977" w:rsidR="00BD5CC8" w:rsidRDefault="00BD5CC8" w:rsidP="00BD5CC8">
      <w:pPr>
        <w:widowControl/>
        <w:jc w:val="both"/>
        <w:rPr>
          <w:rFonts w:ascii="Times New Roman" w:hAnsi="Times New Roman"/>
          <w:b/>
          <w:bCs/>
          <w:sz w:val="28"/>
          <w:szCs w:val="28"/>
        </w:rPr>
      </w:pPr>
    </w:p>
    <w:p w14:paraId="6AAAAC79" w14:textId="231445C1" w:rsidR="0079141B" w:rsidRPr="008F1268" w:rsidRDefault="00BD5CC8" w:rsidP="008F1268">
      <w:pPr>
        <w:widowControl/>
        <w:spacing w:line="480" w:lineRule="auto"/>
        <w:ind w:firstLine="720"/>
        <w:jc w:val="both"/>
        <w:rPr>
          <w:rFonts w:ascii="Times New Roman" w:hAnsi="Times New Roman"/>
          <w:sz w:val="22"/>
          <w:szCs w:val="22"/>
        </w:rPr>
      </w:pPr>
      <w:r>
        <w:rPr>
          <w:rFonts w:ascii="Times New Roman" w:hAnsi="Times New Roman"/>
          <w:sz w:val="28"/>
          <w:szCs w:val="28"/>
        </w:rPr>
        <w:t xml:space="preserve">Proposed Rule 611 is silent on standards for trial courts to consider </w:t>
      </w:r>
      <w:proofErr w:type="gramStart"/>
      <w:r>
        <w:rPr>
          <w:rFonts w:ascii="Times New Roman" w:hAnsi="Times New Roman"/>
          <w:sz w:val="28"/>
          <w:szCs w:val="28"/>
        </w:rPr>
        <w:t xml:space="preserve">in the event </w:t>
      </w:r>
      <w:r w:rsidR="00750ACC">
        <w:rPr>
          <w:rFonts w:ascii="Times New Roman" w:hAnsi="Times New Roman"/>
          <w:sz w:val="28"/>
          <w:szCs w:val="28"/>
        </w:rPr>
        <w:t>that</w:t>
      </w:r>
      <w:proofErr w:type="gramEnd"/>
      <w:r w:rsidR="00750ACC">
        <w:rPr>
          <w:rFonts w:ascii="Times New Roman" w:hAnsi="Times New Roman"/>
          <w:sz w:val="28"/>
          <w:szCs w:val="28"/>
        </w:rPr>
        <w:t xml:space="preserve"> </w:t>
      </w:r>
      <w:r>
        <w:rPr>
          <w:rFonts w:ascii="Times New Roman" w:hAnsi="Times New Roman"/>
          <w:sz w:val="28"/>
          <w:szCs w:val="28"/>
        </w:rPr>
        <w:t>hazardous evidence is allowed into the courtroom</w:t>
      </w:r>
      <w:r w:rsidR="00391996">
        <w:rPr>
          <w:rFonts w:ascii="Times New Roman" w:hAnsi="Times New Roman"/>
          <w:sz w:val="28"/>
          <w:szCs w:val="28"/>
        </w:rPr>
        <w:t xml:space="preserve">, beyond prohibiting </w:t>
      </w:r>
      <w:r w:rsidR="006F4712">
        <w:rPr>
          <w:rFonts w:ascii="Times New Roman" w:hAnsi="Times New Roman"/>
          <w:sz w:val="28"/>
          <w:szCs w:val="28"/>
        </w:rPr>
        <w:lastRenderedPageBreak/>
        <w:t>juror handling of hazardous evidence</w:t>
      </w:r>
      <w:r>
        <w:rPr>
          <w:rFonts w:ascii="Times New Roman" w:hAnsi="Times New Roman"/>
          <w:sz w:val="28"/>
          <w:szCs w:val="28"/>
        </w:rPr>
        <w:t xml:space="preserve">. </w:t>
      </w:r>
      <w:r w:rsidR="004A5356">
        <w:rPr>
          <w:rFonts w:ascii="Times New Roman" w:hAnsi="Times New Roman"/>
          <w:sz w:val="28"/>
          <w:szCs w:val="28"/>
        </w:rPr>
        <w:t>Adding a non-exhaustive list of discretionary factors that trial courts may use</w:t>
      </w:r>
      <w:r w:rsidR="00C610CF">
        <w:rPr>
          <w:rFonts w:ascii="Times New Roman" w:hAnsi="Times New Roman"/>
          <w:sz w:val="28"/>
          <w:szCs w:val="28"/>
        </w:rPr>
        <w:t xml:space="preserve"> to regulate the handling, use, and disposition</w:t>
      </w:r>
      <w:r w:rsidR="00616FB1">
        <w:rPr>
          <w:rFonts w:ascii="Times New Roman" w:hAnsi="Times New Roman"/>
          <w:sz w:val="28"/>
          <w:szCs w:val="28"/>
        </w:rPr>
        <w:t xml:space="preserve"> of hazardous evidence promotes the goal of protecting court staff</w:t>
      </w:r>
      <w:r w:rsidR="00E52043">
        <w:rPr>
          <w:rFonts w:ascii="Times New Roman" w:hAnsi="Times New Roman"/>
          <w:sz w:val="28"/>
          <w:szCs w:val="28"/>
        </w:rPr>
        <w:t xml:space="preserve">, </w:t>
      </w:r>
      <w:r w:rsidR="00616FB1">
        <w:rPr>
          <w:rFonts w:ascii="Times New Roman" w:hAnsi="Times New Roman"/>
          <w:sz w:val="28"/>
          <w:szCs w:val="28"/>
        </w:rPr>
        <w:t>security</w:t>
      </w:r>
      <w:r w:rsidR="00E52043">
        <w:rPr>
          <w:rFonts w:ascii="Times New Roman" w:hAnsi="Times New Roman"/>
          <w:sz w:val="28"/>
          <w:szCs w:val="28"/>
        </w:rPr>
        <w:t xml:space="preserve"> personnel</w:t>
      </w:r>
      <w:r w:rsidR="00616FB1">
        <w:rPr>
          <w:rFonts w:ascii="Times New Roman" w:hAnsi="Times New Roman"/>
          <w:sz w:val="28"/>
          <w:szCs w:val="28"/>
        </w:rPr>
        <w:t>, jurors,</w:t>
      </w:r>
      <w:r w:rsidR="002941F7">
        <w:rPr>
          <w:rFonts w:ascii="Times New Roman" w:hAnsi="Times New Roman"/>
          <w:sz w:val="28"/>
          <w:szCs w:val="28"/>
        </w:rPr>
        <w:t xml:space="preserve"> attorneys,</w:t>
      </w:r>
      <w:r w:rsidR="00616FB1">
        <w:rPr>
          <w:rFonts w:ascii="Times New Roman" w:hAnsi="Times New Roman"/>
          <w:sz w:val="28"/>
          <w:szCs w:val="28"/>
        </w:rPr>
        <w:t xml:space="preserve"> and litigants</w:t>
      </w:r>
      <w:r w:rsidR="00F57A90">
        <w:rPr>
          <w:rFonts w:ascii="Times New Roman" w:hAnsi="Times New Roman"/>
          <w:sz w:val="28"/>
          <w:szCs w:val="28"/>
        </w:rPr>
        <w:t xml:space="preserve"> from accidental exposure.</w:t>
      </w:r>
      <w:r w:rsidR="00786008">
        <w:rPr>
          <w:rFonts w:ascii="Times New Roman" w:hAnsi="Times New Roman"/>
          <w:sz w:val="28"/>
          <w:szCs w:val="28"/>
        </w:rPr>
        <w:t xml:space="preserve"> </w:t>
      </w:r>
      <w:r w:rsidR="00DA3E13">
        <w:rPr>
          <w:rFonts w:ascii="Times New Roman" w:hAnsi="Times New Roman"/>
          <w:sz w:val="28"/>
          <w:szCs w:val="28"/>
        </w:rPr>
        <w:t>Minnesota</w:t>
      </w:r>
      <w:r w:rsidR="005F72B6">
        <w:rPr>
          <w:rFonts w:ascii="Times New Roman" w:hAnsi="Times New Roman"/>
          <w:sz w:val="28"/>
          <w:szCs w:val="28"/>
        </w:rPr>
        <w:t xml:space="preserve"> and Oregon </w:t>
      </w:r>
      <w:r w:rsidR="008E6633">
        <w:rPr>
          <w:rFonts w:ascii="Times New Roman" w:hAnsi="Times New Roman"/>
          <w:sz w:val="28"/>
          <w:szCs w:val="28"/>
        </w:rPr>
        <w:t xml:space="preserve">have </w:t>
      </w:r>
      <w:r w:rsidR="004F5027">
        <w:rPr>
          <w:rFonts w:ascii="Times New Roman" w:hAnsi="Times New Roman"/>
          <w:sz w:val="28"/>
          <w:szCs w:val="28"/>
        </w:rPr>
        <w:t xml:space="preserve">both </w:t>
      </w:r>
      <w:r w:rsidR="008E6633">
        <w:rPr>
          <w:rFonts w:ascii="Times New Roman" w:hAnsi="Times New Roman"/>
          <w:sz w:val="28"/>
          <w:szCs w:val="28"/>
        </w:rPr>
        <w:t>issued court rules including factors t</w:t>
      </w:r>
      <w:r w:rsidR="00532D6D">
        <w:rPr>
          <w:rFonts w:ascii="Times New Roman" w:hAnsi="Times New Roman"/>
          <w:sz w:val="28"/>
          <w:szCs w:val="28"/>
        </w:rPr>
        <w:t>hat courts may consider before issuing orders.</w:t>
      </w:r>
      <w:r w:rsidR="0042593D" w:rsidRPr="0042593D">
        <w:rPr>
          <w:rStyle w:val="FootnoteReference"/>
          <w:rFonts w:ascii="Times New Roman" w:hAnsi="Times New Roman"/>
          <w:sz w:val="22"/>
          <w:szCs w:val="22"/>
          <w:vertAlign w:val="superscript"/>
        </w:rPr>
        <w:footnoteReference w:id="4"/>
      </w:r>
      <w:r w:rsidR="00557215">
        <w:rPr>
          <w:rFonts w:ascii="Times New Roman" w:hAnsi="Times New Roman"/>
          <w:sz w:val="22"/>
          <w:szCs w:val="22"/>
          <w:vertAlign w:val="superscript"/>
        </w:rPr>
        <w:t xml:space="preserve"> </w:t>
      </w:r>
    </w:p>
    <w:p w14:paraId="001CC47D" w14:textId="0BBA6FEF" w:rsidR="0079141B" w:rsidRDefault="004F3092" w:rsidP="00834DE7">
      <w:pPr>
        <w:pStyle w:val="ListParagraph"/>
        <w:widowControl/>
        <w:numPr>
          <w:ilvl w:val="0"/>
          <w:numId w:val="3"/>
        </w:numPr>
        <w:jc w:val="both"/>
        <w:rPr>
          <w:rFonts w:ascii="Times New Roman" w:hAnsi="Times New Roman"/>
          <w:b/>
          <w:bCs/>
          <w:sz w:val="28"/>
          <w:szCs w:val="28"/>
        </w:rPr>
      </w:pPr>
      <w:r>
        <w:rPr>
          <w:rFonts w:ascii="Times New Roman" w:hAnsi="Times New Roman"/>
          <w:b/>
          <w:bCs/>
          <w:sz w:val="28"/>
          <w:szCs w:val="28"/>
        </w:rPr>
        <w:t xml:space="preserve">Amend Proposed Rule 611 to provide a </w:t>
      </w:r>
      <w:r w:rsidR="00E2015A">
        <w:rPr>
          <w:rFonts w:ascii="Times New Roman" w:hAnsi="Times New Roman"/>
          <w:b/>
          <w:bCs/>
          <w:sz w:val="28"/>
          <w:szCs w:val="28"/>
        </w:rPr>
        <w:t>balancing of probative value and prejudicial effect, and consider</w:t>
      </w:r>
      <w:r w:rsidR="00673637">
        <w:rPr>
          <w:rFonts w:ascii="Times New Roman" w:hAnsi="Times New Roman"/>
          <w:b/>
          <w:bCs/>
          <w:sz w:val="28"/>
          <w:szCs w:val="28"/>
        </w:rPr>
        <w:t xml:space="preserve"> </w:t>
      </w:r>
      <w:r w:rsidR="00E2015A">
        <w:rPr>
          <w:rFonts w:ascii="Times New Roman" w:hAnsi="Times New Roman"/>
          <w:b/>
          <w:bCs/>
          <w:sz w:val="28"/>
          <w:szCs w:val="28"/>
        </w:rPr>
        <w:t xml:space="preserve">a </w:t>
      </w:r>
      <w:r w:rsidR="00A2020B">
        <w:rPr>
          <w:rFonts w:ascii="Times New Roman" w:hAnsi="Times New Roman"/>
          <w:b/>
          <w:bCs/>
          <w:sz w:val="28"/>
          <w:szCs w:val="28"/>
        </w:rPr>
        <w:t xml:space="preserve">standard </w:t>
      </w:r>
      <w:r w:rsidR="00E2015A">
        <w:rPr>
          <w:rFonts w:ascii="Times New Roman" w:hAnsi="Times New Roman"/>
          <w:b/>
          <w:bCs/>
          <w:sz w:val="28"/>
          <w:szCs w:val="28"/>
        </w:rPr>
        <w:t xml:space="preserve">jury instruction to cure any prejudicial effect </w:t>
      </w:r>
      <w:r w:rsidR="00A56A18">
        <w:rPr>
          <w:rFonts w:ascii="Times New Roman" w:hAnsi="Times New Roman"/>
          <w:b/>
          <w:bCs/>
          <w:sz w:val="28"/>
          <w:szCs w:val="28"/>
        </w:rPr>
        <w:t xml:space="preserve">inherent in showing juries exhibits </w:t>
      </w:r>
      <w:r w:rsidR="00447869">
        <w:rPr>
          <w:rFonts w:ascii="Times New Roman" w:hAnsi="Times New Roman"/>
          <w:b/>
          <w:bCs/>
          <w:sz w:val="28"/>
          <w:szCs w:val="28"/>
        </w:rPr>
        <w:t xml:space="preserve">categorized as </w:t>
      </w:r>
      <w:r w:rsidR="007C1ED2">
        <w:rPr>
          <w:rFonts w:ascii="Times New Roman" w:hAnsi="Times New Roman"/>
          <w:b/>
          <w:bCs/>
          <w:sz w:val="28"/>
          <w:szCs w:val="28"/>
        </w:rPr>
        <w:t xml:space="preserve">a </w:t>
      </w:r>
      <w:r w:rsidR="00447869">
        <w:rPr>
          <w:rFonts w:ascii="Times New Roman" w:hAnsi="Times New Roman"/>
          <w:b/>
          <w:bCs/>
          <w:sz w:val="28"/>
          <w:szCs w:val="28"/>
        </w:rPr>
        <w:t>“</w:t>
      </w:r>
      <w:r w:rsidR="007C1ED2">
        <w:rPr>
          <w:rFonts w:ascii="Times New Roman" w:hAnsi="Times New Roman"/>
          <w:b/>
          <w:bCs/>
          <w:sz w:val="28"/>
          <w:szCs w:val="28"/>
        </w:rPr>
        <w:t xml:space="preserve">digital representation of </w:t>
      </w:r>
      <w:r w:rsidR="00447869">
        <w:rPr>
          <w:rFonts w:ascii="Times New Roman" w:hAnsi="Times New Roman"/>
          <w:b/>
          <w:bCs/>
          <w:sz w:val="28"/>
          <w:szCs w:val="28"/>
        </w:rPr>
        <w:t>hazardous evidence.”</w:t>
      </w:r>
    </w:p>
    <w:p w14:paraId="66321B9A" w14:textId="6F2BBA02" w:rsidR="00447869" w:rsidRDefault="00447869" w:rsidP="00447869">
      <w:pPr>
        <w:widowControl/>
        <w:jc w:val="both"/>
        <w:rPr>
          <w:rFonts w:ascii="Times New Roman" w:hAnsi="Times New Roman"/>
          <w:b/>
          <w:bCs/>
          <w:sz w:val="28"/>
          <w:szCs w:val="28"/>
        </w:rPr>
      </w:pPr>
    </w:p>
    <w:p w14:paraId="17451B15" w14:textId="4A48E5B1" w:rsidR="00673637" w:rsidRDefault="00C12E27" w:rsidP="008F1268">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Proposed Rule 611 promotes interests of public safety and courtroom security against exposure to hazardous materials. </w:t>
      </w:r>
      <w:r w:rsidR="001249CF">
        <w:rPr>
          <w:rFonts w:ascii="Times New Roman" w:hAnsi="Times New Roman"/>
          <w:sz w:val="28"/>
          <w:szCs w:val="28"/>
        </w:rPr>
        <w:t xml:space="preserve">At the same time, offering “digital representation[s] of </w:t>
      </w:r>
      <w:r w:rsidR="001249CF" w:rsidRPr="00E460C8">
        <w:rPr>
          <w:rFonts w:ascii="Times New Roman" w:hAnsi="Times New Roman"/>
          <w:sz w:val="28"/>
          <w:szCs w:val="28"/>
        </w:rPr>
        <w:t>hazardous</w:t>
      </w:r>
      <w:r w:rsidR="001249CF">
        <w:rPr>
          <w:rFonts w:ascii="Times New Roman" w:hAnsi="Times New Roman"/>
          <w:sz w:val="28"/>
          <w:szCs w:val="28"/>
        </w:rPr>
        <w:t xml:space="preserve"> evidence” by its</w:t>
      </w:r>
      <w:r w:rsidR="00E113E5">
        <w:rPr>
          <w:rFonts w:ascii="Times New Roman" w:hAnsi="Times New Roman"/>
          <w:sz w:val="28"/>
          <w:szCs w:val="28"/>
        </w:rPr>
        <w:t xml:space="preserve"> own</w:t>
      </w:r>
      <w:r w:rsidR="001249CF">
        <w:rPr>
          <w:rFonts w:ascii="Times New Roman" w:hAnsi="Times New Roman"/>
          <w:sz w:val="28"/>
          <w:szCs w:val="28"/>
        </w:rPr>
        <w:t xml:space="preserve"> terms suggests the potential for prejudicial effect on </w:t>
      </w:r>
      <w:r w:rsidR="00E113E5">
        <w:rPr>
          <w:rFonts w:ascii="Times New Roman" w:hAnsi="Times New Roman"/>
          <w:sz w:val="28"/>
          <w:szCs w:val="28"/>
        </w:rPr>
        <w:t>the jury. To minimize the risk for undue prejudice</w:t>
      </w:r>
      <w:r w:rsidR="00380D59">
        <w:rPr>
          <w:rFonts w:ascii="Times New Roman" w:hAnsi="Times New Roman"/>
          <w:sz w:val="28"/>
          <w:szCs w:val="28"/>
        </w:rPr>
        <w:t>, Proposed Rule 611 should be amended to include a judicial determination of prejudic</w:t>
      </w:r>
      <w:r w:rsidR="00BC35DA">
        <w:rPr>
          <w:rFonts w:ascii="Times New Roman" w:hAnsi="Times New Roman"/>
          <w:sz w:val="28"/>
          <w:szCs w:val="28"/>
        </w:rPr>
        <w:t>ial effect on a case-by-case basis</w:t>
      </w:r>
      <w:r w:rsidR="00034787">
        <w:rPr>
          <w:rFonts w:ascii="Times New Roman" w:hAnsi="Times New Roman"/>
          <w:sz w:val="28"/>
          <w:szCs w:val="28"/>
        </w:rPr>
        <w:t xml:space="preserve">, </w:t>
      </w:r>
      <w:r w:rsidR="000C2D0C">
        <w:rPr>
          <w:rFonts w:ascii="Times New Roman" w:hAnsi="Times New Roman"/>
          <w:sz w:val="28"/>
          <w:szCs w:val="28"/>
        </w:rPr>
        <w:t>and require the proponent of a digital representation of hazardous evidence to give written notice</w:t>
      </w:r>
      <w:r w:rsidR="00430989">
        <w:rPr>
          <w:rFonts w:ascii="Times New Roman" w:hAnsi="Times New Roman"/>
          <w:sz w:val="28"/>
          <w:szCs w:val="28"/>
        </w:rPr>
        <w:t xml:space="preserve"> of its intent to offer the digital representation as an exhibit</w:t>
      </w:r>
      <w:r w:rsidR="00BC35DA">
        <w:rPr>
          <w:rFonts w:ascii="Times New Roman" w:hAnsi="Times New Roman"/>
          <w:sz w:val="28"/>
          <w:szCs w:val="28"/>
        </w:rPr>
        <w:t>. The Court should also consider</w:t>
      </w:r>
      <w:r w:rsidR="00673637">
        <w:rPr>
          <w:rFonts w:ascii="Times New Roman" w:hAnsi="Times New Roman"/>
          <w:sz w:val="28"/>
          <w:szCs w:val="28"/>
        </w:rPr>
        <w:t xml:space="preserve"> a curative standard jury instruction in the alternative.</w:t>
      </w:r>
    </w:p>
    <w:p w14:paraId="69A0A2E5" w14:textId="77777777" w:rsidR="007E57F6" w:rsidRPr="00986215" w:rsidRDefault="007E57F6" w:rsidP="008F1268">
      <w:pPr>
        <w:widowControl/>
        <w:spacing w:line="480" w:lineRule="auto"/>
        <w:ind w:firstLine="720"/>
        <w:contextualSpacing/>
        <w:jc w:val="both"/>
        <w:rPr>
          <w:rFonts w:ascii="Times New Roman" w:hAnsi="Times New Roman"/>
          <w:sz w:val="28"/>
          <w:szCs w:val="28"/>
        </w:rPr>
      </w:pPr>
    </w:p>
    <w:p w14:paraId="7FA910C6" w14:textId="2B055B8A" w:rsidR="00447869" w:rsidRDefault="00AC1ECB" w:rsidP="001577CF">
      <w:pPr>
        <w:pStyle w:val="ListParagraph"/>
        <w:widowControl/>
        <w:numPr>
          <w:ilvl w:val="0"/>
          <w:numId w:val="9"/>
        </w:numPr>
        <w:jc w:val="both"/>
        <w:rPr>
          <w:rFonts w:ascii="Times New Roman" w:hAnsi="Times New Roman"/>
          <w:sz w:val="28"/>
          <w:szCs w:val="28"/>
          <w:u w:val="single"/>
        </w:rPr>
      </w:pPr>
      <w:r w:rsidRPr="001577CF">
        <w:rPr>
          <w:rFonts w:ascii="Times New Roman" w:hAnsi="Times New Roman"/>
          <w:sz w:val="28"/>
          <w:szCs w:val="28"/>
          <w:u w:val="single"/>
        </w:rPr>
        <w:lastRenderedPageBreak/>
        <w:t>Provide a balancing test in Proposed Rule 611</w:t>
      </w:r>
      <w:r w:rsidR="00D87C95">
        <w:rPr>
          <w:rFonts w:ascii="Times New Roman" w:hAnsi="Times New Roman"/>
          <w:sz w:val="28"/>
          <w:szCs w:val="28"/>
          <w:u w:val="single"/>
        </w:rPr>
        <w:t xml:space="preserve"> and consider creating a standard curative jury instruction</w:t>
      </w:r>
      <w:r w:rsidRPr="001577CF">
        <w:rPr>
          <w:rFonts w:ascii="Times New Roman" w:hAnsi="Times New Roman"/>
          <w:sz w:val="28"/>
          <w:szCs w:val="28"/>
          <w:u w:val="single"/>
        </w:rPr>
        <w:t xml:space="preserve">. </w:t>
      </w:r>
    </w:p>
    <w:p w14:paraId="5A67EDD9" w14:textId="3E50887E" w:rsidR="00673637" w:rsidRDefault="00673637" w:rsidP="00673637">
      <w:pPr>
        <w:widowControl/>
        <w:jc w:val="both"/>
        <w:rPr>
          <w:rFonts w:ascii="Times New Roman" w:hAnsi="Times New Roman"/>
          <w:sz w:val="28"/>
          <w:szCs w:val="28"/>
          <w:u w:val="single"/>
        </w:rPr>
      </w:pPr>
    </w:p>
    <w:p w14:paraId="049D32E3" w14:textId="503FA25A" w:rsidR="00275820" w:rsidRDefault="00C132DD" w:rsidP="008F1268">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t>S</w:t>
      </w:r>
      <w:r w:rsidR="00A23176">
        <w:rPr>
          <w:rFonts w:ascii="Times New Roman" w:hAnsi="Times New Roman"/>
          <w:sz w:val="28"/>
          <w:szCs w:val="28"/>
        </w:rPr>
        <w:t xml:space="preserve">ecurity or public safety concerns weigh in favor of </w:t>
      </w:r>
      <w:r>
        <w:rPr>
          <w:rFonts w:ascii="Times New Roman" w:hAnsi="Times New Roman"/>
          <w:sz w:val="28"/>
          <w:szCs w:val="28"/>
        </w:rPr>
        <w:t>insulating court staff, attorneys, and jurors against the risk of accidental exposure to hazardous substances</w:t>
      </w:r>
      <w:r w:rsidR="00A8510F">
        <w:rPr>
          <w:rFonts w:ascii="Times New Roman" w:hAnsi="Times New Roman"/>
          <w:sz w:val="28"/>
          <w:szCs w:val="28"/>
        </w:rPr>
        <w:t xml:space="preserve"> being used as exhibits during trial. </w:t>
      </w:r>
      <w:r w:rsidR="008D04AD">
        <w:rPr>
          <w:rFonts w:ascii="Times New Roman" w:hAnsi="Times New Roman"/>
          <w:sz w:val="28"/>
          <w:szCs w:val="28"/>
        </w:rPr>
        <w:t xml:space="preserve">At the same time, </w:t>
      </w:r>
      <w:r w:rsidR="00CB5401">
        <w:rPr>
          <w:rFonts w:ascii="Times New Roman" w:hAnsi="Times New Roman"/>
          <w:sz w:val="28"/>
          <w:szCs w:val="28"/>
        </w:rPr>
        <w:t xml:space="preserve">the term “hazardous evidence” implies dangerousness by its very nature. Moreover, the packaging and markings used to identify </w:t>
      </w:r>
      <w:r w:rsidR="008F48ED">
        <w:rPr>
          <w:rFonts w:ascii="Times New Roman" w:hAnsi="Times New Roman"/>
          <w:sz w:val="28"/>
          <w:szCs w:val="28"/>
        </w:rPr>
        <w:t xml:space="preserve">substances like fentanyl (hazard or poison symbols used by </w:t>
      </w:r>
      <w:r w:rsidR="005F7C38">
        <w:rPr>
          <w:rFonts w:ascii="Times New Roman" w:hAnsi="Times New Roman"/>
          <w:sz w:val="28"/>
          <w:szCs w:val="28"/>
        </w:rPr>
        <w:t xml:space="preserve">public health, poison control, and </w:t>
      </w:r>
      <w:r w:rsidR="003D6C46">
        <w:rPr>
          <w:rFonts w:ascii="Times New Roman" w:hAnsi="Times New Roman"/>
          <w:sz w:val="28"/>
          <w:szCs w:val="28"/>
        </w:rPr>
        <w:t>law enforcement</w:t>
      </w:r>
      <w:r w:rsidR="005F7C38">
        <w:rPr>
          <w:rFonts w:ascii="Times New Roman" w:hAnsi="Times New Roman"/>
          <w:sz w:val="28"/>
          <w:szCs w:val="28"/>
        </w:rPr>
        <w:t>;</w:t>
      </w:r>
      <w:r w:rsidR="003D6C46">
        <w:rPr>
          <w:rFonts w:ascii="Times New Roman" w:hAnsi="Times New Roman"/>
          <w:sz w:val="28"/>
          <w:szCs w:val="28"/>
        </w:rPr>
        <w:t xml:space="preserve"> “skull-and-bones” symbol used to signify poisonous substances</w:t>
      </w:r>
      <w:r w:rsidR="00050F69" w:rsidRPr="00050F69">
        <w:rPr>
          <w:rStyle w:val="FootnoteReference"/>
          <w:rFonts w:ascii="Times New Roman" w:hAnsi="Times New Roman"/>
          <w:sz w:val="28"/>
          <w:szCs w:val="28"/>
          <w:vertAlign w:val="superscript"/>
        </w:rPr>
        <w:footnoteReference w:id="5"/>
      </w:r>
      <w:r w:rsidR="003D6C46">
        <w:rPr>
          <w:rFonts w:ascii="Times New Roman" w:hAnsi="Times New Roman"/>
          <w:sz w:val="28"/>
          <w:szCs w:val="28"/>
        </w:rPr>
        <w:t>)</w:t>
      </w:r>
      <w:r w:rsidR="00275820">
        <w:rPr>
          <w:rFonts w:ascii="Times New Roman" w:hAnsi="Times New Roman"/>
          <w:sz w:val="28"/>
          <w:szCs w:val="28"/>
        </w:rPr>
        <w:t xml:space="preserve"> suggest the inherent dangerousness of the substances. </w:t>
      </w:r>
    </w:p>
    <w:p w14:paraId="5A027004" w14:textId="412A5871" w:rsidR="001C0244" w:rsidRDefault="001043BB" w:rsidP="008F1268">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To analogize, </w:t>
      </w:r>
      <w:r w:rsidR="00716F34">
        <w:rPr>
          <w:rFonts w:ascii="Times New Roman" w:hAnsi="Times New Roman"/>
          <w:sz w:val="28"/>
          <w:szCs w:val="28"/>
        </w:rPr>
        <w:t xml:space="preserve">in </w:t>
      </w:r>
      <w:r w:rsidR="00716F34">
        <w:rPr>
          <w:rFonts w:ascii="Times New Roman" w:hAnsi="Times New Roman"/>
          <w:i/>
          <w:iCs/>
          <w:sz w:val="28"/>
          <w:szCs w:val="28"/>
        </w:rPr>
        <w:t xml:space="preserve">Deck v. </w:t>
      </w:r>
      <w:r w:rsidR="00716F34" w:rsidRPr="00716F34">
        <w:rPr>
          <w:rFonts w:ascii="Times New Roman" w:hAnsi="Times New Roman"/>
          <w:i/>
          <w:iCs/>
          <w:sz w:val="28"/>
          <w:szCs w:val="28"/>
        </w:rPr>
        <w:t>Missouri</w:t>
      </w:r>
      <w:r w:rsidR="00716F34">
        <w:rPr>
          <w:rFonts w:ascii="Times New Roman" w:hAnsi="Times New Roman"/>
          <w:sz w:val="28"/>
          <w:szCs w:val="28"/>
        </w:rPr>
        <w:t xml:space="preserve">, </w:t>
      </w:r>
      <w:r w:rsidRPr="00716F34">
        <w:rPr>
          <w:rFonts w:ascii="Times New Roman" w:hAnsi="Times New Roman"/>
          <w:sz w:val="28"/>
          <w:szCs w:val="28"/>
        </w:rPr>
        <w:t>the</w:t>
      </w:r>
      <w:r>
        <w:rPr>
          <w:rFonts w:ascii="Times New Roman" w:hAnsi="Times New Roman"/>
          <w:sz w:val="28"/>
          <w:szCs w:val="28"/>
        </w:rPr>
        <w:t xml:space="preserve"> United States Supreme Court examined the </w:t>
      </w:r>
      <w:r w:rsidR="00F44438">
        <w:rPr>
          <w:rFonts w:ascii="Times New Roman" w:hAnsi="Times New Roman"/>
          <w:sz w:val="28"/>
          <w:szCs w:val="28"/>
        </w:rPr>
        <w:t xml:space="preserve">issue of allowing juries to see </w:t>
      </w:r>
      <w:r w:rsidR="00716F34">
        <w:rPr>
          <w:rFonts w:ascii="Times New Roman" w:hAnsi="Times New Roman"/>
          <w:sz w:val="28"/>
          <w:szCs w:val="28"/>
        </w:rPr>
        <w:t>defendants shackled</w:t>
      </w:r>
      <w:r w:rsidR="00F44438">
        <w:rPr>
          <w:rFonts w:ascii="Times New Roman" w:hAnsi="Times New Roman"/>
          <w:sz w:val="28"/>
          <w:szCs w:val="28"/>
        </w:rPr>
        <w:t xml:space="preserve"> during capital </w:t>
      </w:r>
      <w:r w:rsidR="00431AAF">
        <w:rPr>
          <w:rFonts w:ascii="Times New Roman" w:hAnsi="Times New Roman"/>
          <w:sz w:val="28"/>
          <w:szCs w:val="28"/>
        </w:rPr>
        <w:t>cases</w:t>
      </w:r>
      <w:r w:rsidR="00716F34">
        <w:rPr>
          <w:rFonts w:ascii="Times New Roman" w:hAnsi="Times New Roman"/>
          <w:sz w:val="28"/>
          <w:szCs w:val="28"/>
        </w:rPr>
        <w:t xml:space="preserve">. </w:t>
      </w:r>
      <w:r w:rsidR="001C0244">
        <w:rPr>
          <w:rFonts w:ascii="Times New Roman" w:hAnsi="Times New Roman"/>
          <w:sz w:val="28"/>
          <w:szCs w:val="28"/>
        </w:rPr>
        <w:t>5</w:t>
      </w:r>
      <w:r w:rsidR="00A03872">
        <w:rPr>
          <w:rFonts w:ascii="Times New Roman" w:hAnsi="Times New Roman"/>
          <w:sz w:val="28"/>
          <w:szCs w:val="28"/>
        </w:rPr>
        <w:t>44</w:t>
      </w:r>
      <w:r w:rsidR="001C0244">
        <w:rPr>
          <w:rFonts w:ascii="Times New Roman" w:hAnsi="Times New Roman"/>
          <w:sz w:val="28"/>
          <w:szCs w:val="28"/>
        </w:rPr>
        <w:t xml:space="preserve"> U.S. 622</w:t>
      </w:r>
      <w:r w:rsidR="004E06E6">
        <w:rPr>
          <w:rFonts w:ascii="Times New Roman" w:hAnsi="Times New Roman"/>
          <w:sz w:val="28"/>
          <w:szCs w:val="28"/>
        </w:rPr>
        <w:t>, 633 (2007)</w:t>
      </w:r>
      <w:r w:rsidR="001C0244">
        <w:rPr>
          <w:rFonts w:ascii="Times New Roman" w:hAnsi="Times New Roman"/>
          <w:sz w:val="28"/>
          <w:szCs w:val="28"/>
        </w:rPr>
        <w:t>. There, the Court noted that:</w:t>
      </w:r>
    </w:p>
    <w:p w14:paraId="1A244450" w14:textId="5158F65A" w:rsidR="00B852C2" w:rsidRDefault="001C0244" w:rsidP="003460AF">
      <w:pPr>
        <w:widowControl/>
        <w:ind w:left="720" w:right="720"/>
        <w:jc w:val="both"/>
        <w:rPr>
          <w:rFonts w:ascii="Times New Roman" w:hAnsi="Times New Roman"/>
          <w:sz w:val="28"/>
          <w:szCs w:val="28"/>
        </w:rPr>
      </w:pPr>
      <w:r>
        <w:rPr>
          <w:rFonts w:ascii="Times New Roman" w:hAnsi="Times New Roman"/>
          <w:sz w:val="28"/>
          <w:szCs w:val="28"/>
        </w:rPr>
        <w:t>“[t]he appearance of the offender […] in shackles, however, almost inevitably implies to a jury</w:t>
      </w:r>
      <w:r w:rsidR="000A14C5">
        <w:rPr>
          <w:rFonts w:ascii="Times New Roman" w:hAnsi="Times New Roman"/>
          <w:sz w:val="28"/>
          <w:szCs w:val="28"/>
        </w:rPr>
        <w:t>, as a matter of common sense, that court authorities consider the offender a danger to the community</w:t>
      </w:r>
      <w:r w:rsidR="00B852C2">
        <w:rPr>
          <w:rFonts w:ascii="Times New Roman" w:hAnsi="Times New Roman"/>
          <w:sz w:val="28"/>
          <w:szCs w:val="28"/>
        </w:rPr>
        <w:t xml:space="preserve"> [….] and it thereby inevitably undermines the jury’s </w:t>
      </w:r>
      <w:r w:rsidR="00282246">
        <w:rPr>
          <w:rFonts w:ascii="Times New Roman" w:hAnsi="Times New Roman"/>
          <w:sz w:val="28"/>
          <w:szCs w:val="28"/>
        </w:rPr>
        <w:t xml:space="preserve">ability to weigh accurately all relevant considerations – considerations that are often unquantifiable and elusive – when it determines whether a defendant deserves </w:t>
      </w:r>
      <w:r w:rsidR="00FD4BB4">
        <w:rPr>
          <w:rFonts w:ascii="Times New Roman" w:hAnsi="Times New Roman"/>
          <w:sz w:val="28"/>
          <w:szCs w:val="28"/>
        </w:rPr>
        <w:t>death.</w:t>
      </w:r>
      <w:r w:rsidR="00282246">
        <w:rPr>
          <w:rFonts w:ascii="Times New Roman" w:hAnsi="Times New Roman"/>
          <w:sz w:val="28"/>
          <w:szCs w:val="28"/>
        </w:rPr>
        <w:t>”</w:t>
      </w:r>
    </w:p>
    <w:p w14:paraId="5CEFAD6A" w14:textId="6B800729" w:rsidR="008B1FE2" w:rsidRDefault="008B1FE2" w:rsidP="003460AF">
      <w:pPr>
        <w:widowControl/>
        <w:ind w:left="720" w:right="720"/>
        <w:jc w:val="both"/>
        <w:rPr>
          <w:rFonts w:ascii="Times New Roman" w:hAnsi="Times New Roman"/>
          <w:sz w:val="28"/>
          <w:szCs w:val="28"/>
        </w:rPr>
      </w:pPr>
    </w:p>
    <w:p w14:paraId="299FA53C" w14:textId="7F11F1D5" w:rsidR="008B1FE2" w:rsidRPr="004E06E6" w:rsidRDefault="004E06E6" w:rsidP="007C214A">
      <w:pPr>
        <w:widowControl/>
        <w:ind w:right="720"/>
        <w:jc w:val="both"/>
        <w:rPr>
          <w:rFonts w:ascii="Times New Roman" w:hAnsi="Times New Roman"/>
          <w:i/>
          <w:iCs/>
          <w:sz w:val="28"/>
          <w:szCs w:val="28"/>
        </w:rPr>
      </w:pPr>
      <w:r>
        <w:rPr>
          <w:rFonts w:ascii="Times New Roman" w:hAnsi="Times New Roman"/>
          <w:i/>
          <w:iCs/>
          <w:sz w:val="28"/>
          <w:szCs w:val="28"/>
        </w:rPr>
        <w:t>Id.</w:t>
      </w:r>
    </w:p>
    <w:p w14:paraId="09EB466E" w14:textId="77777777" w:rsidR="00FD4BB4" w:rsidRDefault="00FD4BB4" w:rsidP="00B852C2">
      <w:pPr>
        <w:widowControl/>
        <w:ind w:firstLine="720"/>
        <w:jc w:val="both"/>
        <w:rPr>
          <w:rFonts w:ascii="Times New Roman" w:hAnsi="Times New Roman"/>
          <w:sz w:val="28"/>
          <w:szCs w:val="28"/>
        </w:rPr>
      </w:pPr>
    </w:p>
    <w:p w14:paraId="133AFDA6" w14:textId="77777777" w:rsidR="003460AF" w:rsidRDefault="00FD4BB4" w:rsidP="008F1268">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While hazardous evidence would likely be </w:t>
      </w:r>
      <w:r w:rsidR="000F5802">
        <w:rPr>
          <w:rFonts w:ascii="Times New Roman" w:hAnsi="Times New Roman"/>
          <w:sz w:val="28"/>
          <w:szCs w:val="28"/>
        </w:rPr>
        <w:t>proffered in non-capital cases as well, t</w:t>
      </w:r>
      <w:r w:rsidR="00275820">
        <w:rPr>
          <w:rFonts w:ascii="Times New Roman" w:hAnsi="Times New Roman"/>
          <w:sz w:val="28"/>
          <w:szCs w:val="28"/>
        </w:rPr>
        <w:t xml:space="preserve">here is a risk that </w:t>
      </w:r>
      <w:r w:rsidR="00FC4954">
        <w:rPr>
          <w:rFonts w:ascii="Times New Roman" w:hAnsi="Times New Roman"/>
          <w:sz w:val="28"/>
          <w:szCs w:val="28"/>
        </w:rPr>
        <w:t xml:space="preserve">the term “hazardous evidence” and the use of hazardous </w:t>
      </w:r>
      <w:r w:rsidR="00FC4954">
        <w:rPr>
          <w:rFonts w:ascii="Times New Roman" w:hAnsi="Times New Roman"/>
          <w:sz w:val="28"/>
          <w:szCs w:val="28"/>
        </w:rPr>
        <w:lastRenderedPageBreak/>
        <w:t>materials symbols could be misused by the jury</w:t>
      </w:r>
      <w:r w:rsidR="000F5802">
        <w:rPr>
          <w:rFonts w:ascii="Times New Roman" w:hAnsi="Times New Roman"/>
          <w:sz w:val="28"/>
          <w:szCs w:val="28"/>
        </w:rPr>
        <w:t xml:space="preserve">. </w:t>
      </w:r>
      <w:r w:rsidR="003460AF">
        <w:rPr>
          <w:rFonts w:ascii="Times New Roman" w:hAnsi="Times New Roman"/>
          <w:sz w:val="28"/>
          <w:szCs w:val="28"/>
        </w:rPr>
        <w:t>Like</w:t>
      </w:r>
      <w:r w:rsidR="000F5802">
        <w:rPr>
          <w:rFonts w:ascii="Times New Roman" w:hAnsi="Times New Roman"/>
          <w:sz w:val="28"/>
          <w:szCs w:val="28"/>
        </w:rPr>
        <w:t xml:space="preserve"> in </w:t>
      </w:r>
      <w:r w:rsidR="000F5802">
        <w:rPr>
          <w:rFonts w:ascii="Times New Roman" w:hAnsi="Times New Roman"/>
          <w:i/>
          <w:iCs/>
          <w:sz w:val="28"/>
          <w:szCs w:val="28"/>
        </w:rPr>
        <w:t>Deck</w:t>
      </w:r>
      <w:r w:rsidR="000F5802">
        <w:rPr>
          <w:rFonts w:ascii="Times New Roman" w:hAnsi="Times New Roman"/>
          <w:sz w:val="28"/>
          <w:szCs w:val="28"/>
        </w:rPr>
        <w:t>, a</w:t>
      </w:r>
      <w:r w:rsidR="003460AF">
        <w:rPr>
          <w:rFonts w:ascii="Times New Roman" w:hAnsi="Times New Roman"/>
          <w:sz w:val="28"/>
          <w:szCs w:val="28"/>
        </w:rPr>
        <w:t xml:space="preserve"> jury could improperly infer a party’s dangerousness by the simple terminology or symbols used to describe the substance being shown to them as a digital representation.</w:t>
      </w:r>
      <w:r w:rsidR="00FC4954">
        <w:rPr>
          <w:rFonts w:ascii="Times New Roman" w:hAnsi="Times New Roman"/>
          <w:sz w:val="28"/>
          <w:szCs w:val="28"/>
        </w:rPr>
        <w:t xml:space="preserve"> </w:t>
      </w:r>
    </w:p>
    <w:p w14:paraId="3C49BCE1" w14:textId="4128C993" w:rsidR="00AE72D9" w:rsidRDefault="003460AF" w:rsidP="008F1268">
      <w:pPr>
        <w:widowControl/>
        <w:spacing w:line="480" w:lineRule="auto"/>
        <w:ind w:firstLine="720"/>
        <w:contextualSpacing/>
        <w:jc w:val="both"/>
        <w:rPr>
          <w:rFonts w:ascii="Times New Roman" w:hAnsi="Times New Roman"/>
          <w:sz w:val="28"/>
          <w:szCs w:val="28"/>
        </w:rPr>
      </w:pPr>
      <w:r>
        <w:rPr>
          <w:rFonts w:ascii="Times New Roman" w:hAnsi="Times New Roman"/>
          <w:sz w:val="28"/>
          <w:szCs w:val="28"/>
        </w:rPr>
        <w:t xml:space="preserve">Whether in civil toxic tort cases or criminal drug cases, adding </w:t>
      </w:r>
      <w:r w:rsidR="00814BD5">
        <w:rPr>
          <w:rFonts w:ascii="Times New Roman" w:hAnsi="Times New Roman"/>
          <w:sz w:val="28"/>
          <w:szCs w:val="28"/>
        </w:rPr>
        <w:t xml:space="preserve">a balancing test to Proposed Rule 611 would allow </w:t>
      </w:r>
      <w:r w:rsidR="00DE25CB">
        <w:rPr>
          <w:rFonts w:ascii="Times New Roman" w:hAnsi="Times New Roman"/>
          <w:sz w:val="28"/>
          <w:szCs w:val="28"/>
        </w:rPr>
        <w:t>courts to evaluate the potential for undue prejudice on a case-by-case basis while upholding</w:t>
      </w:r>
      <w:r w:rsidR="002E2137">
        <w:rPr>
          <w:rFonts w:ascii="Times New Roman" w:hAnsi="Times New Roman"/>
          <w:sz w:val="28"/>
          <w:szCs w:val="28"/>
        </w:rPr>
        <w:t xml:space="preserve"> public safety goals.</w:t>
      </w:r>
      <w:r w:rsidR="00814BD5">
        <w:rPr>
          <w:rFonts w:ascii="Times New Roman" w:hAnsi="Times New Roman"/>
          <w:sz w:val="28"/>
          <w:szCs w:val="28"/>
        </w:rPr>
        <w:t xml:space="preserve"> </w:t>
      </w:r>
      <w:r>
        <w:rPr>
          <w:rFonts w:ascii="Times New Roman" w:hAnsi="Times New Roman"/>
          <w:sz w:val="28"/>
          <w:szCs w:val="28"/>
        </w:rPr>
        <w:t xml:space="preserve"> </w:t>
      </w:r>
      <w:r w:rsidR="00160B72">
        <w:rPr>
          <w:rFonts w:ascii="Times New Roman" w:hAnsi="Times New Roman"/>
          <w:sz w:val="28"/>
          <w:szCs w:val="28"/>
        </w:rPr>
        <w:t xml:space="preserve">For the same reasons, a curative standard jury instruction </w:t>
      </w:r>
      <w:r w:rsidR="00124719">
        <w:rPr>
          <w:rFonts w:ascii="Times New Roman" w:hAnsi="Times New Roman"/>
          <w:sz w:val="28"/>
          <w:szCs w:val="28"/>
        </w:rPr>
        <w:t xml:space="preserve">should be considered. </w:t>
      </w:r>
    </w:p>
    <w:p w14:paraId="53A933E1" w14:textId="54C9D130" w:rsidR="00AE72D9" w:rsidRDefault="00916A09" w:rsidP="00AE72D9">
      <w:pPr>
        <w:pStyle w:val="ListParagraph"/>
        <w:widowControl/>
        <w:numPr>
          <w:ilvl w:val="0"/>
          <w:numId w:val="3"/>
        </w:numPr>
        <w:jc w:val="both"/>
        <w:rPr>
          <w:rFonts w:ascii="Times New Roman" w:hAnsi="Times New Roman"/>
          <w:b/>
          <w:bCs/>
          <w:sz w:val="28"/>
          <w:szCs w:val="28"/>
        </w:rPr>
      </w:pPr>
      <w:r w:rsidRPr="00916A09">
        <w:rPr>
          <w:rFonts w:ascii="Times New Roman" w:hAnsi="Times New Roman"/>
          <w:b/>
          <w:bCs/>
          <w:sz w:val="28"/>
          <w:szCs w:val="28"/>
        </w:rPr>
        <w:t xml:space="preserve">The Maricopa County Indigent Defense Offices recommend the following amendments to Proposed Rule 611. </w:t>
      </w:r>
    </w:p>
    <w:p w14:paraId="5D6AEE89" w14:textId="77777777" w:rsidR="008F1268" w:rsidRDefault="008F1268" w:rsidP="008F1268">
      <w:pPr>
        <w:pStyle w:val="ListParagraph"/>
        <w:widowControl/>
        <w:ind w:left="1440"/>
        <w:jc w:val="both"/>
        <w:rPr>
          <w:rFonts w:ascii="Times New Roman" w:hAnsi="Times New Roman"/>
          <w:b/>
          <w:bCs/>
          <w:sz w:val="28"/>
          <w:szCs w:val="28"/>
        </w:rPr>
      </w:pPr>
    </w:p>
    <w:p w14:paraId="33E07C59" w14:textId="1116C33D" w:rsidR="006131B0" w:rsidRDefault="00916A09" w:rsidP="008F1268">
      <w:pPr>
        <w:widowControl/>
        <w:spacing w:line="480" w:lineRule="auto"/>
        <w:ind w:firstLine="720"/>
        <w:contextualSpacing/>
        <w:jc w:val="both"/>
        <w:rPr>
          <w:rFonts w:ascii="Times New Roman" w:hAnsi="Times New Roman"/>
          <w:sz w:val="28"/>
          <w:szCs w:val="28"/>
        </w:rPr>
      </w:pPr>
      <w:proofErr w:type="gramStart"/>
      <w:r>
        <w:rPr>
          <w:rFonts w:ascii="Times New Roman" w:hAnsi="Times New Roman"/>
          <w:sz w:val="28"/>
          <w:szCs w:val="28"/>
        </w:rPr>
        <w:t xml:space="preserve">Assuming </w:t>
      </w:r>
      <w:r w:rsidR="006131B0">
        <w:rPr>
          <w:rFonts w:ascii="Times New Roman" w:hAnsi="Times New Roman"/>
          <w:sz w:val="28"/>
          <w:szCs w:val="28"/>
        </w:rPr>
        <w:t>that</w:t>
      </w:r>
      <w:proofErr w:type="gramEnd"/>
      <w:r w:rsidR="006131B0">
        <w:rPr>
          <w:rFonts w:ascii="Times New Roman" w:hAnsi="Times New Roman"/>
          <w:sz w:val="28"/>
          <w:szCs w:val="28"/>
        </w:rPr>
        <w:t xml:space="preserve"> Proposed Rule 611 is the vehicle through which hazardous evidence standards will be promulgated, the Maricopa County Indigent Defense Offices propose the following alternative language:</w:t>
      </w:r>
      <w:r w:rsidR="00FB740A" w:rsidRPr="004F0536">
        <w:rPr>
          <w:rStyle w:val="FootnoteReference"/>
          <w:rFonts w:ascii="Times New Roman" w:hAnsi="Times New Roman"/>
          <w:sz w:val="20"/>
          <w:vertAlign w:val="superscript"/>
        </w:rPr>
        <w:footnoteReference w:id="6"/>
      </w:r>
    </w:p>
    <w:p w14:paraId="6867A209" w14:textId="77777777" w:rsidR="00B353A2" w:rsidRDefault="00B353A2" w:rsidP="00B353A2">
      <w:pPr>
        <w:pStyle w:val="Default"/>
        <w:rPr>
          <w:color w:val="202020"/>
          <w:sz w:val="28"/>
          <w:szCs w:val="28"/>
        </w:rPr>
      </w:pPr>
      <w:r>
        <w:rPr>
          <w:b/>
          <w:bCs/>
          <w:color w:val="202020"/>
          <w:sz w:val="28"/>
          <w:szCs w:val="28"/>
        </w:rPr>
        <w:t xml:space="preserve">Rule 611. Mode and Order of Examining Witnesses and Presenting Evidence </w:t>
      </w:r>
    </w:p>
    <w:p w14:paraId="6D620ACA" w14:textId="77777777" w:rsidR="009F4223" w:rsidRDefault="009F4223" w:rsidP="00B353A2">
      <w:pPr>
        <w:pStyle w:val="Default"/>
        <w:rPr>
          <w:b/>
          <w:bCs/>
          <w:color w:val="202020"/>
          <w:sz w:val="28"/>
          <w:szCs w:val="28"/>
        </w:rPr>
      </w:pPr>
    </w:p>
    <w:p w14:paraId="6AC010ED" w14:textId="6E091470" w:rsidR="00B353A2" w:rsidRDefault="00B353A2" w:rsidP="00B353A2">
      <w:pPr>
        <w:pStyle w:val="Default"/>
        <w:rPr>
          <w:color w:val="202020"/>
          <w:sz w:val="28"/>
          <w:szCs w:val="28"/>
        </w:rPr>
      </w:pPr>
      <w:r>
        <w:rPr>
          <w:b/>
          <w:bCs/>
          <w:color w:val="202020"/>
          <w:sz w:val="28"/>
          <w:szCs w:val="28"/>
        </w:rPr>
        <w:t xml:space="preserve">(a) {No Changes} </w:t>
      </w:r>
    </w:p>
    <w:p w14:paraId="6556563F" w14:textId="77777777" w:rsidR="00B353A2" w:rsidRDefault="00B353A2" w:rsidP="00B353A2">
      <w:pPr>
        <w:pStyle w:val="Default"/>
        <w:rPr>
          <w:color w:val="202020"/>
          <w:sz w:val="28"/>
          <w:szCs w:val="28"/>
        </w:rPr>
      </w:pPr>
      <w:r>
        <w:rPr>
          <w:b/>
          <w:bCs/>
          <w:color w:val="202020"/>
          <w:sz w:val="28"/>
          <w:szCs w:val="28"/>
        </w:rPr>
        <w:t xml:space="preserve">(b) {No Changes} </w:t>
      </w:r>
    </w:p>
    <w:p w14:paraId="32CC103D" w14:textId="77777777" w:rsidR="004845EC" w:rsidRDefault="00B353A2" w:rsidP="00B353A2">
      <w:pPr>
        <w:pStyle w:val="Default"/>
        <w:rPr>
          <w:b/>
          <w:bCs/>
          <w:color w:val="202020"/>
          <w:sz w:val="28"/>
          <w:szCs w:val="28"/>
        </w:rPr>
      </w:pPr>
      <w:r>
        <w:rPr>
          <w:b/>
          <w:bCs/>
          <w:color w:val="202020"/>
          <w:sz w:val="28"/>
          <w:szCs w:val="28"/>
        </w:rPr>
        <w:t>(c) {No Changes}</w:t>
      </w:r>
    </w:p>
    <w:p w14:paraId="3C379C48" w14:textId="227D0F98" w:rsidR="00B353A2" w:rsidRDefault="00B353A2" w:rsidP="00B353A2">
      <w:pPr>
        <w:pStyle w:val="Default"/>
        <w:rPr>
          <w:color w:val="202020"/>
          <w:sz w:val="28"/>
          <w:szCs w:val="28"/>
        </w:rPr>
      </w:pPr>
      <w:r>
        <w:rPr>
          <w:b/>
          <w:bCs/>
          <w:color w:val="202020"/>
          <w:sz w:val="28"/>
          <w:szCs w:val="28"/>
        </w:rPr>
        <w:t xml:space="preserve"> </w:t>
      </w:r>
    </w:p>
    <w:p w14:paraId="2D09473B" w14:textId="6172331D" w:rsidR="004845EC" w:rsidRDefault="00B353A2" w:rsidP="00B353A2">
      <w:pPr>
        <w:pStyle w:val="Default"/>
        <w:rPr>
          <w:sz w:val="28"/>
          <w:szCs w:val="28"/>
        </w:rPr>
      </w:pPr>
      <w:r>
        <w:rPr>
          <w:b/>
          <w:bCs/>
          <w:sz w:val="28"/>
          <w:szCs w:val="28"/>
        </w:rPr>
        <w:t>(d) Hazardous Evidence</w:t>
      </w:r>
      <w:r>
        <w:rPr>
          <w:sz w:val="28"/>
          <w:szCs w:val="28"/>
        </w:rPr>
        <w:t xml:space="preserve">. </w:t>
      </w:r>
      <w:r w:rsidRPr="00D95F2B">
        <w:rPr>
          <w:strike/>
          <w:sz w:val="28"/>
          <w:szCs w:val="28"/>
        </w:rPr>
        <w:t>Hazardous Evidence is not permitted inside the courtroom</w:t>
      </w:r>
      <w:r w:rsidR="00943CA0" w:rsidRPr="00D95F2B">
        <w:rPr>
          <w:strike/>
          <w:sz w:val="28"/>
          <w:szCs w:val="28"/>
          <w:u w:val="single"/>
        </w:rPr>
        <w:t xml:space="preserve"> </w:t>
      </w:r>
      <w:r w:rsidRPr="00D95F2B">
        <w:rPr>
          <w:strike/>
          <w:sz w:val="28"/>
          <w:szCs w:val="28"/>
        </w:rPr>
        <w:t>except as provided in this subsection.</w:t>
      </w:r>
      <w:r>
        <w:rPr>
          <w:sz w:val="28"/>
          <w:szCs w:val="28"/>
        </w:rPr>
        <w:t xml:space="preserve"> </w:t>
      </w:r>
      <w:r>
        <w:rPr>
          <w:color w:val="202020"/>
          <w:sz w:val="28"/>
          <w:szCs w:val="28"/>
        </w:rPr>
        <w:t xml:space="preserve">For the purposes of this rule, </w:t>
      </w:r>
      <w:r>
        <w:rPr>
          <w:sz w:val="28"/>
          <w:szCs w:val="28"/>
        </w:rPr>
        <w:t>“hazardous evidence” means any physical evidence</w:t>
      </w:r>
      <w:r w:rsidR="001A3EB9">
        <w:rPr>
          <w:sz w:val="28"/>
          <w:szCs w:val="28"/>
        </w:rPr>
        <w:t xml:space="preserve">, </w:t>
      </w:r>
      <w:r w:rsidR="001A3EB9" w:rsidRPr="001A3EB9">
        <w:rPr>
          <w:sz w:val="28"/>
          <w:szCs w:val="28"/>
          <w:u w:val="single"/>
        </w:rPr>
        <w:t>notwithstanding reasonable safety precautions</w:t>
      </w:r>
      <w:r w:rsidR="001A3EB9">
        <w:rPr>
          <w:sz w:val="28"/>
          <w:szCs w:val="28"/>
        </w:rPr>
        <w:t>,</w:t>
      </w:r>
      <w:r>
        <w:rPr>
          <w:sz w:val="28"/>
          <w:szCs w:val="28"/>
        </w:rPr>
        <w:t xml:space="preserve"> that a party seeks to bring into the courtroom that may create a substantial and serious risk of harm if ingested or absorbed, or if otherwise determined by the court to create a substantial and serious risk of harm.</w:t>
      </w:r>
    </w:p>
    <w:p w14:paraId="3C73577D" w14:textId="5997BBB7" w:rsidR="00B353A2" w:rsidRDefault="00B353A2" w:rsidP="00B353A2">
      <w:pPr>
        <w:pStyle w:val="Default"/>
        <w:rPr>
          <w:sz w:val="28"/>
          <w:szCs w:val="28"/>
        </w:rPr>
      </w:pPr>
      <w:r>
        <w:rPr>
          <w:sz w:val="28"/>
          <w:szCs w:val="28"/>
        </w:rPr>
        <w:t xml:space="preserve"> </w:t>
      </w:r>
    </w:p>
    <w:p w14:paraId="2FF02E61" w14:textId="6EC35533" w:rsidR="00B353A2" w:rsidRDefault="00B353A2" w:rsidP="004845EC">
      <w:pPr>
        <w:pStyle w:val="Default"/>
        <w:numPr>
          <w:ilvl w:val="0"/>
          <w:numId w:val="10"/>
        </w:numPr>
        <w:rPr>
          <w:color w:val="202020"/>
          <w:sz w:val="28"/>
          <w:szCs w:val="28"/>
          <w:u w:val="single"/>
        </w:rPr>
      </w:pPr>
      <w:r w:rsidRPr="00D95F2B">
        <w:rPr>
          <w:strike/>
          <w:color w:val="202020"/>
          <w:sz w:val="28"/>
          <w:szCs w:val="28"/>
        </w:rPr>
        <w:t>Presence of Hazardous Evidence</w:t>
      </w:r>
      <w:r w:rsidR="001F036F">
        <w:rPr>
          <w:strike/>
          <w:color w:val="202020"/>
          <w:sz w:val="28"/>
          <w:szCs w:val="28"/>
        </w:rPr>
        <w:t xml:space="preserve"> </w:t>
      </w:r>
      <w:r w:rsidR="001F036F" w:rsidRPr="00D95F2B">
        <w:rPr>
          <w:color w:val="202020"/>
          <w:sz w:val="28"/>
          <w:szCs w:val="28"/>
          <w:u w:val="single"/>
        </w:rPr>
        <w:t>Digital</w:t>
      </w:r>
      <w:r w:rsidR="00216299" w:rsidRPr="00D95F2B">
        <w:rPr>
          <w:color w:val="202020"/>
          <w:sz w:val="28"/>
          <w:szCs w:val="28"/>
          <w:u w:val="single"/>
        </w:rPr>
        <w:t xml:space="preserve"> Representations of Hazardous Evidence</w:t>
      </w:r>
      <w:r w:rsidRPr="00035EAA">
        <w:rPr>
          <w:color w:val="202020"/>
          <w:sz w:val="28"/>
          <w:szCs w:val="28"/>
        </w:rPr>
        <w:t xml:space="preserve"> </w:t>
      </w:r>
      <w:r>
        <w:rPr>
          <w:color w:val="202020"/>
          <w:sz w:val="28"/>
          <w:szCs w:val="28"/>
        </w:rPr>
        <w:t xml:space="preserve">in the Courtroom Upon Court Order. </w:t>
      </w:r>
      <w:r w:rsidRPr="00D95F2B">
        <w:rPr>
          <w:strike/>
          <w:color w:val="202020"/>
          <w:sz w:val="28"/>
          <w:szCs w:val="28"/>
        </w:rPr>
        <w:t xml:space="preserve">A party seeking to have </w:t>
      </w:r>
      <w:r w:rsidRPr="00D95F2B">
        <w:rPr>
          <w:strike/>
          <w:color w:val="202020"/>
          <w:sz w:val="28"/>
          <w:szCs w:val="28"/>
        </w:rPr>
        <w:lastRenderedPageBreak/>
        <w:t>hazardous evidence permitted in the courtroom must file a written motion</w:t>
      </w:r>
      <w:r w:rsidR="00866A46">
        <w:rPr>
          <w:strike/>
          <w:color w:val="202020"/>
          <w:sz w:val="28"/>
          <w:szCs w:val="28"/>
        </w:rPr>
        <w:t xml:space="preserve">. </w:t>
      </w:r>
      <w:r w:rsidR="00866A46" w:rsidRPr="00D95F2B">
        <w:rPr>
          <w:color w:val="202020"/>
          <w:sz w:val="28"/>
          <w:szCs w:val="28"/>
          <w:u w:val="single"/>
        </w:rPr>
        <w:t xml:space="preserve">A </w:t>
      </w:r>
      <w:r w:rsidR="00F82574">
        <w:rPr>
          <w:color w:val="202020"/>
          <w:sz w:val="28"/>
          <w:szCs w:val="28"/>
          <w:u w:val="single"/>
        </w:rPr>
        <w:t xml:space="preserve">party seeking to offer digital representations of hazardous evidence as an exhibit in lieu of the hazardous evidence shall give </w:t>
      </w:r>
      <w:r w:rsidR="00216299">
        <w:rPr>
          <w:color w:val="202020"/>
          <w:sz w:val="28"/>
          <w:szCs w:val="28"/>
          <w:u w:val="single"/>
        </w:rPr>
        <w:t>written notice subject to the timing requirements of this Rule</w:t>
      </w:r>
      <w:r>
        <w:rPr>
          <w:color w:val="202020"/>
          <w:sz w:val="28"/>
          <w:szCs w:val="28"/>
        </w:rPr>
        <w:t xml:space="preserve">. The court may order </w:t>
      </w:r>
      <w:proofErr w:type="gramStart"/>
      <w:r>
        <w:rPr>
          <w:color w:val="202020"/>
          <w:sz w:val="28"/>
          <w:szCs w:val="28"/>
        </w:rPr>
        <w:t xml:space="preserve">that </w:t>
      </w:r>
      <w:r w:rsidR="00216299" w:rsidRPr="00D95F2B">
        <w:rPr>
          <w:color w:val="202020"/>
          <w:sz w:val="28"/>
          <w:szCs w:val="28"/>
          <w:u w:val="single"/>
        </w:rPr>
        <w:t>digital representations of</w:t>
      </w:r>
      <w:r w:rsidR="00216299">
        <w:rPr>
          <w:color w:val="202020"/>
          <w:sz w:val="28"/>
          <w:szCs w:val="28"/>
        </w:rPr>
        <w:t xml:space="preserve"> </w:t>
      </w:r>
      <w:r>
        <w:rPr>
          <w:color w:val="202020"/>
          <w:sz w:val="28"/>
          <w:szCs w:val="28"/>
        </w:rPr>
        <w:t>hazardous evidence</w:t>
      </w:r>
      <w:proofErr w:type="gramEnd"/>
      <w:r>
        <w:rPr>
          <w:color w:val="202020"/>
          <w:sz w:val="28"/>
          <w:szCs w:val="28"/>
        </w:rPr>
        <w:t xml:space="preserve"> be permitted in the courtroom only if the court finds that the petitioning party has </w:t>
      </w:r>
      <w:proofErr w:type="spellStart"/>
      <w:r>
        <w:rPr>
          <w:color w:val="202020"/>
          <w:sz w:val="28"/>
          <w:szCs w:val="28"/>
        </w:rPr>
        <w:t>demonstrate</w:t>
      </w:r>
      <w:r w:rsidR="00D90FBD" w:rsidRPr="00D95F2B">
        <w:rPr>
          <w:strike/>
          <w:color w:val="202020"/>
          <w:sz w:val="28"/>
          <w:szCs w:val="28"/>
        </w:rPr>
        <w:t>s</w:t>
      </w:r>
      <w:r w:rsidR="00937C9C" w:rsidRPr="00D95F2B">
        <w:rPr>
          <w:color w:val="202020"/>
          <w:sz w:val="28"/>
          <w:szCs w:val="28"/>
          <w:u w:val="single"/>
        </w:rPr>
        <w:t>d</w:t>
      </w:r>
      <w:proofErr w:type="spellEnd"/>
      <w:r>
        <w:rPr>
          <w:color w:val="202020"/>
          <w:sz w:val="28"/>
          <w:szCs w:val="28"/>
        </w:rPr>
        <w:t xml:space="preserve"> </w:t>
      </w:r>
      <w:r w:rsidRPr="00D95F2B">
        <w:rPr>
          <w:strike/>
          <w:color w:val="202020"/>
          <w:sz w:val="28"/>
          <w:szCs w:val="28"/>
        </w:rPr>
        <w:t>that</w:t>
      </w:r>
      <w:r w:rsidR="00035EAA">
        <w:rPr>
          <w:strike/>
          <w:color w:val="202020"/>
          <w:sz w:val="28"/>
          <w:szCs w:val="28"/>
        </w:rPr>
        <w:t xml:space="preserve"> </w:t>
      </w:r>
      <w:r w:rsidRPr="00D95F2B">
        <w:rPr>
          <w:strike/>
          <w:color w:val="202020"/>
          <w:sz w:val="28"/>
          <w:szCs w:val="28"/>
        </w:rPr>
        <w:t xml:space="preserve">the need for the physical evidence substantially outweighs the potential health risks associated with its presence in the courtroom. In making </w:t>
      </w:r>
      <w:r w:rsidRPr="008E649F">
        <w:rPr>
          <w:strike/>
          <w:color w:val="202020"/>
          <w:sz w:val="28"/>
          <w:szCs w:val="28"/>
        </w:rPr>
        <w:t>the</w:t>
      </w:r>
      <w:r w:rsidRPr="00F03A2B">
        <w:rPr>
          <w:strike/>
          <w:color w:val="202020"/>
          <w:sz w:val="28"/>
          <w:szCs w:val="28"/>
        </w:rPr>
        <w:t xml:space="preserve"> determination, the court must take into consideration all relevant factors, including</w:t>
      </w:r>
      <w:r w:rsidR="00D95F2B">
        <w:rPr>
          <w:strike/>
          <w:color w:val="202020"/>
          <w:sz w:val="28"/>
          <w:szCs w:val="28"/>
        </w:rPr>
        <w:t xml:space="preserve"> </w:t>
      </w:r>
      <w:r w:rsidR="00D95F2B" w:rsidRPr="00D95F2B">
        <w:rPr>
          <w:color w:val="202020"/>
          <w:sz w:val="28"/>
          <w:szCs w:val="28"/>
          <w:u w:val="single"/>
        </w:rPr>
        <w:t>the evidence offered as an exhibit is hazardous evidence.</w:t>
      </w:r>
    </w:p>
    <w:p w14:paraId="5457D020" w14:textId="77777777" w:rsidR="004845EC" w:rsidRDefault="004845EC" w:rsidP="004845EC">
      <w:pPr>
        <w:pStyle w:val="Default"/>
        <w:ind w:left="1110"/>
        <w:rPr>
          <w:color w:val="202020"/>
          <w:sz w:val="28"/>
          <w:szCs w:val="28"/>
        </w:rPr>
      </w:pPr>
    </w:p>
    <w:p w14:paraId="2C2FFC28" w14:textId="0C78A98F" w:rsidR="00B353A2" w:rsidRPr="00D95F2B" w:rsidRDefault="00B353A2" w:rsidP="004845EC">
      <w:pPr>
        <w:pStyle w:val="Default"/>
        <w:numPr>
          <w:ilvl w:val="0"/>
          <w:numId w:val="11"/>
        </w:numPr>
        <w:rPr>
          <w:strike/>
          <w:color w:val="202020"/>
          <w:sz w:val="28"/>
          <w:szCs w:val="28"/>
        </w:rPr>
      </w:pPr>
      <w:r w:rsidRPr="00D95F2B">
        <w:rPr>
          <w:strike/>
          <w:color w:val="202020"/>
          <w:sz w:val="28"/>
          <w:szCs w:val="28"/>
        </w:rPr>
        <w:t xml:space="preserve">the rights of the parties; and </w:t>
      </w:r>
    </w:p>
    <w:p w14:paraId="00FC80FF" w14:textId="77777777" w:rsidR="004845EC" w:rsidRPr="00D95F2B" w:rsidRDefault="004845EC" w:rsidP="004845EC">
      <w:pPr>
        <w:pStyle w:val="Default"/>
        <w:ind w:left="1485"/>
        <w:rPr>
          <w:strike/>
          <w:color w:val="202020"/>
          <w:sz w:val="28"/>
          <w:szCs w:val="28"/>
        </w:rPr>
      </w:pPr>
    </w:p>
    <w:p w14:paraId="363CEB83" w14:textId="4E268C71" w:rsidR="00F03A2B" w:rsidRPr="00D95F2B" w:rsidRDefault="00B353A2" w:rsidP="0052081B">
      <w:pPr>
        <w:pStyle w:val="Default"/>
        <w:numPr>
          <w:ilvl w:val="0"/>
          <w:numId w:val="11"/>
        </w:numPr>
        <w:rPr>
          <w:strike/>
          <w:color w:val="202020"/>
          <w:sz w:val="28"/>
          <w:szCs w:val="28"/>
          <w:u w:val="single"/>
        </w:rPr>
      </w:pPr>
      <w:r w:rsidRPr="00D95F2B">
        <w:rPr>
          <w:strike/>
          <w:color w:val="202020"/>
          <w:sz w:val="28"/>
          <w:szCs w:val="28"/>
        </w:rPr>
        <w:t xml:space="preserve">the sufficiency and effectiveness of presenting digital representations of hazardous evidence in lieu of the </w:t>
      </w:r>
      <w:r w:rsidRPr="00D95F2B">
        <w:rPr>
          <w:strike/>
          <w:sz w:val="28"/>
          <w:szCs w:val="28"/>
        </w:rPr>
        <w:t xml:space="preserve">hazardous </w:t>
      </w:r>
      <w:r w:rsidRPr="00D95F2B">
        <w:rPr>
          <w:strike/>
          <w:color w:val="202020"/>
          <w:sz w:val="28"/>
          <w:szCs w:val="28"/>
        </w:rPr>
        <w:t>evidence</w:t>
      </w:r>
      <w:r w:rsidR="0052081B" w:rsidRPr="00D95F2B">
        <w:rPr>
          <w:strike/>
          <w:color w:val="202020"/>
          <w:sz w:val="28"/>
          <w:szCs w:val="28"/>
        </w:rPr>
        <w:t>.</w:t>
      </w:r>
    </w:p>
    <w:p w14:paraId="7A835A7F" w14:textId="77777777" w:rsidR="00872B99" w:rsidRDefault="00872B99" w:rsidP="00B353A2">
      <w:pPr>
        <w:pStyle w:val="Default"/>
        <w:rPr>
          <w:color w:val="202020"/>
          <w:sz w:val="28"/>
          <w:szCs w:val="28"/>
          <w:u w:val="single"/>
        </w:rPr>
      </w:pPr>
    </w:p>
    <w:p w14:paraId="4B784E46" w14:textId="1C6A8377" w:rsidR="00872B99" w:rsidRDefault="00AD44CE" w:rsidP="00872B99">
      <w:pPr>
        <w:pStyle w:val="Default"/>
        <w:numPr>
          <w:ilvl w:val="0"/>
          <w:numId w:val="10"/>
        </w:numPr>
        <w:rPr>
          <w:color w:val="202020"/>
          <w:sz w:val="28"/>
          <w:szCs w:val="28"/>
          <w:u w:val="single"/>
        </w:rPr>
      </w:pPr>
      <w:r>
        <w:rPr>
          <w:color w:val="202020"/>
          <w:sz w:val="28"/>
          <w:szCs w:val="28"/>
          <w:u w:val="single"/>
        </w:rPr>
        <w:t xml:space="preserve">If the court orders that hazardous evidence is </w:t>
      </w:r>
      <w:r w:rsidR="00216299">
        <w:rPr>
          <w:color w:val="202020"/>
          <w:sz w:val="28"/>
          <w:szCs w:val="28"/>
          <w:u w:val="single"/>
        </w:rPr>
        <w:t>to be offered as an exhibit</w:t>
      </w:r>
      <w:r>
        <w:rPr>
          <w:color w:val="202020"/>
          <w:sz w:val="28"/>
          <w:szCs w:val="28"/>
          <w:u w:val="single"/>
        </w:rPr>
        <w:t xml:space="preserve">, its orders regarding the handling, use, and disposition of hazardous evidence may include: </w:t>
      </w:r>
    </w:p>
    <w:p w14:paraId="259A66F3" w14:textId="77777777" w:rsidR="00872B99" w:rsidRDefault="00872B99" w:rsidP="00872B99">
      <w:pPr>
        <w:pStyle w:val="Default"/>
        <w:ind w:left="1110"/>
        <w:rPr>
          <w:color w:val="202020"/>
          <w:sz w:val="28"/>
          <w:szCs w:val="28"/>
          <w:u w:val="single"/>
        </w:rPr>
      </w:pPr>
    </w:p>
    <w:p w14:paraId="263088B3" w14:textId="0FCBAC5E" w:rsidR="00872B99" w:rsidRDefault="00AD44CE" w:rsidP="00DA1A6B">
      <w:pPr>
        <w:pStyle w:val="Default"/>
        <w:ind w:left="2160" w:hanging="360"/>
        <w:rPr>
          <w:color w:val="202020"/>
          <w:sz w:val="28"/>
          <w:szCs w:val="28"/>
          <w:u w:val="single"/>
        </w:rPr>
      </w:pPr>
      <w:r>
        <w:rPr>
          <w:color w:val="202020"/>
          <w:sz w:val="28"/>
          <w:szCs w:val="28"/>
          <w:u w:val="single"/>
        </w:rPr>
        <w:t>(a) the appointment of a custodian</w:t>
      </w:r>
      <w:r w:rsidR="000B7459">
        <w:rPr>
          <w:color w:val="202020"/>
          <w:sz w:val="28"/>
          <w:szCs w:val="28"/>
          <w:u w:val="single"/>
        </w:rPr>
        <w:t>, subject to court policies or administrative orders, or policies of the clerk of court regarding taking custody of hazardous evidence</w:t>
      </w:r>
      <w:r>
        <w:rPr>
          <w:color w:val="202020"/>
          <w:sz w:val="28"/>
          <w:szCs w:val="28"/>
          <w:u w:val="single"/>
        </w:rPr>
        <w:t xml:space="preserve">; </w:t>
      </w:r>
    </w:p>
    <w:p w14:paraId="6A76E6E7" w14:textId="77777777" w:rsidR="00872B99" w:rsidRDefault="00AD44CE" w:rsidP="00872B99">
      <w:pPr>
        <w:pStyle w:val="Default"/>
        <w:tabs>
          <w:tab w:val="left" w:pos="1800"/>
        </w:tabs>
        <w:ind w:left="1800"/>
        <w:rPr>
          <w:color w:val="202020"/>
          <w:sz w:val="28"/>
          <w:szCs w:val="28"/>
          <w:u w:val="single"/>
        </w:rPr>
      </w:pPr>
      <w:r>
        <w:rPr>
          <w:color w:val="202020"/>
          <w:sz w:val="28"/>
          <w:szCs w:val="28"/>
          <w:u w:val="single"/>
        </w:rPr>
        <w:t>(b)</w:t>
      </w:r>
      <w:r w:rsidR="006779EE">
        <w:rPr>
          <w:color w:val="202020"/>
          <w:sz w:val="28"/>
          <w:szCs w:val="28"/>
          <w:u w:val="single"/>
        </w:rPr>
        <w:t xml:space="preserve"> the amount of hazardous evidence to be transported or viewed; (c) the container in which the hazardous evidence is to be stored; </w:t>
      </w:r>
    </w:p>
    <w:p w14:paraId="1FC89231" w14:textId="1D9EA6EF" w:rsidR="00872B99" w:rsidRDefault="006779EE" w:rsidP="00872B99">
      <w:pPr>
        <w:pStyle w:val="Default"/>
        <w:tabs>
          <w:tab w:val="left" w:pos="1890"/>
        </w:tabs>
        <w:ind w:left="2160" w:hanging="360"/>
        <w:rPr>
          <w:color w:val="202020"/>
          <w:sz w:val="28"/>
          <w:szCs w:val="28"/>
          <w:u w:val="single"/>
        </w:rPr>
      </w:pPr>
      <w:r>
        <w:rPr>
          <w:color w:val="202020"/>
          <w:sz w:val="28"/>
          <w:szCs w:val="28"/>
          <w:u w:val="single"/>
        </w:rPr>
        <w:t>(d) the location and duration of handling and storage of hazardous evidence, subject to court policies or administrative orders, or policies of the clerk of court regarding</w:t>
      </w:r>
      <w:r w:rsidR="00454F53">
        <w:rPr>
          <w:color w:val="202020"/>
          <w:sz w:val="28"/>
          <w:szCs w:val="28"/>
          <w:u w:val="single"/>
        </w:rPr>
        <w:t xml:space="preserve"> the storage and handling of hazardous evidence; </w:t>
      </w:r>
    </w:p>
    <w:p w14:paraId="638ABC57" w14:textId="77777777" w:rsidR="00872B99" w:rsidRDefault="00454F53" w:rsidP="00872B99">
      <w:pPr>
        <w:pStyle w:val="Default"/>
        <w:ind w:left="1800"/>
        <w:rPr>
          <w:color w:val="202020"/>
          <w:sz w:val="28"/>
          <w:szCs w:val="28"/>
          <w:u w:val="single"/>
        </w:rPr>
      </w:pPr>
      <w:r>
        <w:rPr>
          <w:color w:val="202020"/>
          <w:sz w:val="28"/>
          <w:szCs w:val="28"/>
          <w:u w:val="single"/>
        </w:rPr>
        <w:t xml:space="preserve">(e) the disposition of the hazardous evidence; and </w:t>
      </w:r>
    </w:p>
    <w:p w14:paraId="606C2FF1" w14:textId="6C9D2469" w:rsidR="00101B41" w:rsidRDefault="00454F53" w:rsidP="00872B99">
      <w:pPr>
        <w:pStyle w:val="Default"/>
        <w:ind w:left="2160" w:hanging="360"/>
        <w:rPr>
          <w:color w:val="202020"/>
          <w:sz w:val="28"/>
          <w:szCs w:val="28"/>
          <w:u w:val="single"/>
        </w:rPr>
      </w:pPr>
      <w:r>
        <w:rPr>
          <w:color w:val="202020"/>
          <w:sz w:val="28"/>
          <w:szCs w:val="28"/>
          <w:u w:val="single"/>
        </w:rPr>
        <w:t xml:space="preserve">(f) other matters that, in the court’s discretion, are reasonable measures to safeguard </w:t>
      </w:r>
      <w:r w:rsidR="0079380C">
        <w:rPr>
          <w:color w:val="202020"/>
          <w:sz w:val="28"/>
          <w:szCs w:val="28"/>
          <w:u w:val="single"/>
        </w:rPr>
        <w:t xml:space="preserve">court personnel, </w:t>
      </w:r>
      <w:r w:rsidR="005E65F4">
        <w:rPr>
          <w:color w:val="202020"/>
          <w:sz w:val="28"/>
          <w:szCs w:val="28"/>
          <w:u w:val="single"/>
        </w:rPr>
        <w:t>the litigants</w:t>
      </w:r>
      <w:r w:rsidR="00A67E7C">
        <w:rPr>
          <w:color w:val="202020"/>
          <w:sz w:val="28"/>
          <w:szCs w:val="28"/>
          <w:u w:val="single"/>
        </w:rPr>
        <w:t>,</w:t>
      </w:r>
      <w:r w:rsidR="005E65F4">
        <w:rPr>
          <w:color w:val="202020"/>
          <w:sz w:val="28"/>
          <w:szCs w:val="28"/>
          <w:u w:val="single"/>
        </w:rPr>
        <w:t xml:space="preserve"> counsel, </w:t>
      </w:r>
      <w:r>
        <w:rPr>
          <w:color w:val="202020"/>
          <w:sz w:val="28"/>
          <w:szCs w:val="28"/>
          <w:u w:val="single"/>
        </w:rPr>
        <w:t>the public</w:t>
      </w:r>
      <w:r w:rsidR="0079380C">
        <w:rPr>
          <w:color w:val="202020"/>
          <w:sz w:val="28"/>
          <w:szCs w:val="28"/>
          <w:u w:val="single"/>
        </w:rPr>
        <w:t>,</w:t>
      </w:r>
      <w:r>
        <w:rPr>
          <w:color w:val="202020"/>
          <w:sz w:val="28"/>
          <w:szCs w:val="28"/>
          <w:u w:val="single"/>
        </w:rPr>
        <w:t xml:space="preserve"> </w:t>
      </w:r>
      <w:r w:rsidR="004C366A">
        <w:rPr>
          <w:color w:val="202020"/>
          <w:sz w:val="28"/>
          <w:szCs w:val="28"/>
          <w:u w:val="single"/>
        </w:rPr>
        <w:t>and</w:t>
      </w:r>
      <w:r>
        <w:rPr>
          <w:color w:val="202020"/>
          <w:sz w:val="28"/>
          <w:szCs w:val="28"/>
          <w:u w:val="single"/>
        </w:rPr>
        <w:t xml:space="preserve"> the evidentiary record.</w:t>
      </w:r>
    </w:p>
    <w:p w14:paraId="04FC8A53" w14:textId="77777777" w:rsidR="00872B99" w:rsidRDefault="00872B99" w:rsidP="00872B99">
      <w:pPr>
        <w:pStyle w:val="Default"/>
        <w:ind w:left="1110"/>
        <w:rPr>
          <w:color w:val="202020"/>
          <w:sz w:val="28"/>
          <w:szCs w:val="28"/>
          <w:u w:val="single"/>
        </w:rPr>
      </w:pPr>
    </w:p>
    <w:p w14:paraId="584BA4D2" w14:textId="54682F37" w:rsidR="002F580C" w:rsidRDefault="00736ABD" w:rsidP="002F580C">
      <w:pPr>
        <w:pStyle w:val="Default"/>
        <w:numPr>
          <w:ilvl w:val="0"/>
          <w:numId w:val="10"/>
        </w:numPr>
        <w:rPr>
          <w:color w:val="202020"/>
          <w:sz w:val="28"/>
          <w:szCs w:val="28"/>
          <w:u w:val="single"/>
        </w:rPr>
      </w:pPr>
      <w:r>
        <w:rPr>
          <w:color w:val="202020"/>
          <w:sz w:val="28"/>
          <w:szCs w:val="28"/>
          <w:u w:val="single"/>
        </w:rPr>
        <w:t>In any trial in which a party intends to offer digital representations of hazardous evidence</w:t>
      </w:r>
      <w:r w:rsidR="00D52111">
        <w:rPr>
          <w:color w:val="202020"/>
          <w:sz w:val="28"/>
          <w:szCs w:val="28"/>
          <w:u w:val="single"/>
        </w:rPr>
        <w:t xml:space="preserve"> as an exhibit</w:t>
      </w:r>
      <w:r>
        <w:rPr>
          <w:color w:val="202020"/>
          <w:sz w:val="28"/>
          <w:szCs w:val="28"/>
          <w:u w:val="single"/>
        </w:rPr>
        <w:t xml:space="preserve">, the party must: </w:t>
      </w:r>
    </w:p>
    <w:p w14:paraId="1695A8BD" w14:textId="77777777" w:rsidR="002F580C" w:rsidRDefault="002F580C" w:rsidP="002F580C">
      <w:pPr>
        <w:pStyle w:val="Default"/>
        <w:ind w:left="1110"/>
        <w:rPr>
          <w:color w:val="202020"/>
          <w:sz w:val="28"/>
          <w:szCs w:val="28"/>
          <w:u w:val="single"/>
        </w:rPr>
      </w:pPr>
    </w:p>
    <w:p w14:paraId="1CFF831A" w14:textId="77777777" w:rsidR="002F580C" w:rsidRDefault="00736ABD" w:rsidP="002F580C">
      <w:pPr>
        <w:pStyle w:val="Default"/>
        <w:ind w:left="1800" w:hanging="360"/>
        <w:rPr>
          <w:color w:val="202020"/>
          <w:sz w:val="28"/>
          <w:szCs w:val="28"/>
          <w:u w:val="single"/>
        </w:rPr>
      </w:pPr>
      <w:r>
        <w:rPr>
          <w:color w:val="202020"/>
          <w:sz w:val="28"/>
          <w:szCs w:val="28"/>
          <w:u w:val="single"/>
        </w:rPr>
        <w:t xml:space="preserve">(a) provide notice and a copy of </w:t>
      </w:r>
      <w:r w:rsidR="00176D4A">
        <w:rPr>
          <w:color w:val="202020"/>
          <w:sz w:val="28"/>
          <w:szCs w:val="28"/>
          <w:u w:val="single"/>
        </w:rPr>
        <w:t xml:space="preserve">the digital representations to the opposing party no later than 45 days before trial; and </w:t>
      </w:r>
    </w:p>
    <w:p w14:paraId="322929F9" w14:textId="64717364" w:rsidR="00736ABD" w:rsidRDefault="00176D4A" w:rsidP="002F580C">
      <w:pPr>
        <w:pStyle w:val="Default"/>
        <w:ind w:left="1800" w:hanging="360"/>
        <w:rPr>
          <w:color w:val="202020"/>
          <w:sz w:val="28"/>
          <w:szCs w:val="28"/>
          <w:u w:val="single"/>
        </w:rPr>
      </w:pPr>
      <w:r>
        <w:rPr>
          <w:color w:val="202020"/>
          <w:sz w:val="28"/>
          <w:szCs w:val="28"/>
          <w:u w:val="single"/>
        </w:rPr>
        <w:lastRenderedPageBreak/>
        <w:t xml:space="preserve">(b) file a copy of the notice and digital representations with the court </w:t>
      </w:r>
      <w:r w:rsidR="00295CAA">
        <w:rPr>
          <w:color w:val="202020"/>
          <w:sz w:val="28"/>
          <w:szCs w:val="28"/>
          <w:u w:val="single"/>
        </w:rPr>
        <w:t>on the day the notice is provided to the opposing party.</w:t>
      </w:r>
    </w:p>
    <w:p w14:paraId="6F64A69B" w14:textId="4BEE5EFD" w:rsidR="0052081B" w:rsidRDefault="0052081B" w:rsidP="002F580C">
      <w:pPr>
        <w:pStyle w:val="Default"/>
        <w:ind w:left="1800" w:hanging="360"/>
        <w:rPr>
          <w:color w:val="202020"/>
          <w:sz w:val="28"/>
          <w:szCs w:val="28"/>
          <w:u w:val="single"/>
        </w:rPr>
      </w:pPr>
    </w:p>
    <w:p w14:paraId="6E8046B9" w14:textId="7CFEBAF5" w:rsidR="00AE2B52" w:rsidRPr="00E57AF1" w:rsidRDefault="0052081B" w:rsidP="00E57AF1">
      <w:pPr>
        <w:pStyle w:val="Default"/>
        <w:numPr>
          <w:ilvl w:val="0"/>
          <w:numId w:val="10"/>
        </w:numPr>
        <w:ind w:left="630" w:hanging="540"/>
        <w:rPr>
          <w:color w:val="202020"/>
          <w:sz w:val="28"/>
          <w:szCs w:val="28"/>
          <w:u w:val="single"/>
        </w:rPr>
      </w:pPr>
      <w:r>
        <w:rPr>
          <w:color w:val="202020"/>
          <w:sz w:val="28"/>
          <w:szCs w:val="28"/>
          <w:u w:val="single"/>
        </w:rPr>
        <w:t xml:space="preserve">If </w:t>
      </w:r>
      <w:r w:rsidR="00F82AEF">
        <w:rPr>
          <w:color w:val="202020"/>
          <w:sz w:val="28"/>
          <w:szCs w:val="28"/>
          <w:u w:val="single"/>
        </w:rPr>
        <w:t xml:space="preserve">a </w:t>
      </w:r>
      <w:r w:rsidR="00740245">
        <w:rPr>
          <w:color w:val="202020"/>
          <w:sz w:val="28"/>
          <w:szCs w:val="28"/>
          <w:u w:val="single"/>
        </w:rPr>
        <w:t>digital representation of hazardous evidence is to be presented</w:t>
      </w:r>
      <w:r w:rsidR="00D52111">
        <w:rPr>
          <w:color w:val="202020"/>
          <w:sz w:val="28"/>
          <w:szCs w:val="28"/>
          <w:u w:val="single"/>
        </w:rPr>
        <w:t xml:space="preserve"> as an exhibit</w:t>
      </w:r>
      <w:r w:rsidR="00740245">
        <w:rPr>
          <w:color w:val="202020"/>
          <w:sz w:val="28"/>
          <w:szCs w:val="28"/>
          <w:u w:val="single"/>
        </w:rPr>
        <w:t xml:space="preserve"> in lieu of the hazardous evidence, the </w:t>
      </w:r>
      <w:r w:rsidR="0099431E">
        <w:rPr>
          <w:color w:val="202020"/>
          <w:sz w:val="28"/>
          <w:szCs w:val="28"/>
          <w:u w:val="single"/>
        </w:rPr>
        <w:t>court shall consider</w:t>
      </w:r>
      <w:r w:rsidR="00740245">
        <w:rPr>
          <w:color w:val="202020"/>
          <w:sz w:val="28"/>
          <w:szCs w:val="28"/>
          <w:u w:val="single"/>
        </w:rPr>
        <w:t xml:space="preserve"> whether the probative value of presenting </w:t>
      </w:r>
      <w:r w:rsidR="000F0110">
        <w:rPr>
          <w:color w:val="202020"/>
          <w:sz w:val="28"/>
          <w:szCs w:val="28"/>
          <w:u w:val="single"/>
        </w:rPr>
        <w:t xml:space="preserve">a </w:t>
      </w:r>
      <w:r w:rsidR="00740245">
        <w:rPr>
          <w:color w:val="202020"/>
          <w:sz w:val="28"/>
          <w:szCs w:val="28"/>
          <w:u w:val="single"/>
        </w:rPr>
        <w:t>digital representation of hazardous evidence in lieu of the hazardous evidence substantially outweighs its prejudicial effect</w:t>
      </w:r>
      <w:r w:rsidR="00A7122F">
        <w:rPr>
          <w:color w:val="202020"/>
          <w:sz w:val="28"/>
          <w:szCs w:val="28"/>
          <w:u w:val="single"/>
        </w:rPr>
        <w:t xml:space="preserve">. </w:t>
      </w:r>
      <w:r w:rsidR="000F0110">
        <w:rPr>
          <w:color w:val="202020"/>
          <w:sz w:val="28"/>
          <w:szCs w:val="28"/>
          <w:u w:val="single"/>
        </w:rPr>
        <w:t>If the court finds that the</w:t>
      </w:r>
      <w:r w:rsidR="00F81DDE">
        <w:rPr>
          <w:color w:val="202020"/>
          <w:sz w:val="28"/>
          <w:szCs w:val="28"/>
          <w:u w:val="single"/>
        </w:rPr>
        <w:t xml:space="preserve"> probative value of </w:t>
      </w:r>
      <w:r w:rsidR="00DE2065">
        <w:rPr>
          <w:color w:val="202020"/>
          <w:sz w:val="28"/>
          <w:szCs w:val="28"/>
          <w:u w:val="single"/>
        </w:rPr>
        <w:t xml:space="preserve">presenting </w:t>
      </w:r>
      <w:r w:rsidR="00F81DDE">
        <w:rPr>
          <w:color w:val="202020"/>
          <w:sz w:val="28"/>
          <w:szCs w:val="28"/>
          <w:u w:val="single"/>
        </w:rPr>
        <w:t>the</w:t>
      </w:r>
      <w:r w:rsidR="000F0110">
        <w:rPr>
          <w:color w:val="202020"/>
          <w:sz w:val="28"/>
          <w:szCs w:val="28"/>
          <w:u w:val="single"/>
        </w:rPr>
        <w:t xml:space="preserve"> d</w:t>
      </w:r>
      <w:r w:rsidR="00F81DDE">
        <w:rPr>
          <w:color w:val="202020"/>
          <w:sz w:val="28"/>
          <w:szCs w:val="28"/>
          <w:u w:val="single"/>
        </w:rPr>
        <w:t>igital representation of hazardous evidence</w:t>
      </w:r>
      <w:r w:rsidR="00D52111">
        <w:rPr>
          <w:color w:val="202020"/>
          <w:sz w:val="28"/>
          <w:szCs w:val="28"/>
          <w:u w:val="single"/>
        </w:rPr>
        <w:t xml:space="preserve"> as an exhibit</w:t>
      </w:r>
      <w:r w:rsidR="00F81DDE">
        <w:rPr>
          <w:color w:val="202020"/>
          <w:sz w:val="28"/>
          <w:szCs w:val="28"/>
          <w:u w:val="single"/>
        </w:rPr>
        <w:t xml:space="preserve"> does not substantially outweigh its prejudicial effect, the court may </w:t>
      </w:r>
      <w:r w:rsidR="00740801">
        <w:rPr>
          <w:color w:val="202020"/>
          <w:sz w:val="28"/>
          <w:szCs w:val="28"/>
          <w:u w:val="single"/>
        </w:rPr>
        <w:t>issue orders to</w:t>
      </w:r>
      <w:r w:rsidR="004305BF">
        <w:rPr>
          <w:color w:val="202020"/>
          <w:sz w:val="28"/>
          <w:szCs w:val="28"/>
          <w:u w:val="single"/>
        </w:rPr>
        <w:t xml:space="preserve"> limit, partially or wholly redact, </w:t>
      </w:r>
      <w:r w:rsidR="00DA4103">
        <w:rPr>
          <w:color w:val="202020"/>
          <w:sz w:val="28"/>
          <w:szCs w:val="28"/>
          <w:u w:val="single"/>
        </w:rPr>
        <w:t>or preclude the digital representation of hazardous evidence</w:t>
      </w:r>
      <w:r w:rsidR="000157E5">
        <w:rPr>
          <w:color w:val="202020"/>
          <w:sz w:val="28"/>
          <w:szCs w:val="28"/>
          <w:u w:val="single"/>
        </w:rPr>
        <w:t>.</w:t>
      </w:r>
    </w:p>
    <w:p w14:paraId="3597ECC9" w14:textId="77777777" w:rsidR="002F580C" w:rsidRDefault="002F580C" w:rsidP="002F580C">
      <w:pPr>
        <w:pStyle w:val="Default"/>
        <w:ind w:left="1800" w:hanging="360"/>
        <w:rPr>
          <w:color w:val="202020"/>
          <w:sz w:val="28"/>
          <w:szCs w:val="28"/>
        </w:rPr>
      </w:pPr>
    </w:p>
    <w:p w14:paraId="69206AB9" w14:textId="0B956029" w:rsidR="00B353A2" w:rsidRDefault="00390088" w:rsidP="00B353A2">
      <w:pPr>
        <w:pStyle w:val="Default"/>
        <w:rPr>
          <w:strike/>
          <w:color w:val="202020"/>
          <w:sz w:val="28"/>
          <w:szCs w:val="28"/>
        </w:rPr>
      </w:pPr>
      <w:r w:rsidRPr="00390088">
        <w:rPr>
          <w:strike/>
          <w:color w:val="202020"/>
          <w:sz w:val="28"/>
          <w:szCs w:val="28"/>
        </w:rPr>
        <w:t>(2)</w:t>
      </w:r>
      <w:r w:rsidR="00101B41" w:rsidRPr="00390088">
        <w:rPr>
          <w:strike/>
          <w:color w:val="202020"/>
          <w:sz w:val="28"/>
          <w:szCs w:val="28"/>
        </w:rPr>
        <w:t xml:space="preserve"> </w:t>
      </w:r>
      <w:r w:rsidR="00B353A2" w:rsidRPr="00390088">
        <w:rPr>
          <w:strike/>
          <w:color w:val="202020"/>
          <w:sz w:val="28"/>
          <w:szCs w:val="28"/>
        </w:rPr>
        <w:t xml:space="preserve">Admitted Hazardous Evidence. If the court orders that hazardous evidence is permitted in the courtroom under (1) and a motion is made to admit such evidence, any order granting admission of the hazardous evidence must provide that a digital representation of the evidence is admitted in lieu of the hazardous evidence. At no time may the jury take custody of the hazardous evidence, but the jury is permitted to view hazardous evidence in the courtroom. </w:t>
      </w:r>
    </w:p>
    <w:p w14:paraId="7C96C64E" w14:textId="77777777" w:rsidR="002F580C" w:rsidRPr="00390088" w:rsidRDefault="002F580C" w:rsidP="00B353A2">
      <w:pPr>
        <w:pStyle w:val="Default"/>
        <w:rPr>
          <w:strike/>
          <w:color w:val="202020"/>
          <w:sz w:val="28"/>
          <w:szCs w:val="28"/>
        </w:rPr>
      </w:pPr>
    </w:p>
    <w:p w14:paraId="2CC7C5F7" w14:textId="3F428E21" w:rsidR="002F580C" w:rsidRDefault="00B353A2" w:rsidP="00B353A2">
      <w:pPr>
        <w:pStyle w:val="Default"/>
        <w:rPr>
          <w:strike/>
          <w:color w:val="202020"/>
          <w:sz w:val="28"/>
          <w:szCs w:val="28"/>
        </w:rPr>
      </w:pPr>
      <w:r w:rsidRPr="00390088">
        <w:rPr>
          <w:strike/>
          <w:color w:val="202020"/>
          <w:sz w:val="28"/>
          <w:szCs w:val="28"/>
        </w:rPr>
        <w:t xml:space="preserve">(3) Clerk of Court. Hazardous evidence may not be accepted by or be in the possession of a clerk of the court. </w:t>
      </w:r>
    </w:p>
    <w:p w14:paraId="77536220" w14:textId="77777777" w:rsidR="002F580C" w:rsidRPr="00390088" w:rsidRDefault="002F580C" w:rsidP="00B353A2">
      <w:pPr>
        <w:pStyle w:val="Default"/>
        <w:rPr>
          <w:strike/>
          <w:color w:val="202020"/>
          <w:sz w:val="28"/>
          <w:szCs w:val="28"/>
        </w:rPr>
      </w:pPr>
    </w:p>
    <w:p w14:paraId="51DD51A5" w14:textId="2DF44292" w:rsidR="006131B0" w:rsidRPr="00B50F08" w:rsidRDefault="00B50F08" w:rsidP="00B50F08">
      <w:pPr>
        <w:widowControl/>
        <w:jc w:val="both"/>
        <w:rPr>
          <w:rFonts w:ascii="Times New Roman" w:hAnsi="Times New Roman"/>
          <w:color w:val="202020"/>
          <w:sz w:val="28"/>
          <w:szCs w:val="28"/>
          <w:u w:val="single"/>
        </w:rPr>
      </w:pPr>
      <w:r>
        <w:rPr>
          <w:rFonts w:ascii="Times New Roman" w:hAnsi="Times New Roman"/>
          <w:color w:val="202020"/>
          <w:sz w:val="28"/>
          <w:szCs w:val="28"/>
        </w:rPr>
        <w:t xml:space="preserve">(4) </w:t>
      </w:r>
      <w:r w:rsidR="00B353A2" w:rsidRPr="00B50F08">
        <w:rPr>
          <w:rFonts w:ascii="Times New Roman" w:hAnsi="Times New Roman"/>
          <w:color w:val="202020"/>
          <w:sz w:val="28"/>
          <w:szCs w:val="28"/>
        </w:rPr>
        <w:t>Retention of Hazardous Evidence. Hazardous evidence must be retained by the custodian of the evidence during the pendency of the case, any post-verdict proceedings, and appeals. All evidence tags issued by the clerk, other identifying markings, and packaging must remain in place and not be disturbed.</w:t>
      </w:r>
      <w:r w:rsidR="0028229F" w:rsidRPr="00B50F08">
        <w:rPr>
          <w:rFonts w:ascii="Times New Roman" w:hAnsi="Times New Roman"/>
          <w:color w:val="202020"/>
          <w:sz w:val="28"/>
          <w:szCs w:val="28"/>
        </w:rPr>
        <w:t xml:space="preserve"> </w:t>
      </w:r>
      <w:r w:rsidR="0028229F" w:rsidRPr="00B50F08">
        <w:rPr>
          <w:rFonts w:ascii="Times New Roman" w:hAnsi="Times New Roman"/>
          <w:color w:val="202020"/>
          <w:sz w:val="28"/>
          <w:szCs w:val="28"/>
          <w:u w:val="single"/>
        </w:rPr>
        <w:t xml:space="preserve">This rule does not excuse the party offering hazardous evidence from </w:t>
      </w:r>
      <w:r w:rsidR="00790D92" w:rsidRPr="00B50F08">
        <w:rPr>
          <w:rFonts w:ascii="Times New Roman" w:hAnsi="Times New Roman"/>
          <w:color w:val="202020"/>
          <w:sz w:val="28"/>
          <w:szCs w:val="28"/>
          <w:u w:val="single"/>
        </w:rPr>
        <w:t xml:space="preserve">establishing chain </w:t>
      </w:r>
      <w:r w:rsidR="009F4223" w:rsidRPr="00B50F08">
        <w:rPr>
          <w:rFonts w:ascii="Times New Roman" w:hAnsi="Times New Roman"/>
          <w:color w:val="202020"/>
          <w:sz w:val="28"/>
          <w:szCs w:val="28"/>
          <w:u w:val="single"/>
        </w:rPr>
        <w:t>o</w:t>
      </w:r>
      <w:r w:rsidR="00790D92" w:rsidRPr="00B50F08">
        <w:rPr>
          <w:rFonts w:ascii="Times New Roman" w:hAnsi="Times New Roman"/>
          <w:color w:val="202020"/>
          <w:sz w:val="28"/>
          <w:szCs w:val="28"/>
          <w:u w:val="single"/>
        </w:rPr>
        <w:t>f custody. A party may offer properly authenticated photographs of hazardous evidence as part of establishing chain of custody.</w:t>
      </w:r>
    </w:p>
    <w:p w14:paraId="3730DD52" w14:textId="1E987AB7" w:rsidR="00B50F08" w:rsidRDefault="00B50F08" w:rsidP="00B50F08">
      <w:pPr>
        <w:widowControl/>
        <w:jc w:val="both"/>
        <w:rPr>
          <w:rFonts w:ascii="Times New Roman" w:hAnsi="Times New Roman"/>
          <w:color w:val="202020"/>
          <w:sz w:val="28"/>
          <w:szCs w:val="28"/>
          <w:u w:val="single"/>
        </w:rPr>
      </w:pPr>
    </w:p>
    <w:p w14:paraId="5AA87554" w14:textId="221789C7" w:rsidR="00B50F08" w:rsidRDefault="00B50F08" w:rsidP="00B50F08">
      <w:pPr>
        <w:pStyle w:val="ListParagraph"/>
        <w:widowControl/>
        <w:numPr>
          <w:ilvl w:val="0"/>
          <w:numId w:val="3"/>
        </w:numPr>
        <w:jc w:val="both"/>
        <w:rPr>
          <w:rFonts w:ascii="Times New Roman" w:hAnsi="Times New Roman"/>
          <w:b/>
          <w:bCs/>
          <w:color w:val="202020"/>
          <w:sz w:val="28"/>
          <w:szCs w:val="28"/>
        </w:rPr>
      </w:pPr>
      <w:r w:rsidRPr="00B50F08">
        <w:rPr>
          <w:rFonts w:ascii="Times New Roman" w:hAnsi="Times New Roman"/>
          <w:b/>
          <w:bCs/>
          <w:color w:val="202020"/>
          <w:sz w:val="28"/>
          <w:szCs w:val="28"/>
        </w:rPr>
        <w:t>Conclusion</w:t>
      </w:r>
    </w:p>
    <w:p w14:paraId="7C0D5362" w14:textId="3B2E6E7D" w:rsidR="002759DC" w:rsidRDefault="002759DC" w:rsidP="002759DC">
      <w:pPr>
        <w:widowControl/>
        <w:jc w:val="both"/>
        <w:rPr>
          <w:rFonts w:ascii="Times New Roman" w:hAnsi="Times New Roman"/>
          <w:b/>
          <w:bCs/>
          <w:color w:val="202020"/>
          <w:sz w:val="28"/>
          <w:szCs w:val="28"/>
        </w:rPr>
      </w:pPr>
    </w:p>
    <w:p w14:paraId="4A7BB79E" w14:textId="314D6FF0" w:rsidR="007147A3" w:rsidRDefault="002759DC" w:rsidP="003B42A6">
      <w:pPr>
        <w:widowControl/>
        <w:spacing w:line="480" w:lineRule="auto"/>
        <w:ind w:firstLine="720"/>
        <w:contextualSpacing/>
        <w:jc w:val="both"/>
        <w:rPr>
          <w:rFonts w:ascii="Times New Roman" w:hAnsi="Times New Roman"/>
          <w:color w:val="202020"/>
          <w:sz w:val="28"/>
          <w:szCs w:val="28"/>
        </w:rPr>
      </w:pPr>
      <w:r>
        <w:rPr>
          <w:rFonts w:ascii="Times New Roman" w:hAnsi="Times New Roman"/>
          <w:color w:val="202020"/>
          <w:sz w:val="28"/>
          <w:szCs w:val="28"/>
        </w:rPr>
        <w:t>The Maricopa County Indigent Defense Offices, which jointly represent most indigent individuals charged with criminal offenses in our jurisdiction, suggest four main changes to Proposed Rule 611</w:t>
      </w:r>
      <w:r w:rsidR="007147A3">
        <w:rPr>
          <w:rFonts w:ascii="Times New Roman" w:hAnsi="Times New Roman"/>
          <w:color w:val="202020"/>
          <w:sz w:val="28"/>
          <w:szCs w:val="28"/>
        </w:rPr>
        <w:t xml:space="preserve">. </w:t>
      </w:r>
    </w:p>
    <w:p w14:paraId="02CC0F0D" w14:textId="32DB9F53" w:rsidR="007147A3" w:rsidRDefault="007147A3" w:rsidP="003B42A6">
      <w:pPr>
        <w:widowControl/>
        <w:spacing w:line="480" w:lineRule="auto"/>
        <w:ind w:firstLine="720"/>
        <w:contextualSpacing/>
        <w:jc w:val="both"/>
        <w:rPr>
          <w:rFonts w:ascii="Times New Roman" w:hAnsi="Times New Roman"/>
          <w:color w:val="202020"/>
          <w:sz w:val="28"/>
          <w:szCs w:val="28"/>
        </w:rPr>
      </w:pPr>
      <w:r>
        <w:rPr>
          <w:rFonts w:ascii="Times New Roman" w:hAnsi="Times New Roman"/>
          <w:color w:val="202020"/>
          <w:sz w:val="28"/>
          <w:szCs w:val="28"/>
        </w:rPr>
        <w:lastRenderedPageBreak/>
        <w:t xml:space="preserve">The first suggestion is to promulgate the Proposed Rule 611 standards alternatively as an administrative order </w:t>
      </w:r>
      <w:r w:rsidR="00010626">
        <w:rPr>
          <w:rFonts w:ascii="Times New Roman" w:hAnsi="Times New Roman"/>
          <w:color w:val="202020"/>
          <w:sz w:val="28"/>
          <w:szCs w:val="28"/>
        </w:rPr>
        <w:t xml:space="preserve">or rule of procedure. This would ensure that the proper policy goals are targeted by each type of instrument. Furthermore, </w:t>
      </w:r>
      <w:r w:rsidR="00E46455">
        <w:rPr>
          <w:rFonts w:ascii="Times New Roman" w:hAnsi="Times New Roman"/>
          <w:color w:val="202020"/>
          <w:sz w:val="28"/>
          <w:szCs w:val="28"/>
        </w:rPr>
        <w:t>this would promote continuing conformity of the Arizona Rules of Evidence with the Federal Rules of Evidence.</w:t>
      </w:r>
    </w:p>
    <w:p w14:paraId="2E7BF9A9" w14:textId="49D3825C" w:rsidR="009574C6" w:rsidRDefault="009574C6" w:rsidP="003B42A6">
      <w:pPr>
        <w:widowControl/>
        <w:spacing w:line="480" w:lineRule="auto"/>
        <w:ind w:firstLine="720"/>
        <w:contextualSpacing/>
        <w:jc w:val="both"/>
        <w:rPr>
          <w:rFonts w:ascii="Times New Roman" w:hAnsi="Times New Roman"/>
          <w:color w:val="202020"/>
          <w:sz w:val="28"/>
          <w:szCs w:val="28"/>
        </w:rPr>
      </w:pPr>
      <w:r>
        <w:rPr>
          <w:rFonts w:ascii="Times New Roman" w:hAnsi="Times New Roman"/>
          <w:color w:val="202020"/>
          <w:sz w:val="28"/>
          <w:szCs w:val="28"/>
        </w:rPr>
        <w:t xml:space="preserve">The second suggestion is to establish notice and timing requirements within the scope of the rule. This would accomplish the goals of reducing unnecessary waste, delay, and surprise litigation. </w:t>
      </w:r>
      <w:r w:rsidR="00577E3C">
        <w:rPr>
          <w:rFonts w:ascii="Times New Roman" w:hAnsi="Times New Roman"/>
          <w:color w:val="202020"/>
          <w:sz w:val="28"/>
          <w:szCs w:val="28"/>
        </w:rPr>
        <w:t xml:space="preserve">Other jurisdictions have adopted similar approaches. </w:t>
      </w:r>
      <w:r w:rsidR="0036260A">
        <w:rPr>
          <w:rFonts w:ascii="Times New Roman" w:hAnsi="Times New Roman"/>
          <w:color w:val="202020"/>
          <w:sz w:val="28"/>
          <w:szCs w:val="28"/>
        </w:rPr>
        <w:t xml:space="preserve">Moreover, explicitly affirming chain of custody requirements within the Proposed Rule’s scope does not detract from its public safety function. </w:t>
      </w:r>
    </w:p>
    <w:p w14:paraId="5160EFB1" w14:textId="6447552A" w:rsidR="00577E3C" w:rsidRDefault="00577E3C" w:rsidP="003B42A6">
      <w:pPr>
        <w:widowControl/>
        <w:spacing w:line="480" w:lineRule="auto"/>
        <w:ind w:firstLine="720"/>
        <w:contextualSpacing/>
        <w:jc w:val="both"/>
        <w:rPr>
          <w:rFonts w:ascii="Times New Roman" w:hAnsi="Times New Roman"/>
          <w:color w:val="202020"/>
          <w:sz w:val="28"/>
          <w:szCs w:val="28"/>
        </w:rPr>
      </w:pPr>
      <w:r>
        <w:rPr>
          <w:rFonts w:ascii="Times New Roman" w:hAnsi="Times New Roman"/>
          <w:color w:val="202020"/>
          <w:sz w:val="28"/>
          <w:szCs w:val="28"/>
        </w:rPr>
        <w:t xml:space="preserve">The third suggestion </w:t>
      </w:r>
      <w:r w:rsidR="00C53C99">
        <w:rPr>
          <w:rFonts w:ascii="Times New Roman" w:hAnsi="Times New Roman"/>
          <w:color w:val="202020"/>
          <w:sz w:val="28"/>
          <w:szCs w:val="28"/>
        </w:rPr>
        <w:t xml:space="preserve">is to </w:t>
      </w:r>
      <w:r w:rsidR="00CB6E1E">
        <w:rPr>
          <w:rFonts w:ascii="Times New Roman" w:hAnsi="Times New Roman"/>
          <w:color w:val="202020"/>
          <w:sz w:val="28"/>
          <w:szCs w:val="28"/>
        </w:rPr>
        <w:t xml:space="preserve">further </w:t>
      </w:r>
      <w:r w:rsidR="00C53C99">
        <w:rPr>
          <w:rFonts w:ascii="Times New Roman" w:hAnsi="Times New Roman"/>
          <w:color w:val="202020"/>
          <w:sz w:val="28"/>
          <w:szCs w:val="28"/>
        </w:rPr>
        <w:t xml:space="preserve">define the judicial role in shaping the handling, use, and disposition of hazardous evidence in cases where it is permitted in the courtroom. </w:t>
      </w:r>
      <w:r w:rsidR="00A06448">
        <w:rPr>
          <w:rFonts w:ascii="Times New Roman" w:hAnsi="Times New Roman"/>
          <w:color w:val="202020"/>
          <w:sz w:val="28"/>
          <w:szCs w:val="28"/>
        </w:rPr>
        <w:t xml:space="preserve">The proposed language affords judicial </w:t>
      </w:r>
      <w:proofErr w:type="gramStart"/>
      <w:r w:rsidR="00A06448">
        <w:rPr>
          <w:rFonts w:ascii="Times New Roman" w:hAnsi="Times New Roman"/>
          <w:color w:val="202020"/>
          <w:sz w:val="28"/>
          <w:szCs w:val="28"/>
        </w:rPr>
        <w:t>officers</w:t>
      </w:r>
      <w:proofErr w:type="gramEnd"/>
      <w:r w:rsidR="00A06448">
        <w:rPr>
          <w:rFonts w:ascii="Times New Roman" w:hAnsi="Times New Roman"/>
          <w:color w:val="202020"/>
          <w:sz w:val="28"/>
          <w:szCs w:val="28"/>
        </w:rPr>
        <w:t xml:space="preserve"> discretion to shape </w:t>
      </w:r>
      <w:r w:rsidR="007801AF">
        <w:rPr>
          <w:rFonts w:ascii="Times New Roman" w:hAnsi="Times New Roman"/>
          <w:color w:val="202020"/>
          <w:sz w:val="28"/>
          <w:szCs w:val="28"/>
        </w:rPr>
        <w:t>the manner of hazardous evidence presentation</w:t>
      </w:r>
      <w:r w:rsidR="00DA1A6B">
        <w:rPr>
          <w:rFonts w:ascii="Times New Roman" w:hAnsi="Times New Roman"/>
          <w:color w:val="202020"/>
          <w:sz w:val="28"/>
          <w:szCs w:val="28"/>
        </w:rPr>
        <w:t xml:space="preserve"> while </w:t>
      </w:r>
      <w:r w:rsidR="00CB6E1E">
        <w:rPr>
          <w:rFonts w:ascii="Times New Roman" w:hAnsi="Times New Roman"/>
          <w:color w:val="202020"/>
          <w:sz w:val="28"/>
          <w:szCs w:val="28"/>
        </w:rPr>
        <w:t xml:space="preserve">protecting public safety. </w:t>
      </w:r>
    </w:p>
    <w:p w14:paraId="5371CBE0" w14:textId="0D0DEFD9" w:rsidR="00CB6E1E" w:rsidRPr="002759DC" w:rsidRDefault="00CB6E1E" w:rsidP="003B42A6">
      <w:pPr>
        <w:widowControl/>
        <w:spacing w:line="480" w:lineRule="auto"/>
        <w:ind w:firstLine="720"/>
        <w:contextualSpacing/>
        <w:jc w:val="both"/>
        <w:rPr>
          <w:rFonts w:ascii="Times New Roman" w:hAnsi="Times New Roman"/>
          <w:color w:val="202020"/>
          <w:sz w:val="28"/>
          <w:szCs w:val="28"/>
        </w:rPr>
      </w:pPr>
      <w:r>
        <w:rPr>
          <w:rFonts w:ascii="Times New Roman" w:hAnsi="Times New Roman"/>
          <w:color w:val="202020"/>
          <w:sz w:val="28"/>
          <w:szCs w:val="28"/>
        </w:rPr>
        <w:t xml:space="preserve">The fourth suggestion </w:t>
      </w:r>
      <w:r w:rsidR="006F4712">
        <w:rPr>
          <w:rFonts w:ascii="Times New Roman" w:hAnsi="Times New Roman"/>
          <w:color w:val="202020"/>
          <w:sz w:val="28"/>
          <w:szCs w:val="28"/>
        </w:rPr>
        <w:t xml:space="preserve">is to provide a balancing test </w:t>
      </w:r>
      <w:r w:rsidR="00967871">
        <w:rPr>
          <w:rFonts w:ascii="Times New Roman" w:hAnsi="Times New Roman"/>
          <w:color w:val="202020"/>
          <w:sz w:val="28"/>
          <w:szCs w:val="28"/>
        </w:rPr>
        <w:t>between probative value and prejudicial effect within the Proposed Rule</w:t>
      </w:r>
      <w:r w:rsidR="003F0599">
        <w:rPr>
          <w:rFonts w:ascii="Times New Roman" w:hAnsi="Times New Roman"/>
          <w:color w:val="202020"/>
          <w:sz w:val="28"/>
          <w:szCs w:val="28"/>
        </w:rPr>
        <w:t xml:space="preserve"> for when digital representations are used</w:t>
      </w:r>
      <w:r w:rsidR="00135977">
        <w:rPr>
          <w:rFonts w:ascii="Times New Roman" w:hAnsi="Times New Roman"/>
          <w:color w:val="202020"/>
          <w:sz w:val="28"/>
          <w:szCs w:val="28"/>
        </w:rPr>
        <w:t>, and to require the proponent of the digital representation to give written notice before the digital representation is permitted.</w:t>
      </w:r>
      <w:r w:rsidR="00967871">
        <w:rPr>
          <w:rFonts w:ascii="Times New Roman" w:hAnsi="Times New Roman"/>
          <w:color w:val="202020"/>
          <w:sz w:val="28"/>
          <w:szCs w:val="28"/>
        </w:rPr>
        <w:t xml:space="preserve"> </w:t>
      </w:r>
      <w:r w:rsidR="003F0599">
        <w:rPr>
          <w:rFonts w:ascii="Times New Roman" w:hAnsi="Times New Roman"/>
          <w:color w:val="202020"/>
          <w:sz w:val="28"/>
          <w:szCs w:val="28"/>
        </w:rPr>
        <w:t>This would allow judicial officers</w:t>
      </w:r>
      <w:r w:rsidR="00CB2285">
        <w:rPr>
          <w:rFonts w:ascii="Times New Roman" w:hAnsi="Times New Roman"/>
          <w:color w:val="202020"/>
          <w:sz w:val="28"/>
          <w:szCs w:val="28"/>
        </w:rPr>
        <w:t xml:space="preserve"> discretion</w:t>
      </w:r>
      <w:r w:rsidR="003F0599">
        <w:rPr>
          <w:rFonts w:ascii="Times New Roman" w:hAnsi="Times New Roman"/>
          <w:color w:val="202020"/>
          <w:sz w:val="28"/>
          <w:szCs w:val="28"/>
        </w:rPr>
        <w:t xml:space="preserve"> to make individualized determinations of </w:t>
      </w:r>
      <w:r w:rsidR="00CB2285">
        <w:rPr>
          <w:rFonts w:ascii="Times New Roman" w:hAnsi="Times New Roman"/>
          <w:color w:val="202020"/>
          <w:sz w:val="28"/>
          <w:szCs w:val="28"/>
        </w:rPr>
        <w:t xml:space="preserve">evidentiary value and the danger </w:t>
      </w:r>
      <w:r w:rsidR="00CB2285">
        <w:rPr>
          <w:rFonts w:ascii="Times New Roman" w:hAnsi="Times New Roman"/>
          <w:color w:val="202020"/>
          <w:sz w:val="28"/>
          <w:szCs w:val="28"/>
        </w:rPr>
        <w:lastRenderedPageBreak/>
        <w:t xml:space="preserve">for prejudice on a case-by-case basis. Moreover, </w:t>
      </w:r>
      <w:r w:rsidR="003B42A6">
        <w:rPr>
          <w:rFonts w:ascii="Times New Roman" w:hAnsi="Times New Roman"/>
          <w:color w:val="202020"/>
          <w:sz w:val="28"/>
          <w:szCs w:val="28"/>
        </w:rPr>
        <w:t>a standard curative jury instruction should be considered to the same effect.</w:t>
      </w:r>
    </w:p>
    <w:p w14:paraId="38DCE9BD" w14:textId="608A6A55" w:rsidR="00790D92" w:rsidRDefault="006E5FDB" w:rsidP="00B353A2">
      <w:pPr>
        <w:widowControl/>
        <w:jc w:val="both"/>
        <w:rPr>
          <w:rFonts w:ascii="Times New Roman" w:hAnsi="Times New Roman"/>
          <w:sz w:val="28"/>
          <w:szCs w:val="28"/>
        </w:rPr>
      </w:pPr>
      <w:r>
        <w:rPr>
          <w:rFonts w:ascii="Times New Roman" w:hAnsi="Times New Roman"/>
          <w:sz w:val="28"/>
          <w:szCs w:val="28"/>
        </w:rPr>
        <w:t>///</w:t>
      </w:r>
    </w:p>
    <w:p w14:paraId="391E2AA0" w14:textId="55561D9B" w:rsidR="006E5FDB" w:rsidRDefault="006E5FDB" w:rsidP="00B353A2">
      <w:pPr>
        <w:widowControl/>
        <w:jc w:val="both"/>
        <w:rPr>
          <w:rFonts w:ascii="Times New Roman" w:hAnsi="Times New Roman"/>
          <w:sz w:val="28"/>
          <w:szCs w:val="28"/>
        </w:rPr>
      </w:pPr>
    </w:p>
    <w:p w14:paraId="63BAA936" w14:textId="13D05722" w:rsidR="006E5FDB" w:rsidRDefault="006E5FDB" w:rsidP="00B353A2">
      <w:pPr>
        <w:widowControl/>
        <w:jc w:val="both"/>
        <w:rPr>
          <w:rFonts w:ascii="Times New Roman" w:hAnsi="Times New Roman"/>
          <w:sz w:val="28"/>
          <w:szCs w:val="28"/>
        </w:rPr>
      </w:pPr>
      <w:r>
        <w:rPr>
          <w:rFonts w:ascii="Times New Roman" w:hAnsi="Times New Roman"/>
          <w:sz w:val="28"/>
          <w:szCs w:val="28"/>
        </w:rPr>
        <w:t>///</w:t>
      </w:r>
    </w:p>
    <w:p w14:paraId="3AAB6D1F" w14:textId="5D8619D3" w:rsidR="006E5FDB" w:rsidRDefault="006E5FDB" w:rsidP="00B353A2">
      <w:pPr>
        <w:widowControl/>
        <w:jc w:val="both"/>
        <w:rPr>
          <w:rFonts w:ascii="Times New Roman" w:hAnsi="Times New Roman"/>
          <w:sz w:val="28"/>
          <w:szCs w:val="28"/>
        </w:rPr>
      </w:pPr>
    </w:p>
    <w:p w14:paraId="7C998C24" w14:textId="690F5FEC" w:rsidR="006E5FDB" w:rsidRDefault="006E5FDB" w:rsidP="00B353A2">
      <w:pPr>
        <w:widowControl/>
        <w:jc w:val="both"/>
        <w:rPr>
          <w:rFonts w:ascii="Times New Roman" w:hAnsi="Times New Roman"/>
          <w:sz w:val="28"/>
          <w:szCs w:val="28"/>
        </w:rPr>
      </w:pPr>
      <w:r>
        <w:rPr>
          <w:rFonts w:ascii="Times New Roman" w:hAnsi="Times New Roman"/>
          <w:sz w:val="28"/>
          <w:szCs w:val="28"/>
        </w:rPr>
        <w:t>///</w:t>
      </w:r>
    </w:p>
    <w:p w14:paraId="0DDFC657" w14:textId="5CC8B6C5" w:rsidR="006E5FDB" w:rsidRDefault="006E5FDB" w:rsidP="00B353A2">
      <w:pPr>
        <w:widowControl/>
        <w:jc w:val="both"/>
        <w:rPr>
          <w:rFonts w:ascii="Times New Roman" w:hAnsi="Times New Roman"/>
          <w:sz w:val="28"/>
          <w:szCs w:val="28"/>
        </w:rPr>
      </w:pPr>
    </w:p>
    <w:p w14:paraId="1B188221" w14:textId="5C5C88ED" w:rsidR="006E5FDB" w:rsidRDefault="006E5FDB" w:rsidP="00B353A2">
      <w:pPr>
        <w:widowControl/>
        <w:jc w:val="both"/>
        <w:rPr>
          <w:rFonts w:ascii="Times New Roman" w:hAnsi="Times New Roman"/>
          <w:sz w:val="28"/>
          <w:szCs w:val="28"/>
        </w:rPr>
      </w:pPr>
      <w:r>
        <w:rPr>
          <w:rFonts w:ascii="Times New Roman" w:hAnsi="Times New Roman"/>
          <w:sz w:val="28"/>
          <w:szCs w:val="28"/>
        </w:rPr>
        <w:t>///</w:t>
      </w:r>
    </w:p>
    <w:p w14:paraId="64FDC543" w14:textId="76857B05" w:rsidR="006E5FDB" w:rsidRDefault="006E5FDB" w:rsidP="00B353A2">
      <w:pPr>
        <w:widowControl/>
        <w:jc w:val="both"/>
        <w:rPr>
          <w:rFonts w:ascii="Times New Roman" w:hAnsi="Times New Roman"/>
          <w:sz w:val="28"/>
          <w:szCs w:val="28"/>
        </w:rPr>
      </w:pPr>
    </w:p>
    <w:p w14:paraId="3282422B" w14:textId="7C2F7906" w:rsidR="006E5FDB" w:rsidRPr="006E5FDB" w:rsidRDefault="006E5FDB" w:rsidP="00B353A2">
      <w:pPr>
        <w:widowControl/>
        <w:jc w:val="both"/>
        <w:rPr>
          <w:rFonts w:ascii="Times New Roman" w:hAnsi="Times New Roman"/>
          <w:sz w:val="28"/>
          <w:szCs w:val="28"/>
        </w:rPr>
      </w:pPr>
      <w:r>
        <w:rPr>
          <w:rFonts w:ascii="Times New Roman" w:hAnsi="Times New Roman"/>
          <w:sz w:val="28"/>
          <w:szCs w:val="28"/>
        </w:rPr>
        <w:t>///</w:t>
      </w:r>
    </w:p>
    <w:p w14:paraId="5BDB98B9" w14:textId="127EDFA8" w:rsidR="006E5FDB" w:rsidRDefault="006E5FDB" w:rsidP="00B353A2">
      <w:pPr>
        <w:widowControl/>
        <w:jc w:val="both"/>
        <w:rPr>
          <w:rFonts w:ascii="Times New Roman" w:hAnsi="Times New Roman"/>
          <w:sz w:val="28"/>
          <w:szCs w:val="28"/>
          <w:u w:val="single"/>
        </w:rPr>
      </w:pPr>
    </w:p>
    <w:p w14:paraId="2856D978" w14:textId="77777777" w:rsidR="006E5FDB" w:rsidRPr="0028229F" w:rsidRDefault="006E5FDB" w:rsidP="00B353A2">
      <w:pPr>
        <w:widowControl/>
        <w:jc w:val="both"/>
        <w:rPr>
          <w:rFonts w:ascii="Times New Roman" w:hAnsi="Times New Roman"/>
          <w:sz w:val="28"/>
          <w:szCs w:val="28"/>
          <w:u w:val="single"/>
        </w:rPr>
      </w:pPr>
    </w:p>
    <w:p w14:paraId="2ABA1376" w14:textId="4A01F01C" w:rsidR="00517872" w:rsidRDefault="00517872" w:rsidP="00517872">
      <w:pPr>
        <w:widowControl/>
        <w:ind w:firstLine="720"/>
        <w:jc w:val="both"/>
        <w:rPr>
          <w:rFonts w:ascii="Times New Roman" w:hAnsi="Times New Roman"/>
          <w:sz w:val="28"/>
          <w:szCs w:val="28"/>
        </w:rPr>
      </w:pPr>
      <w:r>
        <w:rPr>
          <w:rFonts w:ascii="Times New Roman" w:hAnsi="Times New Roman"/>
          <w:sz w:val="28"/>
          <w:szCs w:val="28"/>
        </w:rPr>
        <w:t>Respectfully submitted</w:t>
      </w:r>
      <w:r w:rsidR="0070119F">
        <w:rPr>
          <w:rFonts w:ascii="Times New Roman" w:hAnsi="Times New Roman"/>
          <w:sz w:val="28"/>
          <w:szCs w:val="28"/>
        </w:rPr>
        <w:t xml:space="preserve"> this</w:t>
      </w:r>
      <w:r w:rsidR="003B42A6">
        <w:rPr>
          <w:rFonts w:ascii="Times New Roman" w:hAnsi="Times New Roman"/>
          <w:sz w:val="28"/>
          <w:szCs w:val="28"/>
        </w:rPr>
        <w:t xml:space="preserve"> </w:t>
      </w:r>
      <w:r w:rsidR="00C00CF6">
        <w:rPr>
          <w:rFonts w:ascii="Times New Roman" w:hAnsi="Times New Roman"/>
          <w:sz w:val="28"/>
          <w:szCs w:val="28"/>
        </w:rPr>
        <w:t>1</w:t>
      </w:r>
      <w:r w:rsidR="00C00CF6" w:rsidRPr="0082004C">
        <w:rPr>
          <w:rFonts w:ascii="Times New Roman" w:hAnsi="Times New Roman"/>
          <w:sz w:val="28"/>
          <w:szCs w:val="28"/>
        </w:rPr>
        <w:t>st</w:t>
      </w:r>
      <w:r w:rsidR="0070119F">
        <w:rPr>
          <w:rFonts w:ascii="Times New Roman" w:hAnsi="Times New Roman"/>
          <w:sz w:val="28"/>
          <w:szCs w:val="28"/>
        </w:rPr>
        <w:t xml:space="preserve"> day</w:t>
      </w:r>
      <w:r w:rsidR="00C00CF6">
        <w:rPr>
          <w:rFonts w:ascii="Times New Roman" w:hAnsi="Times New Roman"/>
          <w:sz w:val="28"/>
          <w:szCs w:val="28"/>
        </w:rPr>
        <w:t xml:space="preserve"> of May, 2023</w:t>
      </w:r>
      <w:r w:rsidR="00CB3A61">
        <w:rPr>
          <w:rFonts w:ascii="Times New Roman" w:hAnsi="Times New Roman"/>
          <w:sz w:val="28"/>
          <w:szCs w:val="28"/>
        </w:rPr>
        <w:t>,</w:t>
      </w:r>
    </w:p>
    <w:p w14:paraId="3F894C91" w14:textId="77777777" w:rsidR="00517872" w:rsidRDefault="00517872" w:rsidP="00517872">
      <w:pPr>
        <w:widowControl/>
        <w:jc w:val="both"/>
        <w:rPr>
          <w:rFonts w:ascii="Times New Roman" w:hAnsi="Times New Roman"/>
          <w:sz w:val="28"/>
          <w:szCs w:val="28"/>
        </w:rPr>
      </w:pPr>
    </w:p>
    <w:p w14:paraId="114B2115" w14:textId="77777777" w:rsidR="00517872" w:rsidRDefault="00517872" w:rsidP="00517872">
      <w:pPr>
        <w:widowControl/>
        <w:jc w:val="both"/>
        <w:rPr>
          <w:rFonts w:ascii="Times New Roman" w:hAnsi="Times New Roman"/>
          <w:sz w:val="28"/>
          <w:szCs w:val="28"/>
        </w:rPr>
      </w:pPr>
    </w:p>
    <w:p w14:paraId="0A40E445"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Rosemarie Pena-Lynch</w:t>
      </w:r>
      <w:r>
        <w:rPr>
          <w:rFonts w:ascii="Times New Roman" w:hAnsi="Times New Roman"/>
          <w:sz w:val="28"/>
          <w:szCs w:val="28"/>
          <w:u w:val="single"/>
        </w:rPr>
        <w:tab/>
      </w:r>
      <w:r>
        <w:rPr>
          <w:rFonts w:ascii="Times New Roman" w:hAnsi="Times New Roman"/>
          <w:sz w:val="28"/>
          <w:szCs w:val="28"/>
        </w:rPr>
        <w:tab/>
        <w:t>By</w:t>
      </w:r>
      <w:r>
        <w:rPr>
          <w:rFonts w:ascii="Times New Roman" w:hAnsi="Times New Roman"/>
          <w:sz w:val="28"/>
          <w:szCs w:val="28"/>
          <w:u w:val="single"/>
        </w:rPr>
        <w:tab/>
        <w:t xml:space="preserve">/s/ </w:t>
      </w:r>
      <w:r w:rsidRPr="00C16D2B">
        <w:rPr>
          <w:rFonts w:ascii="Times New Roman" w:hAnsi="Times New Roman"/>
          <w:i/>
          <w:iCs/>
          <w:sz w:val="28"/>
          <w:szCs w:val="28"/>
          <w:u w:val="single"/>
        </w:rPr>
        <w:t>Gary Kula</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6FEFC468" w14:textId="2B32B89C" w:rsidR="00517872" w:rsidRPr="005B2963" w:rsidRDefault="00517872" w:rsidP="005B2963">
      <w:pPr>
        <w:widowControl/>
        <w:tabs>
          <w:tab w:val="left" w:pos="5400"/>
        </w:tabs>
        <w:ind w:firstLine="360"/>
        <w:jc w:val="both"/>
        <w:rPr>
          <w:rFonts w:ascii="Times New Roman" w:hAnsi="Times New Roman"/>
          <w:b/>
          <w:bCs/>
          <w:sz w:val="28"/>
          <w:szCs w:val="28"/>
        </w:rPr>
      </w:pPr>
      <w:r w:rsidRPr="00517872">
        <w:rPr>
          <w:rFonts w:ascii="Times New Roman" w:hAnsi="Times New Roman"/>
          <w:sz w:val="28"/>
          <w:szCs w:val="28"/>
        </w:rPr>
        <w:t>Rosemarie Pena-Lynch</w:t>
      </w:r>
      <w:r w:rsidR="005B2963">
        <w:rPr>
          <w:rFonts w:ascii="Times New Roman" w:hAnsi="Times New Roman"/>
          <w:sz w:val="28"/>
          <w:szCs w:val="28"/>
        </w:rPr>
        <w:t>, Director</w:t>
      </w:r>
      <w:r w:rsidRPr="00B67F38">
        <w:rPr>
          <w:rFonts w:ascii="Times New Roman" w:hAnsi="Times New Roman"/>
          <w:sz w:val="28"/>
          <w:szCs w:val="28"/>
        </w:rPr>
        <w:tab/>
      </w:r>
      <w:r w:rsidRPr="00517872">
        <w:rPr>
          <w:rFonts w:ascii="Times New Roman" w:hAnsi="Times New Roman"/>
          <w:sz w:val="28"/>
          <w:szCs w:val="28"/>
        </w:rPr>
        <w:t>Gary Kula</w:t>
      </w:r>
      <w:r w:rsidR="005B2963">
        <w:rPr>
          <w:rFonts w:ascii="Times New Roman" w:hAnsi="Times New Roman"/>
          <w:sz w:val="28"/>
          <w:szCs w:val="28"/>
        </w:rPr>
        <w:t>, Director</w:t>
      </w:r>
    </w:p>
    <w:p w14:paraId="530CB84C" w14:textId="7864D18F" w:rsidR="00517872" w:rsidRDefault="00517872" w:rsidP="008C6960">
      <w:pPr>
        <w:widowControl/>
        <w:tabs>
          <w:tab w:val="left" w:pos="5400"/>
        </w:tabs>
        <w:ind w:firstLine="360"/>
        <w:jc w:val="both"/>
        <w:rPr>
          <w:rFonts w:ascii="Times New Roman" w:hAnsi="Times New Roman"/>
          <w:sz w:val="28"/>
          <w:szCs w:val="28"/>
        </w:rPr>
      </w:pPr>
      <w:proofErr w:type="spellStart"/>
      <w:r w:rsidRPr="00B67F38">
        <w:rPr>
          <w:rFonts w:ascii="Times New Roman" w:hAnsi="Times New Roman"/>
          <w:sz w:val="28"/>
          <w:szCs w:val="28"/>
        </w:rPr>
        <w:t>Mcpa</w:t>
      </w:r>
      <w:proofErr w:type="spellEnd"/>
      <w:r w:rsidRPr="00B67F38">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Cnty</w:t>
      </w:r>
      <w:proofErr w:type="spellEnd"/>
      <w:r>
        <w:rPr>
          <w:rFonts w:ascii="Times New Roman" w:hAnsi="Times New Roman"/>
          <w:sz w:val="28"/>
          <w:szCs w:val="28"/>
        </w:rPr>
        <w:t>.</w:t>
      </w:r>
      <w:r w:rsidRPr="00B67F38">
        <w:rPr>
          <w:rFonts w:ascii="Times New Roman" w:hAnsi="Times New Roman"/>
          <w:sz w:val="28"/>
          <w:szCs w:val="28"/>
        </w:rPr>
        <w:t xml:space="preserve"> Of</w:t>
      </w:r>
      <w:r>
        <w:rPr>
          <w:rFonts w:ascii="Times New Roman" w:hAnsi="Times New Roman"/>
          <w:sz w:val="28"/>
          <w:szCs w:val="28"/>
        </w:rPr>
        <w:t>c.</w:t>
      </w:r>
      <w:r w:rsidRPr="00B67F38">
        <w:rPr>
          <w:rFonts w:ascii="Times New Roman" w:hAnsi="Times New Roman"/>
          <w:sz w:val="28"/>
          <w:szCs w:val="28"/>
        </w:rPr>
        <w:t xml:space="preserve"> of Public Defense Svc.</w:t>
      </w:r>
      <w:r>
        <w:rPr>
          <w:rFonts w:ascii="Times New Roman" w:hAnsi="Times New Roman"/>
          <w:sz w:val="28"/>
          <w:szCs w:val="28"/>
        </w:rPr>
        <w:tab/>
      </w:r>
      <w:proofErr w:type="spellStart"/>
      <w:r w:rsidRPr="00B67F38">
        <w:rPr>
          <w:rFonts w:ascii="Times New Roman" w:hAnsi="Times New Roman"/>
          <w:sz w:val="28"/>
          <w:szCs w:val="28"/>
        </w:rPr>
        <w:t>Mcpa</w:t>
      </w:r>
      <w:proofErr w:type="spellEnd"/>
      <w:r w:rsidRPr="00B67F38">
        <w:rPr>
          <w:rFonts w:ascii="Times New Roman" w:hAnsi="Times New Roman"/>
          <w:sz w:val="28"/>
          <w:szCs w:val="28"/>
        </w:rPr>
        <w:t xml:space="preserve">. </w:t>
      </w:r>
      <w:proofErr w:type="spellStart"/>
      <w:r>
        <w:rPr>
          <w:rFonts w:ascii="Times New Roman" w:hAnsi="Times New Roman"/>
          <w:sz w:val="28"/>
          <w:szCs w:val="28"/>
        </w:rPr>
        <w:t>Cnty</w:t>
      </w:r>
      <w:proofErr w:type="spellEnd"/>
      <w:r>
        <w:rPr>
          <w:rFonts w:ascii="Times New Roman" w:hAnsi="Times New Roman"/>
          <w:sz w:val="28"/>
          <w:szCs w:val="28"/>
        </w:rPr>
        <w:t xml:space="preserve">. </w:t>
      </w:r>
      <w:r w:rsidRPr="00B67F38">
        <w:rPr>
          <w:rFonts w:ascii="Times New Roman" w:hAnsi="Times New Roman"/>
          <w:sz w:val="28"/>
          <w:szCs w:val="28"/>
        </w:rPr>
        <w:t>Public Defenders</w:t>
      </w:r>
      <w:r w:rsidR="008C6960">
        <w:rPr>
          <w:rFonts w:ascii="Times New Roman" w:hAnsi="Times New Roman"/>
          <w:sz w:val="28"/>
          <w:szCs w:val="28"/>
        </w:rPr>
        <w:t xml:space="preserve"> Ofc.</w:t>
      </w:r>
    </w:p>
    <w:p w14:paraId="2A0718F9" w14:textId="77777777" w:rsidR="00517872" w:rsidRDefault="00517872" w:rsidP="00517872">
      <w:pPr>
        <w:widowControl/>
        <w:jc w:val="both"/>
        <w:rPr>
          <w:rFonts w:ascii="Times New Roman" w:hAnsi="Times New Roman"/>
          <w:sz w:val="28"/>
          <w:szCs w:val="28"/>
        </w:rPr>
      </w:pPr>
    </w:p>
    <w:p w14:paraId="6D55C85E" w14:textId="77777777" w:rsidR="00517872" w:rsidRPr="00B67F38" w:rsidRDefault="00517872" w:rsidP="00517872">
      <w:pPr>
        <w:widowControl/>
        <w:jc w:val="both"/>
        <w:rPr>
          <w:rFonts w:ascii="Times New Roman" w:hAnsi="Times New Roman"/>
          <w:sz w:val="28"/>
          <w:szCs w:val="28"/>
        </w:rPr>
      </w:pPr>
    </w:p>
    <w:p w14:paraId="0EF4BC08"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Steve Koestner</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ab/>
        <w:t>By</w:t>
      </w:r>
      <w:r>
        <w:rPr>
          <w:rFonts w:ascii="Times New Roman" w:hAnsi="Times New Roman"/>
          <w:sz w:val="28"/>
          <w:szCs w:val="28"/>
          <w:u w:val="single"/>
        </w:rPr>
        <w:tab/>
        <w:t xml:space="preserve">/s/ </w:t>
      </w:r>
      <w:r w:rsidRPr="00C16D2B">
        <w:rPr>
          <w:rFonts w:ascii="Times New Roman" w:hAnsi="Times New Roman"/>
          <w:i/>
          <w:iCs/>
          <w:sz w:val="28"/>
          <w:szCs w:val="28"/>
          <w:u w:val="single"/>
        </w:rPr>
        <w:t>Shannon Burns</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04C60272" w14:textId="3DD29583" w:rsidR="00CD0B1E" w:rsidRDefault="00517872" w:rsidP="00517872">
      <w:pPr>
        <w:widowControl/>
        <w:tabs>
          <w:tab w:val="left" w:pos="5400"/>
        </w:tabs>
        <w:ind w:firstLine="360"/>
        <w:jc w:val="both"/>
        <w:rPr>
          <w:rFonts w:ascii="Times New Roman" w:hAnsi="Times New Roman"/>
          <w:b/>
          <w:bCs/>
          <w:sz w:val="28"/>
          <w:szCs w:val="28"/>
        </w:rPr>
      </w:pPr>
      <w:r w:rsidRPr="00517872">
        <w:rPr>
          <w:rFonts w:ascii="Times New Roman" w:hAnsi="Times New Roman"/>
          <w:sz w:val="28"/>
          <w:szCs w:val="28"/>
        </w:rPr>
        <w:t>Steve Koestner</w:t>
      </w:r>
      <w:r w:rsidR="005B2963">
        <w:rPr>
          <w:rFonts w:ascii="Times New Roman" w:hAnsi="Times New Roman"/>
          <w:sz w:val="28"/>
          <w:szCs w:val="28"/>
        </w:rPr>
        <w:t>, Director</w:t>
      </w:r>
      <w:r w:rsidRPr="00B67F38">
        <w:rPr>
          <w:rFonts w:ascii="Times New Roman" w:hAnsi="Times New Roman"/>
          <w:sz w:val="28"/>
          <w:szCs w:val="28"/>
        </w:rPr>
        <w:tab/>
      </w:r>
      <w:r w:rsidRPr="00517872">
        <w:rPr>
          <w:rFonts w:ascii="Times New Roman" w:hAnsi="Times New Roman"/>
          <w:sz w:val="28"/>
          <w:szCs w:val="28"/>
        </w:rPr>
        <w:t>Shannon Burns</w:t>
      </w:r>
      <w:r w:rsidR="005B2963">
        <w:rPr>
          <w:rFonts w:ascii="Times New Roman" w:hAnsi="Times New Roman"/>
          <w:sz w:val="28"/>
          <w:szCs w:val="28"/>
        </w:rPr>
        <w:t>, Director</w:t>
      </w:r>
    </w:p>
    <w:p w14:paraId="697FD7BC" w14:textId="0E94BE8F" w:rsidR="00517872" w:rsidRDefault="00517872" w:rsidP="008C6960">
      <w:pPr>
        <w:widowControl/>
        <w:tabs>
          <w:tab w:val="left" w:pos="5400"/>
        </w:tabs>
        <w:ind w:left="4320" w:right="-1350" w:hanging="3960"/>
        <w:jc w:val="both"/>
        <w:rPr>
          <w:rFonts w:ascii="Times New Roman" w:hAnsi="Times New Roman"/>
          <w:sz w:val="28"/>
          <w:szCs w:val="28"/>
        </w:rPr>
      </w:pPr>
      <w:proofErr w:type="spellStart"/>
      <w:r w:rsidRPr="00B67F38">
        <w:rPr>
          <w:rFonts w:ascii="Times New Roman" w:hAnsi="Times New Roman"/>
          <w:sz w:val="28"/>
          <w:szCs w:val="28"/>
        </w:rPr>
        <w:t>Mcpa</w:t>
      </w:r>
      <w:proofErr w:type="spellEnd"/>
      <w:r w:rsidRPr="00B67F38">
        <w:rPr>
          <w:rFonts w:ascii="Times New Roman" w:hAnsi="Times New Roman"/>
          <w:sz w:val="28"/>
          <w:szCs w:val="28"/>
        </w:rPr>
        <w:t xml:space="preserve">. </w:t>
      </w:r>
      <w:proofErr w:type="spellStart"/>
      <w:r>
        <w:rPr>
          <w:rFonts w:ascii="Times New Roman" w:hAnsi="Times New Roman"/>
          <w:sz w:val="28"/>
          <w:szCs w:val="28"/>
        </w:rPr>
        <w:t>Cnty</w:t>
      </w:r>
      <w:proofErr w:type="spellEnd"/>
      <w:r>
        <w:rPr>
          <w:rFonts w:ascii="Times New Roman" w:hAnsi="Times New Roman"/>
          <w:sz w:val="28"/>
          <w:szCs w:val="28"/>
        </w:rPr>
        <w:t xml:space="preserve">. </w:t>
      </w:r>
      <w:r w:rsidRPr="00B67F38">
        <w:rPr>
          <w:rFonts w:ascii="Times New Roman" w:hAnsi="Times New Roman"/>
          <w:sz w:val="28"/>
          <w:szCs w:val="28"/>
        </w:rPr>
        <w:t>Of</w:t>
      </w:r>
      <w:r>
        <w:rPr>
          <w:rFonts w:ascii="Times New Roman" w:hAnsi="Times New Roman"/>
          <w:sz w:val="28"/>
          <w:szCs w:val="28"/>
        </w:rPr>
        <w:t>c.</w:t>
      </w:r>
      <w:r w:rsidRPr="00B67F38">
        <w:rPr>
          <w:rFonts w:ascii="Times New Roman" w:hAnsi="Times New Roman"/>
          <w:sz w:val="28"/>
          <w:szCs w:val="28"/>
        </w:rPr>
        <w:t xml:space="preserve"> of Legal Advocate</w:t>
      </w:r>
      <w:r>
        <w:rPr>
          <w:rFonts w:ascii="Times New Roman" w:hAnsi="Times New Roman"/>
          <w:sz w:val="28"/>
          <w:szCs w:val="28"/>
        </w:rPr>
        <w:tab/>
      </w:r>
      <w:proofErr w:type="spellStart"/>
      <w:r w:rsidRPr="00B67F38">
        <w:rPr>
          <w:rFonts w:ascii="Times New Roman" w:hAnsi="Times New Roman"/>
          <w:sz w:val="28"/>
          <w:szCs w:val="28"/>
        </w:rPr>
        <w:t>Mcpa</w:t>
      </w:r>
      <w:proofErr w:type="spellEnd"/>
      <w:r w:rsidRPr="00B67F38">
        <w:rPr>
          <w:rFonts w:ascii="Times New Roman" w:hAnsi="Times New Roman"/>
          <w:sz w:val="28"/>
          <w:szCs w:val="28"/>
        </w:rPr>
        <w:t xml:space="preserve">. </w:t>
      </w:r>
      <w:proofErr w:type="spellStart"/>
      <w:r>
        <w:rPr>
          <w:rFonts w:ascii="Times New Roman" w:hAnsi="Times New Roman"/>
          <w:sz w:val="28"/>
          <w:szCs w:val="28"/>
        </w:rPr>
        <w:t>Cnty</w:t>
      </w:r>
      <w:proofErr w:type="spellEnd"/>
      <w:r>
        <w:rPr>
          <w:rFonts w:ascii="Times New Roman" w:hAnsi="Times New Roman"/>
          <w:sz w:val="28"/>
          <w:szCs w:val="28"/>
        </w:rPr>
        <w:t xml:space="preserve">. </w:t>
      </w:r>
      <w:r w:rsidRPr="00B67F38">
        <w:rPr>
          <w:rFonts w:ascii="Times New Roman" w:hAnsi="Times New Roman"/>
          <w:sz w:val="28"/>
          <w:szCs w:val="28"/>
        </w:rPr>
        <w:t>Of</w:t>
      </w:r>
      <w:r>
        <w:rPr>
          <w:rFonts w:ascii="Times New Roman" w:hAnsi="Times New Roman"/>
          <w:sz w:val="28"/>
          <w:szCs w:val="28"/>
        </w:rPr>
        <w:t>c.</w:t>
      </w:r>
      <w:r w:rsidRPr="00B67F38">
        <w:rPr>
          <w:rFonts w:ascii="Times New Roman" w:hAnsi="Times New Roman"/>
          <w:sz w:val="28"/>
          <w:szCs w:val="28"/>
        </w:rPr>
        <w:t xml:space="preserve"> of Public</w:t>
      </w:r>
      <w:r w:rsidR="008C6960">
        <w:rPr>
          <w:rFonts w:ascii="Times New Roman" w:hAnsi="Times New Roman"/>
          <w:sz w:val="28"/>
          <w:szCs w:val="28"/>
        </w:rPr>
        <w:t xml:space="preserve"> Advocate</w:t>
      </w:r>
      <w:r w:rsidRPr="00B67F38">
        <w:rPr>
          <w:rFonts w:ascii="Times New Roman" w:hAnsi="Times New Roman"/>
          <w:sz w:val="28"/>
          <w:szCs w:val="28"/>
        </w:rPr>
        <w:t xml:space="preserve"> </w:t>
      </w:r>
    </w:p>
    <w:p w14:paraId="68842C39" w14:textId="77777777" w:rsidR="00517872" w:rsidRDefault="00517872" w:rsidP="00517872">
      <w:pPr>
        <w:widowControl/>
        <w:jc w:val="both"/>
        <w:rPr>
          <w:rFonts w:ascii="Times New Roman" w:hAnsi="Times New Roman"/>
          <w:sz w:val="28"/>
          <w:szCs w:val="28"/>
        </w:rPr>
      </w:pPr>
    </w:p>
    <w:p w14:paraId="31A17A3F" w14:textId="77777777" w:rsidR="00517872" w:rsidRPr="00B67F38" w:rsidRDefault="00517872" w:rsidP="00517872">
      <w:pPr>
        <w:widowControl/>
        <w:jc w:val="both"/>
        <w:rPr>
          <w:rFonts w:ascii="Times New Roman" w:hAnsi="Times New Roman"/>
          <w:sz w:val="28"/>
          <w:szCs w:val="28"/>
        </w:rPr>
      </w:pPr>
    </w:p>
    <w:p w14:paraId="1ADBA02D"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Sherri McGuire Lawson</w:t>
      </w:r>
      <w:r>
        <w:rPr>
          <w:rFonts w:ascii="Times New Roman" w:hAnsi="Times New Roman"/>
          <w:sz w:val="28"/>
          <w:szCs w:val="28"/>
          <w:u w:val="single"/>
        </w:rPr>
        <w:tab/>
      </w:r>
    </w:p>
    <w:p w14:paraId="769C974A" w14:textId="7334DCCC" w:rsidR="00517872" w:rsidRPr="00517872" w:rsidRDefault="00517872" w:rsidP="00517872">
      <w:pPr>
        <w:widowControl/>
        <w:ind w:firstLine="360"/>
        <w:jc w:val="both"/>
        <w:rPr>
          <w:rFonts w:ascii="Times New Roman" w:hAnsi="Times New Roman"/>
          <w:sz w:val="28"/>
          <w:szCs w:val="28"/>
        </w:rPr>
      </w:pPr>
      <w:r w:rsidRPr="00517872">
        <w:rPr>
          <w:rFonts w:ascii="Times New Roman" w:hAnsi="Times New Roman"/>
          <w:sz w:val="28"/>
          <w:szCs w:val="28"/>
        </w:rPr>
        <w:t>Sherri McGuire Lawson</w:t>
      </w:r>
      <w:r w:rsidR="005B2963">
        <w:rPr>
          <w:rFonts w:ascii="Times New Roman" w:hAnsi="Times New Roman"/>
          <w:sz w:val="28"/>
          <w:szCs w:val="28"/>
        </w:rPr>
        <w:t>, Director</w:t>
      </w:r>
    </w:p>
    <w:p w14:paraId="6BED04A2" w14:textId="77777777" w:rsidR="00517872" w:rsidRPr="00B67F38" w:rsidRDefault="00517872" w:rsidP="00517872">
      <w:pPr>
        <w:widowControl/>
        <w:ind w:firstLine="360"/>
        <w:jc w:val="both"/>
        <w:rPr>
          <w:rFonts w:ascii="Times New Roman" w:hAnsi="Times New Roman"/>
          <w:sz w:val="28"/>
          <w:szCs w:val="28"/>
        </w:rPr>
      </w:pPr>
      <w:proofErr w:type="spellStart"/>
      <w:r w:rsidRPr="00B67F38">
        <w:rPr>
          <w:rFonts w:ascii="Times New Roman" w:hAnsi="Times New Roman"/>
          <w:sz w:val="28"/>
          <w:szCs w:val="28"/>
        </w:rPr>
        <w:t>Mcpa</w:t>
      </w:r>
      <w:proofErr w:type="spellEnd"/>
      <w:r w:rsidRPr="00B67F38">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Cnty</w:t>
      </w:r>
      <w:proofErr w:type="spellEnd"/>
      <w:r>
        <w:rPr>
          <w:rFonts w:ascii="Times New Roman" w:hAnsi="Times New Roman"/>
          <w:sz w:val="28"/>
          <w:szCs w:val="28"/>
        </w:rPr>
        <w:t>.</w:t>
      </w:r>
      <w:r w:rsidRPr="00B67F38">
        <w:rPr>
          <w:rFonts w:ascii="Times New Roman" w:hAnsi="Times New Roman"/>
          <w:sz w:val="28"/>
          <w:szCs w:val="28"/>
        </w:rPr>
        <w:t xml:space="preserve"> Of</w:t>
      </w:r>
      <w:r>
        <w:rPr>
          <w:rFonts w:ascii="Times New Roman" w:hAnsi="Times New Roman"/>
          <w:sz w:val="28"/>
          <w:szCs w:val="28"/>
        </w:rPr>
        <w:t>c.</w:t>
      </w:r>
      <w:r w:rsidRPr="00B67F38">
        <w:rPr>
          <w:rFonts w:ascii="Times New Roman" w:hAnsi="Times New Roman"/>
          <w:sz w:val="28"/>
          <w:szCs w:val="28"/>
        </w:rPr>
        <w:t xml:space="preserve"> of Legal Defender</w:t>
      </w:r>
    </w:p>
    <w:p w14:paraId="0FA914E6" w14:textId="77777777" w:rsidR="0031043B" w:rsidRDefault="0031043B"/>
    <w:sectPr w:rsidR="003104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3F60" w14:textId="77777777" w:rsidR="002A1EE1" w:rsidRDefault="002A1EE1" w:rsidP="00517872">
      <w:r>
        <w:separator/>
      </w:r>
    </w:p>
  </w:endnote>
  <w:endnote w:type="continuationSeparator" w:id="0">
    <w:p w14:paraId="7977368B" w14:textId="77777777" w:rsidR="002A1EE1" w:rsidRDefault="002A1EE1"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955802"/>
      <w:docPartObj>
        <w:docPartGallery w:val="Page Numbers (Bottom of Page)"/>
        <w:docPartUnique/>
      </w:docPartObj>
    </w:sdtPr>
    <w:sdtEndPr>
      <w:rPr>
        <w:rFonts w:ascii="Times New Roman" w:hAnsi="Times New Roman"/>
        <w:noProof/>
      </w:rPr>
    </w:sdtEndPr>
    <w:sdtContent>
      <w:p w14:paraId="78444307" w14:textId="6104B89F" w:rsidR="00C604D5" w:rsidRPr="00C604D5" w:rsidRDefault="00C604D5">
        <w:pPr>
          <w:pStyle w:val="Footer"/>
          <w:jc w:val="center"/>
          <w:rPr>
            <w:rFonts w:ascii="Times New Roman" w:hAnsi="Times New Roman"/>
          </w:rPr>
        </w:pPr>
        <w:r w:rsidRPr="00C604D5">
          <w:rPr>
            <w:rFonts w:ascii="Times New Roman" w:hAnsi="Times New Roman"/>
          </w:rPr>
          <w:fldChar w:fldCharType="begin"/>
        </w:r>
        <w:r w:rsidRPr="00C604D5">
          <w:rPr>
            <w:rFonts w:ascii="Times New Roman" w:hAnsi="Times New Roman"/>
          </w:rPr>
          <w:instrText xml:space="preserve"> PAGE   \* MERGEFORMAT </w:instrText>
        </w:r>
        <w:r w:rsidRPr="00C604D5">
          <w:rPr>
            <w:rFonts w:ascii="Times New Roman" w:hAnsi="Times New Roman"/>
          </w:rPr>
          <w:fldChar w:fldCharType="separate"/>
        </w:r>
        <w:r w:rsidRPr="00C604D5">
          <w:rPr>
            <w:rFonts w:ascii="Times New Roman" w:hAnsi="Times New Roman"/>
            <w:noProof/>
          </w:rPr>
          <w:t>2</w:t>
        </w:r>
        <w:r w:rsidRPr="00C604D5">
          <w:rPr>
            <w:rFonts w:ascii="Times New Roman" w:hAnsi="Times New Roman"/>
            <w:noProof/>
          </w:rPr>
          <w:fldChar w:fldCharType="end"/>
        </w:r>
      </w:p>
    </w:sdtContent>
  </w:sdt>
  <w:p w14:paraId="7AAE240F" w14:textId="77777777" w:rsidR="00C604D5" w:rsidRDefault="00C60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008F4" w14:textId="77777777" w:rsidR="002A1EE1" w:rsidRDefault="002A1EE1" w:rsidP="00517872">
      <w:r>
        <w:separator/>
      </w:r>
    </w:p>
  </w:footnote>
  <w:footnote w:type="continuationSeparator" w:id="0">
    <w:p w14:paraId="12A154F7" w14:textId="77777777" w:rsidR="002A1EE1" w:rsidRDefault="002A1EE1" w:rsidP="00517872">
      <w:r>
        <w:continuationSeparator/>
      </w:r>
    </w:p>
  </w:footnote>
  <w:footnote w:id="1">
    <w:p w14:paraId="5EBEC1F4" w14:textId="77777777" w:rsidR="00773DB2" w:rsidRPr="003D1B9F" w:rsidRDefault="00996798" w:rsidP="00773DB2">
      <w:pPr>
        <w:pStyle w:val="FootnoteText"/>
        <w:rPr>
          <w:rFonts w:ascii="Times New Roman" w:hAnsi="Times New Roman"/>
          <w:sz w:val="24"/>
          <w:szCs w:val="24"/>
        </w:rPr>
      </w:pPr>
      <w:r w:rsidRPr="003D1B9F">
        <w:rPr>
          <w:rStyle w:val="FootnoteReference"/>
          <w:rFonts w:ascii="Times New Roman" w:hAnsi="Times New Roman"/>
          <w:sz w:val="24"/>
          <w:szCs w:val="24"/>
        </w:rPr>
        <w:footnoteRef/>
      </w:r>
      <w:r w:rsidRPr="003D1B9F">
        <w:rPr>
          <w:rFonts w:ascii="Times New Roman" w:hAnsi="Times New Roman"/>
          <w:sz w:val="24"/>
          <w:szCs w:val="24"/>
        </w:rPr>
        <w:t xml:space="preserve"> </w:t>
      </w:r>
      <w:r w:rsidRPr="003D1B9F">
        <w:rPr>
          <w:rFonts w:ascii="Times New Roman" w:hAnsi="Times New Roman"/>
          <w:sz w:val="24"/>
          <w:szCs w:val="24"/>
        </w:rPr>
        <w:tab/>
      </w:r>
      <w:r w:rsidR="00773DB2" w:rsidRPr="003D1B9F">
        <w:rPr>
          <w:rFonts w:ascii="Times New Roman" w:hAnsi="Times New Roman"/>
          <w:sz w:val="24"/>
          <w:szCs w:val="24"/>
        </w:rPr>
        <w:t xml:space="preserve"> </w:t>
      </w:r>
    </w:p>
    <w:p w14:paraId="4F31C9AF" w14:textId="54DFC185" w:rsidR="00996798" w:rsidRPr="003D1B9F" w:rsidRDefault="00996798" w:rsidP="00773DB2">
      <w:pPr>
        <w:pStyle w:val="FootnoteText"/>
        <w:ind w:left="720"/>
        <w:rPr>
          <w:rFonts w:ascii="Times New Roman" w:hAnsi="Times New Roman"/>
          <w:sz w:val="24"/>
          <w:szCs w:val="24"/>
        </w:rPr>
      </w:pPr>
      <w:r w:rsidRPr="003D1B9F">
        <w:rPr>
          <w:rFonts w:ascii="Times New Roman" w:hAnsi="Times New Roman"/>
          <w:sz w:val="24"/>
          <w:szCs w:val="24"/>
          <w:u w:val="single"/>
        </w:rPr>
        <w:t>Oregon:</w:t>
      </w:r>
      <w:r w:rsidR="0054165A" w:rsidRPr="003D1B9F">
        <w:rPr>
          <w:rFonts w:ascii="Times New Roman" w:hAnsi="Times New Roman"/>
          <w:sz w:val="24"/>
          <w:szCs w:val="24"/>
        </w:rPr>
        <w:t xml:space="preserve"> </w:t>
      </w:r>
      <w:r w:rsidR="00BB6F65" w:rsidRPr="003D1B9F">
        <w:rPr>
          <w:rFonts w:ascii="Times New Roman" w:hAnsi="Times New Roman"/>
          <w:sz w:val="24"/>
          <w:szCs w:val="24"/>
        </w:rPr>
        <w:t xml:space="preserve">Or. Uni. Trial Ct. R. 6.140 – Procedures for Use of Hazardous Substance. </w:t>
      </w:r>
      <w:hyperlink r:id="rId1" w:history="1">
        <w:r w:rsidR="00CE3100" w:rsidRPr="003D1B9F">
          <w:rPr>
            <w:rStyle w:val="Hyperlink"/>
            <w:rFonts w:ascii="Times New Roman" w:hAnsi="Times New Roman"/>
            <w:sz w:val="24"/>
            <w:szCs w:val="24"/>
          </w:rPr>
          <w:t>https://www.courts.oregon.gov/rules/UTCR/2022_UTCR_ch6.pdf</w:t>
        </w:r>
      </w:hyperlink>
      <w:r w:rsidR="00CE3100" w:rsidRPr="003D1B9F">
        <w:rPr>
          <w:rFonts w:ascii="Times New Roman" w:hAnsi="Times New Roman"/>
          <w:sz w:val="24"/>
          <w:szCs w:val="24"/>
        </w:rPr>
        <w:t xml:space="preserve"> </w:t>
      </w:r>
    </w:p>
    <w:p w14:paraId="6DC71BB9" w14:textId="77777777" w:rsidR="00773DB2" w:rsidRPr="003D1B9F" w:rsidRDefault="00773DB2" w:rsidP="00773DB2">
      <w:pPr>
        <w:pStyle w:val="FootnoteText"/>
        <w:ind w:left="720"/>
        <w:rPr>
          <w:rFonts w:ascii="Times New Roman" w:hAnsi="Times New Roman"/>
          <w:sz w:val="24"/>
          <w:szCs w:val="24"/>
        </w:rPr>
      </w:pPr>
    </w:p>
    <w:p w14:paraId="6331B59E" w14:textId="1DB17354" w:rsidR="00773DB2" w:rsidRPr="003D1B9F" w:rsidRDefault="00996798" w:rsidP="00B0096C">
      <w:pPr>
        <w:pStyle w:val="FootnoteText"/>
        <w:ind w:left="720"/>
        <w:rPr>
          <w:rFonts w:ascii="Times New Roman" w:hAnsi="Times New Roman"/>
          <w:sz w:val="24"/>
          <w:szCs w:val="24"/>
        </w:rPr>
      </w:pPr>
      <w:r w:rsidRPr="003D1B9F">
        <w:rPr>
          <w:rFonts w:ascii="Times New Roman" w:hAnsi="Times New Roman"/>
          <w:sz w:val="24"/>
          <w:szCs w:val="24"/>
          <w:u w:val="single"/>
        </w:rPr>
        <w:t>Virginia:</w:t>
      </w:r>
      <w:r w:rsidRPr="003D1B9F">
        <w:rPr>
          <w:rFonts w:ascii="Times New Roman" w:hAnsi="Times New Roman"/>
          <w:sz w:val="24"/>
          <w:szCs w:val="24"/>
        </w:rPr>
        <w:t xml:space="preserve"> </w:t>
      </w:r>
      <w:r w:rsidR="008D29FF" w:rsidRPr="003D1B9F">
        <w:rPr>
          <w:rFonts w:ascii="Times New Roman" w:hAnsi="Times New Roman"/>
          <w:sz w:val="24"/>
          <w:szCs w:val="24"/>
        </w:rPr>
        <w:t xml:space="preserve">Va. R. Evid. 2:107 – Ultrahazardous Items as Exhibits. </w:t>
      </w:r>
      <w:hyperlink r:id="rId2" w:history="1">
        <w:r w:rsidR="00B0096C" w:rsidRPr="003D1B9F">
          <w:rPr>
            <w:rStyle w:val="Hyperlink"/>
            <w:rFonts w:ascii="Times New Roman" w:hAnsi="Times New Roman"/>
            <w:sz w:val="24"/>
            <w:szCs w:val="24"/>
          </w:rPr>
          <w:t>https://www.vacourts.gov/courts/scv/amendments/rule_2_107.pdf</w:t>
        </w:r>
      </w:hyperlink>
      <w:r w:rsidR="00B0096C" w:rsidRPr="003D1B9F">
        <w:rPr>
          <w:rFonts w:ascii="Times New Roman" w:hAnsi="Times New Roman"/>
          <w:sz w:val="24"/>
          <w:szCs w:val="24"/>
        </w:rPr>
        <w:t xml:space="preserve">. </w:t>
      </w:r>
    </w:p>
    <w:p w14:paraId="3BA21A82" w14:textId="77777777" w:rsidR="00DD24AC" w:rsidRPr="003D1B9F" w:rsidRDefault="00DD24AC" w:rsidP="00B0096C">
      <w:pPr>
        <w:pStyle w:val="FootnoteText"/>
        <w:ind w:left="720"/>
        <w:rPr>
          <w:rFonts w:ascii="Times New Roman" w:hAnsi="Times New Roman"/>
          <w:sz w:val="24"/>
          <w:szCs w:val="24"/>
        </w:rPr>
      </w:pPr>
    </w:p>
    <w:p w14:paraId="0DA009E4" w14:textId="6255C1BD" w:rsidR="00996798" w:rsidRPr="003D1B9F" w:rsidRDefault="00773DB2" w:rsidP="00B0096C">
      <w:pPr>
        <w:pStyle w:val="FootnoteText"/>
        <w:ind w:left="720"/>
        <w:rPr>
          <w:sz w:val="24"/>
          <w:szCs w:val="24"/>
        </w:rPr>
      </w:pPr>
      <w:r w:rsidRPr="003D1B9F">
        <w:rPr>
          <w:rFonts w:ascii="Times New Roman" w:hAnsi="Times New Roman"/>
          <w:sz w:val="24"/>
          <w:szCs w:val="24"/>
          <w:u w:val="single"/>
        </w:rPr>
        <w:t>Minnesota:</w:t>
      </w:r>
      <w:r w:rsidRPr="003D1B9F">
        <w:rPr>
          <w:rFonts w:ascii="Times New Roman" w:hAnsi="Times New Roman"/>
          <w:sz w:val="24"/>
          <w:szCs w:val="24"/>
        </w:rPr>
        <w:t xml:space="preserve"> Minnesota Judicial Branch Policy 507, “Potentially Hazardous Exhibit Policy” (2004). </w:t>
      </w:r>
      <w:hyperlink r:id="rId3" w:history="1">
        <w:r w:rsidRPr="003D1B9F">
          <w:rPr>
            <w:rStyle w:val="Hyperlink"/>
            <w:rFonts w:ascii="Times New Roman" w:hAnsi="Times New Roman"/>
            <w:sz w:val="24"/>
            <w:szCs w:val="24"/>
          </w:rPr>
          <w:t>https://www.mncourts.gov/mncourtsgov/media/Judicial_Council_Library/Policies/500/507-Potentially-Hazardous-Exhibit-Policy.pdf?ext=.pdf</w:t>
        </w:r>
      </w:hyperlink>
      <w:r w:rsidR="00B0096C" w:rsidRPr="003D1B9F">
        <w:rPr>
          <w:rFonts w:ascii="Times New Roman" w:hAnsi="Times New Roman"/>
          <w:sz w:val="24"/>
          <w:szCs w:val="24"/>
        </w:rPr>
        <w:t xml:space="preserve"> </w:t>
      </w:r>
      <w:r w:rsidR="00996798" w:rsidRPr="003D1B9F">
        <w:rPr>
          <w:rFonts w:ascii="Times New Roman" w:hAnsi="Times New Roman"/>
          <w:sz w:val="24"/>
          <w:szCs w:val="24"/>
        </w:rPr>
        <w:tab/>
      </w:r>
    </w:p>
  </w:footnote>
  <w:footnote w:id="2">
    <w:p w14:paraId="0776C430" w14:textId="51661F99" w:rsidR="00F3548C" w:rsidRPr="003D1B9F" w:rsidRDefault="00F3548C">
      <w:pPr>
        <w:pStyle w:val="FootnoteText"/>
        <w:rPr>
          <w:rFonts w:ascii="Times New Roman" w:hAnsi="Times New Roman"/>
          <w:i/>
          <w:iCs/>
          <w:sz w:val="24"/>
          <w:szCs w:val="24"/>
        </w:rPr>
      </w:pPr>
      <w:r w:rsidRPr="003D1B9F">
        <w:rPr>
          <w:rStyle w:val="FootnoteReference"/>
          <w:rFonts w:ascii="Times New Roman" w:hAnsi="Times New Roman"/>
          <w:sz w:val="24"/>
          <w:szCs w:val="24"/>
        </w:rPr>
        <w:footnoteRef/>
      </w:r>
      <w:r w:rsidRPr="003D1B9F">
        <w:rPr>
          <w:rFonts w:ascii="Times New Roman" w:hAnsi="Times New Roman"/>
          <w:sz w:val="24"/>
          <w:szCs w:val="24"/>
        </w:rPr>
        <w:t xml:space="preserve"> </w:t>
      </w:r>
      <w:r w:rsidRPr="003D1B9F">
        <w:rPr>
          <w:sz w:val="24"/>
          <w:szCs w:val="24"/>
        </w:rPr>
        <w:tab/>
      </w:r>
      <w:r w:rsidRPr="003D1B9F">
        <w:rPr>
          <w:rFonts w:ascii="Times New Roman" w:hAnsi="Times New Roman"/>
          <w:i/>
          <w:iCs/>
          <w:sz w:val="24"/>
          <w:szCs w:val="24"/>
        </w:rPr>
        <w:t>Id.</w:t>
      </w:r>
    </w:p>
  </w:footnote>
  <w:footnote w:id="3">
    <w:p w14:paraId="3875035A" w14:textId="4DBC2D80" w:rsidR="00F3548C" w:rsidRPr="003D1B9F" w:rsidRDefault="00F3548C">
      <w:pPr>
        <w:pStyle w:val="FootnoteText"/>
        <w:rPr>
          <w:i/>
          <w:iCs/>
          <w:sz w:val="24"/>
          <w:szCs w:val="24"/>
        </w:rPr>
      </w:pPr>
      <w:r w:rsidRPr="003D1B9F">
        <w:rPr>
          <w:rStyle w:val="FootnoteReference"/>
          <w:rFonts w:ascii="Times New Roman" w:hAnsi="Times New Roman"/>
          <w:sz w:val="24"/>
          <w:szCs w:val="24"/>
        </w:rPr>
        <w:footnoteRef/>
      </w:r>
      <w:r w:rsidRPr="003D1B9F">
        <w:rPr>
          <w:rFonts w:ascii="Times New Roman" w:hAnsi="Times New Roman"/>
          <w:sz w:val="24"/>
          <w:szCs w:val="24"/>
        </w:rPr>
        <w:t xml:space="preserve"> </w:t>
      </w:r>
      <w:r w:rsidRPr="003D1B9F">
        <w:rPr>
          <w:rFonts w:ascii="Times New Roman" w:hAnsi="Times New Roman"/>
          <w:sz w:val="24"/>
          <w:szCs w:val="24"/>
        </w:rPr>
        <w:tab/>
      </w:r>
      <w:r w:rsidRPr="003D1B9F">
        <w:rPr>
          <w:rFonts w:ascii="Times New Roman" w:hAnsi="Times New Roman"/>
          <w:i/>
          <w:iCs/>
          <w:sz w:val="24"/>
          <w:szCs w:val="24"/>
        </w:rPr>
        <w:t>Id.</w:t>
      </w:r>
    </w:p>
  </w:footnote>
  <w:footnote w:id="4">
    <w:p w14:paraId="7174DAE6" w14:textId="598D6A43" w:rsidR="0042593D" w:rsidRPr="003D1B9F" w:rsidRDefault="0042593D">
      <w:pPr>
        <w:pStyle w:val="FootnoteText"/>
        <w:rPr>
          <w:rFonts w:ascii="Times New Roman" w:hAnsi="Times New Roman"/>
          <w:i/>
          <w:iCs/>
          <w:sz w:val="24"/>
          <w:szCs w:val="24"/>
        </w:rPr>
      </w:pPr>
      <w:r w:rsidRPr="003D1B9F">
        <w:rPr>
          <w:rStyle w:val="FootnoteReference"/>
          <w:rFonts w:ascii="Times New Roman" w:hAnsi="Times New Roman"/>
          <w:sz w:val="24"/>
          <w:szCs w:val="24"/>
        </w:rPr>
        <w:footnoteRef/>
      </w:r>
      <w:r w:rsidRPr="003D1B9F">
        <w:rPr>
          <w:rFonts w:ascii="Times New Roman" w:hAnsi="Times New Roman"/>
          <w:sz w:val="24"/>
          <w:szCs w:val="24"/>
        </w:rPr>
        <w:t xml:space="preserve"> </w:t>
      </w:r>
      <w:r w:rsidRPr="003D1B9F">
        <w:rPr>
          <w:rFonts w:ascii="Times New Roman" w:hAnsi="Times New Roman"/>
          <w:sz w:val="24"/>
          <w:szCs w:val="24"/>
        </w:rPr>
        <w:tab/>
      </w:r>
      <w:r w:rsidRPr="003D1B9F">
        <w:rPr>
          <w:rFonts w:ascii="Times New Roman" w:hAnsi="Times New Roman"/>
          <w:i/>
          <w:iCs/>
          <w:sz w:val="24"/>
          <w:szCs w:val="24"/>
        </w:rPr>
        <w:t>Id.</w:t>
      </w:r>
    </w:p>
  </w:footnote>
  <w:footnote w:id="5">
    <w:p w14:paraId="3444339C" w14:textId="4DFDEF1D" w:rsidR="00050F69" w:rsidRPr="00E67FD9" w:rsidRDefault="00050F69">
      <w:pPr>
        <w:pStyle w:val="FootnoteText"/>
        <w:rPr>
          <w:rFonts w:ascii="Times New Roman" w:hAnsi="Times New Roman"/>
          <w:sz w:val="24"/>
          <w:szCs w:val="24"/>
        </w:rPr>
      </w:pPr>
      <w:r w:rsidRPr="00E67FD9">
        <w:rPr>
          <w:rStyle w:val="FootnoteReference"/>
          <w:rFonts w:ascii="Times New Roman" w:hAnsi="Times New Roman"/>
          <w:sz w:val="24"/>
          <w:szCs w:val="24"/>
        </w:rPr>
        <w:footnoteRef/>
      </w:r>
      <w:r w:rsidR="00030116" w:rsidRPr="00E67FD9">
        <w:rPr>
          <w:rFonts w:ascii="Times New Roman" w:hAnsi="Times New Roman"/>
          <w:sz w:val="24"/>
          <w:szCs w:val="24"/>
        </w:rPr>
        <w:t xml:space="preserve"> </w:t>
      </w:r>
      <w:r w:rsidR="00E67FD9">
        <w:rPr>
          <w:rFonts w:ascii="Times New Roman" w:hAnsi="Times New Roman"/>
          <w:sz w:val="24"/>
          <w:szCs w:val="24"/>
        </w:rPr>
        <w:tab/>
      </w:r>
      <w:r w:rsidR="00030116" w:rsidRPr="00E67FD9">
        <w:rPr>
          <w:rFonts w:ascii="Times New Roman" w:hAnsi="Times New Roman"/>
          <w:i/>
          <w:iCs/>
          <w:sz w:val="24"/>
          <w:szCs w:val="24"/>
        </w:rPr>
        <w:t>Know Your Hazard Symbols</w:t>
      </w:r>
      <w:r w:rsidR="00D20086" w:rsidRPr="00E67FD9">
        <w:rPr>
          <w:rFonts w:ascii="Times New Roman" w:hAnsi="Times New Roman"/>
          <w:sz w:val="24"/>
          <w:szCs w:val="24"/>
        </w:rPr>
        <w:t xml:space="preserve">, Princeton Univ. Environment </w:t>
      </w:r>
      <w:proofErr w:type="gramStart"/>
      <w:r w:rsidR="00D20086" w:rsidRPr="00E67FD9">
        <w:rPr>
          <w:rFonts w:ascii="Times New Roman" w:hAnsi="Times New Roman"/>
          <w:sz w:val="24"/>
          <w:szCs w:val="24"/>
        </w:rPr>
        <w:t>Health</w:t>
      </w:r>
      <w:proofErr w:type="gramEnd"/>
      <w:r w:rsidR="00D20086" w:rsidRPr="00E67FD9">
        <w:rPr>
          <w:rFonts w:ascii="Times New Roman" w:hAnsi="Times New Roman"/>
          <w:sz w:val="24"/>
          <w:szCs w:val="24"/>
        </w:rPr>
        <w:t xml:space="preserve"> and Safety</w:t>
      </w:r>
      <w:r w:rsidR="00B62081" w:rsidRPr="00E67FD9">
        <w:rPr>
          <w:rFonts w:ascii="Times New Roman" w:hAnsi="Times New Roman"/>
          <w:sz w:val="24"/>
          <w:szCs w:val="24"/>
        </w:rPr>
        <w:t xml:space="preserve"> (</w:t>
      </w:r>
      <w:r w:rsidR="00E67FD9" w:rsidRPr="00E67FD9">
        <w:rPr>
          <w:rFonts w:ascii="Times New Roman" w:hAnsi="Times New Roman"/>
          <w:sz w:val="24"/>
          <w:szCs w:val="24"/>
        </w:rPr>
        <w:t xml:space="preserve">August 22, 2016), </w:t>
      </w:r>
      <w:hyperlink r:id="rId4" w:history="1">
        <w:r w:rsidR="00E67FD9" w:rsidRPr="00E67FD9">
          <w:rPr>
            <w:rStyle w:val="Hyperlink"/>
            <w:rFonts w:ascii="Times New Roman" w:hAnsi="Times New Roman"/>
            <w:sz w:val="24"/>
            <w:szCs w:val="24"/>
          </w:rPr>
          <w:t>https://ehs.princeton.edu/news/know-your-hazard-symbols-pictograms</w:t>
        </w:r>
      </w:hyperlink>
      <w:r w:rsidR="00E67FD9" w:rsidRPr="00E67FD9">
        <w:rPr>
          <w:rFonts w:ascii="Times New Roman" w:hAnsi="Times New Roman"/>
          <w:sz w:val="24"/>
          <w:szCs w:val="24"/>
        </w:rPr>
        <w:t xml:space="preserve"> </w:t>
      </w:r>
    </w:p>
  </w:footnote>
  <w:footnote w:id="6">
    <w:p w14:paraId="1AFA26C4" w14:textId="1D45E54F" w:rsidR="00FB740A" w:rsidRPr="003D1B9F" w:rsidRDefault="00FB740A">
      <w:pPr>
        <w:pStyle w:val="FootnoteText"/>
        <w:rPr>
          <w:rFonts w:ascii="Times New Roman" w:hAnsi="Times New Roman"/>
          <w:sz w:val="24"/>
          <w:szCs w:val="24"/>
        </w:rPr>
      </w:pPr>
      <w:r w:rsidRPr="003D1B9F">
        <w:rPr>
          <w:rStyle w:val="FootnoteReference"/>
          <w:rFonts w:ascii="Times New Roman" w:hAnsi="Times New Roman"/>
          <w:sz w:val="24"/>
          <w:szCs w:val="24"/>
          <w:vertAlign w:val="superscript"/>
        </w:rPr>
        <w:footnoteRef/>
      </w:r>
      <w:r w:rsidRPr="003D1B9F">
        <w:rPr>
          <w:rFonts w:ascii="Times New Roman" w:hAnsi="Times New Roman"/>
          <w:sz w:val="24"/>
          <w:szCs w:val="24"/>
          <w:vertAlign w:val="superscript"/>
        </w:rPr>
        <w:t xml:space="preserve"> </w:t>
      </w:r>
      <w:r w:rsidRPr="003D1B9F">
        <w:rPr>
          <w:rFonts w:ascii="Times New Roman" w:hAnsi="Times New Roman"/>
          <w:sz w:val="24"/>
          <w:szCs w:val="24"/>
        </w:rPr>
        <w:tab/>
        <w:t>Deletions are struck through. Additions are underlined.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372"/>
    <w:multiLevelType w:val="hybridMultilevel"/>
    <w:tmpl w:val="DB669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92F8E"/>
    <w:multiLevelType w:val="hybridMultilevel"/>
    <w:tmpl w:val="45A8A9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F6BED"/>
    <w:multiLevelType w:val="hybridMultilevel"/>
    <w:tmpl w:val="B28C3028"/>
    <w:lvl w:ilvl="0" w:tplc="8096A0A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7A75A36"/>
    <w:multiLevelType w:val="hybridMultilevel"/>
    <w:tmpl w:val="9982B05A"/>
    <w:lvl w:ilvl="0" w:tplc="8ED4DF56">
      <w:start w:val="1"/>
      <w:numFmt w:val="decimal"/>
      <w:lvlText w:val="(%1)"/>
      <w:lvlJc w:val="left"/>
      <w:pPr>
        <w:ind w:left="1110" w:hanging="39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202A28"/>
    <w:multiLevelType w:val="hybridMultilevel"/>
    <w:tmpl w:val="371807FC"/>
    <w:lvl w:ilvl="0" w:tplc="B1C2F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62999"/>
    <w:multiLevelType w:val="hybridMultilevel"/>
    <w:tmpl w:val="D4FA25BA"/>
    <w:lvl w:ilvl="0" w:tplc="82100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525032"/>
    <w:multiLevelType w:val="hybridMultilevel"/>
    <w:tmpl w:val="A0DA3EAC"/>
    <w:lvl w:ilvl="0" w:tplc="506823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435B27"/>
    <w:multiLevelType w:val="hybridMultilevel"/>
    <w:tmpl w:val="85F6CFE4"/>
    <w:lvl w:ilvl="0" w:tplc="FCE6CE8C">
      <w:start w:val="1"/>
      <w:numFmt w:val="lowerLetter"/>
      <w:lvlText w:val="(%1)"/>
      <w:lvlJc w:val="left"/>
      <w:pPr>
        <w:ind w:left="1545" w:hanging="375"/>
      </w:pPr>
      <w:rPr>
        <w:rFonts w:hint="default"/>
        <w:strik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BF21288"/>
    <w:multiLevelType w:val="hybridMultilevel"/>
    <w:tmpl w:val="2FE606B8"/>
    <w:lvl w:ilvl="0" w:tplc="1C0AED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2045A0"/>
    <w:multiLevelType w:val="hybridMultilevel"/>
    <w:tmpl w:val="E1AE6234"/>
    <w:lvl w:ilvl="0" w:tplc="492C98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0984078">
    <w:abstractNumId w:val="7"/>
  </w:num>
  <w:num w:numId="2" w16cid:durableId="380787104">
    <w:abstractNumId w:val="4"/>
  </w:num>
  <w:num w:numId="3" w16cid:durableId="1851991653">
    <w:abstractNumId w:val="8"/>
  </w:num>
  <w:num w:numId="4" w16cid:durableId="1230463329">
    <w:abstractNumId w:val="10"/>
  </w:num>
  <w:num w:numId="5" w16cid:durableId="1267038487">
    <w:abstractNumId w:val="6"/>
  </w:num>
  <w:num w:numId="6" w16cid:durableId="483011359">
    <w:abstractNumId w:val="1"/>
  </w:num>
  <w:num w:numId="7" w16cid:durableId="568080817">
    <w:abstractNumId w:val="0"/>
  </w:num>
  <w:num w:numId="8" w16cid:durableId="1025448316">
    <w:abstractNumId w:val="5"/>
  </w:num>
  <w:num w:numId="9" w16cid:durableId="2023897922">
    <w:abstractNumId w:val="11"/>
  </w:num>
  <w:num w:numId="10" w16cid:durableId="257518063">
    <w:abstractNumId w:val="3"/>
  </w:num>
  <w:num w:numId="11" w16cid:durableId="1992367236">
    <w:abstractNumId w:val="9"/>
  </w:num>
  <w:num w:numId="12" w16cid:durableId="1841654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0027E3"/>
    <w:rsid w:val="00005842"/>
    <w:rsid w:val="000074FB"/>
    <w:rsid w:val="00010626"/>
    <w:rsid w:val="000157E5"/>
    <w:rsid w:val="00030116"/>
    <w:rsid w:val="00034787"/>
    <w:rsid w:val="00035EAA"/>
    <w:rsid w:val="0004452F"/>
    <w:rsid w:val="00047905"/>
    <w:rsid w:val="00050F69"/>
    <w:rsid w:val="000518A8"/>
    <w:rsid w:val="000539CC"/>
    <w:rsid w:val="00060190"/>
    <w:rsid w:val="00071191"/>
    <w:rsid w:val="000715CB"/>
    <w:rsid w:val="00075C9A"/>
    <w:rsid w:val="0008380E"/>
    <w:rsid w:val="000A14C5"/>
    <w:rsid w:val="000A48C2"/>
    <w:rsid w:val="000A51DB"/>
    <w:rsid w:val="000B7459"/>
    <w:rsid w:val="000C04C0"/>
    <w:rsid w:val="000C2D0C"/>
    <w:rsid w:val="000C3E90"/>
    <w:rsid w:val="000D1207"/>
    <w:rsid w:val="000D2F8D"/>
    <w:rsid w:val="000E337B"/>
    <w:rsid w:val="000E4C36"/>
    <w:rsid w:val="000E72F6"/>
    <w:rsid w:val="000F0110"/>
    <w:rsid w:val="000F04D3"/>
    <w:rsid w:val="000F1250"/>
    <w:rsid w:val="000F2B14"/>
    <w:rsid w:val="000F444D"/>
    <w:rsid w:val="000F5802"/>
    <w:rsid w:val="00101B41"/>
    <w:rsid w:val="00103C24"/>
    <w:rsid w:val="001043BB"/>
    <w:rsid w:val="00104C9D"/>
    <w:rsid w:val="00107A6E"/>
    <w:rsid w:val="00124719"/>
    <w:rsid w:val="001249CF"/>
    <w:rsid w:val="00135977"/>
    <w:rsid w:val="00137150"/>
    <w:rsid w:val="001410CD"/>
    <w:rsid w:val="00143B39"/>
    <w:rsid w:val="00143F7D"/>
    <w:rsid w:val="0014681D"/>
    <w:rsid w:val="001577CF"/>
    <w:rsid w:val="00160B72"/>
    <w:rsid w:val="00164B6D"/>
    <w:rsid w:val="00176D4A"/>
    <w:rsid w:val="001822A5"/>
    <w:rsid w:val="001A3EB9"/>
    <w:rsid w:val="001A4196"/>
    <w:rsid w:val="001A5AA8"/>
    <w:rsid w:val="001A6A4C"/>
    <w:rsid w:val="001B21C5"/>
    <w:rsid w:val="001B2E71"/>
    <w:rsid w:val="001C0244"/>
    <w:rsid w:val="001E2477"/>
    <w:rsid w:val="001E3CEE"/>
    <w:rsid w:val="001F036F"/>
    <w:rsid w:val="001F3EC1"/>
    <w:rsid w:val="001F5A1D"/>
    <w:rsid w:val="001F5A77"/>
    <w:rsid w:val="00201B47"/>
    <w:rsid w:val="00214A1B"/>
    <w:rsid w:val="00214C75"/>
    <w:rsid w:val="00216299"/>
    <w:rsid w:val="00233D78"/>
    <w:rsid w:val="002637D5"/>
    <w:rsid w:val="00275820"/>
    <w:rsid w:val="002759DC"/>
    <w:rsid w:val="00281310"/>
    <w:rsid w:val="00282246"/>
    <w:rsid w:val="0028229F"/>
    <w:rsid w:val="00282FB2"/>
    <w:rsid w:val="00287E36"/>
    <w:rsid w:val="002941F7"/>
    <w:rsid w:val="00295CAA"/>
    <w:rsid w:val="002970E6"/>
    <w:rsid w:val="002A1EE1"/>
    <w:rsid w:val="002A26A2"/>
    <w:rsid w:val="002A7522"/>
    <w:rsid w:val="002B0F0E"/>
    <w:rsid w:val="002B1FFF"/>
    <w:rsid w:val="002C02A9"/>
    <w:rsid w:val="002C03E5"/>
    <w:rsid w:val="002C1A56"/>
    <w:rsid w:val="002C359E"/>
    <w:rsid w:val="002E2137"/>
    <w:rsid w:val="002F580C"/>
    <w:rsid w:val="002F5C8A"/>
    <w:rsid w:val="00302BC8"/>
    <w:rsid w:val="0031043B"/>
    <w:rsid w:val="00323820"/>
    <w:rsid w:val="00325D0C"/>
    <w:rsid w:val="00332BCA"/>
    <w:rsid w:val="0033797B"/>
    <w:rsid w:val="003460AF"/>
    <w:rsid w:val="00353959"/>
    <w:rsid w:val="003604BF"/>
    <w:rsid w:val="0036260A"/>
    <w:rsid w:val="0037391E"/>
    <w:rsid w:val="00380D59"/>
    <w:rsid w:val="003858E2"/>
    <w:rsid w:val="00386E81"/>
    <w:rsid w:val="0038754C"/>
    <w:rsid w:val="00390088"/>
    <w:rsid w:val="00390877"/>
    <w:rsid w:val="00391996"/>
    <w:rsid w:val="003931B0"/>
    <w:rsid w:val="003931F0"/>
    <w:rsid w:val="003A0BE8"/>
    <w:rsid w:val="003B0154"/>
    <w:rsid w:val="003B26B1"/>
    <w:rsid w:val="003B42A6"/>
    <w:rsid w:val="003B5791"/>
    <w:rsid w:val="003C72E0"/>
    <w:rsid w:val="003D1B9F"/>
    <w:rsid w:val="003D666F"/>
    <w:rsid w:val="003D6C46"/>
    <w:rsid w:val="003E0AD1"/>
    <w:rsid w:val="003F0599"/>
    <w:rsid w:val="00414D33"/>
    <w:rsid w:val="0042593D"/>
    <w:rsid w:val="004305BF"/>
    <w:rsid w:val="00430989"/>
    <w:rsid w:val="00431AAF"/>
    <w:rsid w:val="0043430C"/>
    <w:rsid w:val="0044078C"/>
    <w:rsid w:val="00443C41"/>
    <w:rsid w:val="00447869"/>
    <w:rsid w:val="00452658"/>
    <w:rsid w:val="00454340"/>
    <w:rsid w:val="00454F53"/>
    <w:rsid w:val="0045649D"/>
    <w:rsid w:val="0046243C"/>
    <w:rsid w:val="00462BE5"/>
    <w:rsid w:val="00464755"/>
    <w:rsid w:val="004845EC"/>
    <w:rsid w:val="0049349A"/>
    <w:rsid w:val="004A5356"/>
    <w:rsid w:val="004A6514"/>
    <w:rsid w:val="004A70A6"/>
    <w:rsid w:val="004B5536"/>
    <w:rsid w:val="004C0EEE"/>
    <w:rsid w:val="004C366A"/>
    <w:rsid w:val="004D31D2"/>
    <w:rsid w:val="004E06E6"/>
    <w:rsid w:val="004E5F1C"/>
    <w:rsid w:val="004E6757"/>
    <w:rsid w:val="004F0536"/>
    <w:rsid w:val="004F12F1"/>
    <w:rsid w:val="004F2DD2"/>
    <w:rsid w:val="004F3092"/>
    <w:rsid w:val="004F5027"/>
    <w:rsid w:val="004F5807"/>
    <w:rsid w:val="005022AD"/>
    <w:rsid w:val="005145F5"/>
    <w:rsid w:val="0051481D"/>
    <w:rsid w:val="00515C1C"/>
    <w:rsid w:val="00515F62"/>
    <w:rsid w:val="00517872"/>
    <w:rsid w:val="0052081B"/>
    <w:rsid w:val="00520C08"/>
    <w:rsid w:val="00532161"/>
    <w:rsid w:val="005321E4"/>
    <w:rsid w:val="00532D6D"/>
    <w:rsid w:val="0054165A"/>
    <w:rsid w:val="005462C0"/>
    <w:rsid w:val="00554EB6"/>
    <w:rsid w:val="005565AB"/>
    <w:rsid w:val="00557215"/>
    <w:rsid w:val="00562975"/>
    <w:rsid w:val="00564A9C"/>
    <w:rsid w:val="0056562E"/>
    <w:rsid w:val="0057070A"/>
    <w:rsid w:val="00571625"/>
    <w:rsid w:val="0057607D"/>
    <w:rsid w:val="00577E3C"/>
    <w:rsid w:val="005807D6"/>
    <w:rsid w:val="00580B0E"/>
    <w:rsid w:val="005903E8"/>
    <w:rsid w:val="00597D77"/>
    <w:rsid w:val="005A5FBC"/>
    <w:rsid w:val="005A7F63"/>
    <w:rsid w:val="005B2963"/>
    <w:rsid w:val="005C56C6"/>
    <w:rsid w:val="005D08F7"/>
    <w:rsid w:val="005E0683"/>
    <w:rsid w:val="005E65F4"/>
    <w:rsid w:val="005F72B6"/>
    <w:rsid w:val="005F7C38"/>
    <w:rsid w:val="00604489"/>
    <w:rsid w:val="006131B0"/>
    <w:rsid w:val="00616FB1"/>
    <w:rsid w:val="00631EE7"/>
    <w:rsid w:val="006366ED"/>
    <w:rsid w:val="00641756"/>
    <w:rsid w:val="00642091"/>
    <w:rsid w:val="006449A1"/>
    <w:rsid w:val="00666D2A"/>
    <w:rsid w:val="00673637"/>
    <w:rsid w:val="006779EE"/>
    <w:rsid w:val="00682693"/>
    <w:rsid w:val="006A0170"/>
    <w:rsid w:val="006A387F"/>
    <w:rsid w:val="006B75E0"/>
    <w:rsid w:val="006C16B4"/>
    <w:rsid w:val="006D01B5"/>
    <w:rsid w:val="006D088D"/>
    <w:rsid w:val="006D0FAF"/>
    <w:rsid w:val="006D28B8"/>
    <w:rsid w:val="006D3C2E"/>
    <w:rsid w:val="006D7773"/>
    <w:rsid w:val="006E1621"/>
    <w:rsid w:val="006E5FDB"/>
    <w:rsid w:val="006F0251"/>
    <w:rsid w:val="006F4712"/>
    <w:rsid w:val="0070119F"/>
    <w:rsid w:val="007147A3"/>
    <w:rsid w:val="00716F34"/>
    <w:rsid w:val="00736ABD"/>
    <w:rsid w:val="00737F0D"/>
    <w:rsid w:val="00740245"/>
    <w:rsid w:val="00740801"/>
    <w:rsid w:val="00741B52"/>
    <w:rsid w:val="0074264A"/>
    <w:rsid w:val="00742CE3"/>
    <w:rsid w:val="0074647F"/>
    <w:rsid w:val="00747041"/>
    <w:rsid w:val="0075072A"/>
    <w:rsid w:val="00750ACC"/>
    <w:rsid w:val="007553FD"/>
    <w:rsid w:val="00757DED"/>
    <w:rsid w:val="00761AB1"/>
    <w:rsid w:val="00773DB2"/>
    <w:rsid w:val="007801AF"/>
    <w:rsid w:val="00786008"/>
    <w:rsid w:val="00790D92"/>
    <w:rsid w:val="0079141B"/>
    <w:rsid w:val="00791942"/>
    <w:rsid w:val="0079380C"/>
    <w:rsid w:val="007A04EC"/>
    <w:rsid w:val="007B12F8"/>
    <w:rsid w:val="007B7F32"/>
    <w:rsid w:val="007C1ED2"/>
    <w:rsid w:val="007C214A"/>
    <w:rsid w:val="007D3043"/>
    <w:rsid w:val="007D7507"/>
    <w:rsid w:val="007E4FF2"/>
    <w:rsid w:val="007E57F6"/>
    <w:rsid w:val="0081232F"/>
    <w:rsid w:val="00814BD5"/>
    <w:rsid w:val="0081748B"/>
    <w:rsid w:val="0082004C"/>
    <w:rsid w:val="008348D2"/>
    <w:rsid w:val="00834DE7"/>
    <w:rsid w:val="00835CAE"/>
    <w:rsid w:val="00835E25"/>
    <w:rsid w:val="00840C78"/>
    <w:rsid w:val="00846B72"/>
    <w:rsid w:val="0085184A"/>
    <w:rsid w:val="00853C2A"/>
    <w:rsid w:val="008558E3"/>
    <w:rsid w:val="0086624F"/>
    <w:rsid w:val="00866A46"/>
    <w:rsid w:val="00872B99"/>
    <w:rsid w:val="00880DA8"/>
    <w:rsid w:val="0088166F"/>
    <w:rsid w:val="00894494"/>
    <w:rsid w:val="00895A52"/>
    <w:rsid w:val="00897E82"/>
    <w:rsid w:val="00897E9B"/>
    <w:rsid w:val="008A3FD5"/>
    <w:rsid w:val="008B1FE2"/>
    <w:rsid w:val="008B373E"/>
    <w:rsid w:val="008C48C1"/>
    <w:rsid w:val="008C551F"/>
    <w:rsid w:val="008C5C0F"/>
    <w:rsid w:val="008C6903"/>
    <w:rsid w:val="008C6960"/>
    <w:rsid w:val="008C6A0F"/>
    <w:rsid w:val="008D04AD"/>
    <w:rsid w:val="008D15D8"/>
    <w:rsid w:val="008D29FF"/>
    <w:rsid w:val="008D6C96"/>
    <w:rsid w:val="008E1D9E"/>
    <w:rsid w:val="008E49FC"/>
    <w:rsid w:val="008E649F"/>
    <w:rsid w:val="008E6633"/>
    <w:rsid w:val="008F0CFE"/>
    <w:rsid w:val="008F1268"/>
    <w:rsid w:val="008F4550"/>
    <w:rsid w:val="008F48ED"/>
    <w:rsid w:val="008F60BF"/>
    <w:rsid w:val="008F7420"/>
    <w:rsid w:val="0090047E"/>
    <w:rsid w:val="0091418E"/>
    <w:rsid w:val="00916A09"/>
    <w:rsid w:val="00917EB1"/>
    <w:rsid w:val="00926A5A"/>
    <w:rsid w:val="009361BD"/>
    <w:rsid w:val="00937C9C"/>
    <w:rsid w:val="00942217"/>
    <w:rsid w:val="00943CA0"/>
    <w:rsid w:val="009442C4"/>
    <w:rsid w:val="00945A39"/>
    <w:rsid w:val="009574C6"/>
    <w:rsid w:val="00965BAC"/>
    <w:rsid w:val="00967871"/>
    <w:rsid w:val="00985873"/>
    <w:rsid w:val="00986215"/>
    <w:rsid w:val="0099431E"/>
    <w:rsid w:val="00996798"/>
    <w:rsid w:val="009A0CD2"/>
    <w:rsid w:val="009A452B"/>
    <w:rsid w:val="009C31A1"/>
    <w:rsid w:val="009C661D"/>
    <w:rsid w:val="009D3560"/>
    <w:rsid w:val="009D447D"/>
    <w:rsid w:val="009F4223"/>
    <w:rsid w:val="00A0011D"/>
    <w:rsid w:val="00A00E0C"/>
    <w:rsid w:val="00A03872"/>
    <w:rsid w:val="00A05E0C"/>
    <w:rsid w:val="00A06448"/>
    <w:rsid w:val="00A2020B"/>
    <w:rsid w:val="00A23176"/>
    <w:rsid w:val="00A251A1"/>
    <w:rsid w:val="00A30959"/>
    <w:rsid w:val="00A30E6D"/>
    <w:rsid w:val="00A34458"/>
    <w:rsid w:val="00A53F33"/>
    <w:rsid w:val="00A55B85"/>
    <w:rsid w:val="00A55EAA"/>
    <w:rsid w:val="00A56A18"/>
    <w:rsid w:val="00A65978"/>
    <w:rsid w:val="00A67E7C"/>
    <w:rsid w:val="00A7122F"/>
    <w:rsid w:val="00A73B25"/>
    <w:rsid w:val="00A73CC5"/>
    <w:rsid w:val="00A76EAD"/>
    <w:rsid w:val="00A8510F"/>
    <w:rsid w:val="00AA0BF6"/>
    <w:rsid w:val="00AA0C80"/>
    <w:rsid w:val="00AB09DD"/>
    <w:rsid w:val="00AB6C45"/>
    <w:rsid w:val="00AC1ECB"/>
    <w:rsid w:val="00AC49FA"/>
    <w:rsid w:val="00AD44CE"/>
    <w:rsid w:val="00AD67B1"/>
    <w:rsid w:val="00AE2694"/>
    <w:rsid w:val="00AE2B52"/>
    <w:rsid w:val="00AE4FCF"/>
    <w:rsid w:val="00AE72D9"/>
    <w:rsid w:val="00AF2028"/>
    <w:rsid w:val="00AF2321"/>
    <w:rsid w:val="00B0096C"/>
    <w:rsid w:val="00B05077"/>
    <w:rsid w:val="00B353A2"/>
    <w:rsid w:val="00B36155"/>
    <w:rsid w:val="00B36AB1"/>
    <w:rsid w:val="00B442C0"/>
    <w:rsid w:val="00B50F08"/>
    <w:rsid w:val="00B62081"/>
    <w:rsid w:val="00B62A8D"/>
    <w:rsid w:val="00B66DAE"/>
    <w:rsid w:val="00B7254A"/>
    <w:rsid w:val="00B852C2"/>
    <w:rsid w:val="00B87BCC"/>
    <w:rsid w:val="00BA7B27"/>
    <w:rsid w:val="00BB427A"/>
    <w:rsid w:val="00BB5117"/>
    <w:rsid w:val="00BB5FAB"/>
    <w:rsid w:val="00BB66D6"/>
    <w:rsid w:val="00BB6F65"/>
    <w:rsid w:val="00BC35DA"/>
    <w:rsid w:val="00BC3B34"/>
    <w:rsid w:val="00BC72DF"/>
    <w:rsid w:val="00BC7DC5"/>
    <w:rsid w:val="00BD395E"/>
    <w:rsid w:val="00BD506B"/>
    <w:rsid w:val="00BD5CC8"/>
    <w:rsid w:val="00BE18DD"/>
    <w:rsid w:val="00BE6519"/>
    <w:rsid w:val="00BF290F"/>
    <w:rsid w:val="00BF613F"/>
    <w:rsid w:val="00C00CF6"/>
    <w:rsid w:val="00C01CD0"/>
    <w:rsid w:val="00C12E27"/>
    <w:rsid w:val="00C132DD"/>
    <w:rsid w:val="00C216CA"/>
    <w:rsid w:val="00C30801"/>
    <w:rsid w:val="00C37440"/>
    <w:rsid w:val="00C53C99"/>
    <w:rsid w:val="00C543F7"/>
    <w:rsid w:val="00C5643D"/>
    <w:rsid w:val="00C57421"/>
    <w:rsid w:val="00C604D5"/>
    <w:rsid w:val="00C60E8A"/>
    <w:rsid w:val="00C610CF"/>
    <w:rsid w:val="00C61B09"/>
    <w:rsid w:val="00C64DAC"/>
    <w:rsid w:val="00C73639"/>
    <w:rsid w:val="00C75775"/>
    <w:rsid w:val="00C76A06"/>
    <w:rsid w:val="00C93188"/>
    <w:rsid w:val="00CA4C51"/>
    <w:rsid w:val="00CB2285"/>
    <w:rsid w:val="00CB3A61"/>
    <w:rsid w:val="00CB5401"/>
    <w:rsid w:val="00CB6E1E"/>
    <w:rsid w:val="00CC36D4"/>
    <w:rsid w:val="00CD0B1E"/>
    <w:rsid w:val="00CE0FF5"/>
    <w:rsid w:val="00CE3100"/>
    <w:rsid w:val="00CF3319"/>
    <w:rsid w:val="00CF3D46"/>
    <w:rsid w:val="00CF7202"/>
    <w:rsid w:val="00D00614"/>
    <w:rsid w:val="00D01ADE"/>
    <w:rsid w:val="00D10B37"/>
    <w:rsid w:val="00D20086"/>
    <w:rsid w:val="00D40AB5"/>
    <w:rsid w:val="00D443DA"/>
    <w:rsid w:val="00D477B5"/>
    <w:rsid w:val="00D52111"/>
    <w:rsid w:val="00D54BD5"/>
    <w:rsid w:val="00D66713"/>
    <w:rsid w:val="00D703FC"/>
    <w:rsid w:val="00D72B91"/>
    <w:rsid w:val="00D80003"/>
    <w:rsid w:val="00D820CB"/>
    <w:rsid w:val="00D82BC9"/>
    <w:rsid w:val="00D87C95"/>
    <w:rsid w:val="00D90FBD"/>
    <w:rsid w:val="00D91805"/>
    <w:rsid w:val="00D95F2B"/>
    <w:rsid w:val="00DA1A6B"/>
    <w:rsid w:val="00DA3E13"/>
    <w:rsid w:val="00DA4103"/>
    <w:rsid w:val="00DC2839"/>
    <w:rsid w:val="00DD24AC"/>
    <w:rsid w:val="00DE1F08"/>
    <w:rsid w:val="00DE2065"/>
    <w:rsid w:val="00DE25CB"/>
    <w:rsid w:val="00DE2E9A"/>
    <w:rsid w:val="00DE4657"/>
    <w:rsid w:val="00E07879"/>
    <w:rsid w:val="00E113E5"/>
    <w:rsid w:val="00E123FC"/>
    <w:rsid w:val="00E154DF"/>
    <w:rsid w:val="00E2015A"/>
    <w:rsid w:val="00E25729"/>
    <w:rsid w:val="00E310DA"/>
    <w:rsid w:val="00E3290E"/>
    <w:rsid w:val="00E34291"/>
    <w:rsid w:val="00E42068"/>
    <w:rsid w:val="00E460C8"/>
    <w:rsid w:val="00E46455"/>
    <w:rsid w:val="00E52043"/>
    <w:rsid w:val="00E52AB6"/>
    <w:rsid w:val="00E53CA6"/>
    <w:rsid w:val="00E57AF1"/>
    <w:rsid w:val="00E607C0"/>
    <w:rsid w:val="00E632CA"/>
    <w:rsid w:val="00E67FD9"/>
    <w:rsid w:val="00E70453"/>
    <w:rsid w:val="00E7705E"/>
    <w:rsid w:val="00E9355F"/>
    <w:rsid w:val="00EA2254"/>
    <w:rsid w:val="00EA7FA7"/>
    <w:rsid w:val="00EB5920"/>
    <w:rsid w:val="00EB6C09"/>
    <w:rsid w:val="00ED15F5"/>
    <w:rsid w:val="00EE0A29"/>
    <w:rsid w:val="00EF2DCB"/>
    <w:rsid w:val="00F03A2B"/>
    <w:rsid w:val="00F05E54"/>
    <w:rsid w:val="00F10A91"/>
    <w:rsid w:val="00F24F0F"/>
    <w:rsid w:val="00F31098"/>
    <w:rsid w:val="00F3548C"/>
    <w:rsid w:val="00F42103"/>
    <w:rsid w:val="00F44438"/>
    <w:rsid w:val="00F477C0"/>
    <w:rsid w:val="00F57A90"/>
    <w:rsid w:val="00F6073B"/>
    <w:rsid w:val="00F64312"/>
    <w:rsid w:val="00F65BB3"/>
    <w:rsid w:val="00F66B99"/>
    <w:rsid w:val="00F72CA6"/>
    <w:rsid w:val="00F81DDE"/>
    <w:rsid w:val="00F82574"/>
    <w:rsid w:val="00F82AEF"/>
    <w:rsid w:val="00F8396E"/>
    <w:rsid w:val="00FA2B20"/>
    <w:rsid w:val="00FB6F8F"/>
    <w:rsid w:val="00FB740A"/>
    <w:rsid w:val="00FC123D"/>
    <w:rsid w:val="00FC4954"/>
    <w:rsid w:val="00FD2090"/>
    <w:rsid w:val="00FD22A8"/>
    <w:rsid w:val="00FD4BB4"/>
    <w:rsid w:val="00FF3775"/>
    <w:rsid w:val="00FF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3BA6"/>
  <w15:chartTrackingRefBased/>
  <w15:docId w15:val="{A25CBAAA-BEBE-4D84-BB26-ADF432C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 w:type="paragraph" w:styleId="FootnoteText">
    <w:name w:val="footnote text"/>
    <w:basedOn w:val="Normal"/>
    <w:link w:val="FootnoteTextChar"/>
    <w:uiPriority w:val="99"/>
    <w:semiHidden/>
    <w:unhideWhenUsed/>
    <w:rsid w:val="00996798"/>
    <w:rPr>
      <w:sz w:val="20"/>
    </w:rPr>
  </w:style>
  <w:style w:type="character" w:customStyle="1" w:styleId="FootnoteTextChar">
    <w:name w:val="Footnote Text Char"/>
    <w:basedOn w:val="DefaultParagraphFont"/>
    <w:link w:val="FootnoteText"/>
    <w:uiPriority w:val="99"/>
    <w:semiHidden/>
    <w:rsid w:val="00996798"/>
    <w:rPr>
      <w:rFonts w:ascii="Courier" w:eastAsia="Times New Roman" w:hAnsi="Courier" w:cs="Times New Roman"/>
      <w:snapToGrid w:val="0"/>
      <w:sz w:val="20"/>
      <w:szCs w:val="20"/>
    </w:rPr>
  </w:style>
  <w:style w:type="paragraph" w:customStyle="1" w:styleId="Default">
    <w:name w:val="Default"/>
    <w:rsid w:val="00B353A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D5"/>
    <w:pPr>
      <w:tabs>
        <w:tab w:val="center" w:pos="4680"/>
        <w:tab w:val="right" w:pos="9360"/>
      </w:tabs>
    </w:pPr>
  </w:style>
  <w:style w:type="character" w:customStyle="1" w:styleId="HeaderChar">
    <w:name w:val="Header Char"/>
    <w:basedOn w:val="DefaultParagraphFont"/>
    <w:link w:val="Header"/>
    <w:uiPriority w:val="99"/>
    <w:rsid w:val="00C604D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C604D5"/>
    <w:pPr>
      <w:tabs>
        <w:tab w:val="center" w:pos="4680"/>
        <w:tab w:val="right" w:pos="9360"/>
      </w:tabs>
    </w:pPr>
  </w:style>
  <w:style w:type="character" w:customStyle="1" w:styleId="FooterChar">
    <w:name w:val="Footer Char"/>
    <w:basedOn w:val="DefaultParagraphFont"/>
    <w:link w:val="Footer"/>
    <w:uiPriority w:val="99"/>
    <w:rsid w:val="00C604D5"/>
    <w:rPr>
      <w:rFonts w:ascii="Courier" w:eastAsia="Times New Roman" w:hAnsi="Courier" w:cs="Times New Roman"/>
      <w:snapToGrid w:val="0"/>
      <w:sz w:val="24"/>
      <w:szCs w:val="20"/>
    </w:rPr>
  </w:style>
  <w:style w:type="paragraph" w:styleId="Revision">
    <w:name w:val="Revision"/>
    <w:hidden/>
    <w:uiPriority w:val="99"/>
    <w:semiHidden/>
    <w:rsid w:val="00937C9C"/>
    <w:pPr>
      <w:spacing w:after="0" w:line="240" w:lineRule="auto"/>
    </w:pPr>
    <w:rPr>
      <w:rFonts w:ascii="Courier" w:eastAsia="Times New Roman" w:hAnsi="Courier" w:cs="Times New Roman"/>
      <w:snapToGrid w:val="0"/>
      <w:sz w:val="24"/>
      <w:szCs w:val="20"/>
    </w:rPr>
  </w:style>
  <w:style w:type="character" w:styleId="CommentReference">
    <w:name w:val="annotation reference"/>
    <w:basedOn w:val="DefaultParagraphFont"/>
    <w:uiPriority w:val="99"/>
    <w:semiHidden/>
    <w:unhideWhenUsed/>
    <w:rsid w:val="00897E9B"/>
    <w:rPr>
      <w:sz w:val="16"/>
      <w:szCs w:val="16"/>
    </w:rPr>
  </w:style>
  <w:style w:type="paragraph" w:styleId="CommentText">
    <w:name w:val="annotation text"/>
    <w:basedOn w:val="Normal"/>
    <w:link w:val="CommentTextChar"/>
    <w:uiPriority w:val="99"/>
    <w:semiHidden/>
    <w:unhideWhenUsed/>
    <w:rsid w:val="00897E9B"/>
    <w:rPr>
      <w:sz w:val="20"/>
    </w:rPr>
  </w:style>
  <w:style w:type="character" w:customStyle="1" w:styleId="CommentTextChar">
    <w:name w:val="Comment Text Char"/>
    <w:basedOn w:val="DefaultParagraphFont"/>
    <w:link w:val="CommentText"/>
    <w:uiPriority w:val="99"/>
    <w:semiHidden/>
    <w:rsid w:val="00897E9B"/>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97E9B"/>
    <w:rPr>
      <w:b/>
      <w:bCs/>
    </w:rPr>
  </w:style>
  <w:style w:type="character" w:customStyle="1" w:styleId="CommentSubjectChar">
    <w:name w:val="Comment Subject Char"/>
    <w:basedOn w:val="CommentTextChar"/>
    <w:link w:val="CommentSubject"/>
    <w:uiPriority w:val="99"/>
    <w:semiHidden/>
    <w:rsid w:val="00897E9B"/>
    <w:rPr>
      <w:rFonts w:ascii="Courier" w:eastAsia="Times New Roman" w:hAnsi="Courier"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ncourts.gov/mncourtsgov/media/Judicial_Council_Library/Policies/500/507-Potentially-Hazardous-Exhibit-Policy.pdf?ext=.pdf" TargetMode="External"/><Relationship Id="rId2" Type="http://schemas.openxmlformats.org/officeDocument/2006/relationships/hyperlink" Target="https://www.vacourts.gov/courts/scv/amendments/rule_2_107.pdf" TargetMode="External"/><Relationship Id="rId1" Type="http://schemas.openxmlformats.org/officeDocument/2006/relationships/hyperlink" Target="https://www.courts.oregon.gov/rules/UTCR/2022_UTCR_ch6.pdf" TargetMode="External"/><Relationship Id="rId4" Type="http://schemas.openxmlformats.org/officeDocument/2006/relationships/hyperlink" Target="https://ehs.princeton.edu/news/know-your-hazard-symbols-pict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AA4AC-6CA6-4A2F-89ED-49F1C405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2</cp:revision>
  <cp:lastPrinted>2023-03-24T20:36:00Z</cp:lastPrinted>
  <dcterms:created xsi:type="dcterms:W3CDTF">2023-04-30T02:25:00Z</dcterms:created>
  <dcterms:modified xsi:type="dcterms:W3CDTF">2023-04-30T02:25:00Z</dcterms:modified>
</cp:coreProperties>
</file>