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898E" w14:textId="4FC50CE4" w:rsidR="00103C77" w:rsidRDefault="00103C77" w:rsidP="00103C77">
      <w:pPr>
        <w:spacing w:after="0"/>
        <w:rPr>
          <w:rFonts w:ascii="Times New Roman" w:hAnsi="Times New Roman" w:cs="Times New Roman"/>
          <w:sz w:val="28"/>
          <w:szCs w:val="28"/>
        </w:rPr>
      </w:pPr>
      <w:r>
        <w:rPr>
          <w:rFonts w:ascii="Times New Roman" w:hAnsi="Times New Roman" w:cs="Times New Roman"/>
          <w:sz w:val="28"/>
          <w:szCs w:val="28"/>
        </w:rPr>
        <w:t xml:space="preserve">William P. Ring </w:t>
      </w:r>
    </w:p>
    <w:p w14:paraId="558C6995" w14:textId="22413218" w:rsidR="00103C77" w:rsidRDefault="00103C77" w:rsidP="00103C77">
      <w:pPr>
        <w:spacing w:after="0"/>
        <w:rPr>
          <w:rFonts w:ascii="Times New Roman" w:hAnsi="Times New Roman" w:cs="Times New Roman"/>
          <w:sz w:val="28"/>
          <w:szCs w:val="28"/>
        </w:rPr>
      </w:pPr>
      <w:r>
        <w:rPr>
          <w:rFonts w:ascii="Times New Roman" w:hAnsi="Times New Roman" w:cs="Times New Roman"/>
          <w:sz w:val="28"/>
          <w:szCs w:val="28"/>
        </w:rPr>
        <w:t>State Bar No. 012860</w:t>
      </w:r>
    </w:p>
    <w:p w14:paraId="3A2B7B37" w14:textId="2995B2C4" w:rsidR="00103C77" w:rsidRDefault="00103C77" w:rsidP="00103C77">
      <w:pPr>
        <w:spacing w:after="0"/>
        <w:rPr>
          <w:rFonts w:ascii="Times New Roman" w:hAnsi="Times New Roman" w:cs="Times New Roman"/>
          <w:sz w:val="28"/>
          <w:szCs w:val="28"/>
        </w:rPr>
      </w:pPr>
      <w:r>
        <w:rPr>
          <w:rFonts w:ascii="Times New Roman" w:hAnsi="Times New Roman" w:cs="Times New Roman"/>
          <w:sz w:val="28"/>
          <w:szCs w:val="28"/>
        </w:rPr>
        <w:t>Elizabeth Burto</w:t>
      </w:r>
      <w:r w:rsidR="00AB07D0">
        <w:rPr>
          <w:rFonts w:ascii="Times New Roman" w:hAnsi="Times New Roman" w:cs="Times New Roman"/>
          <w:sz w:val="28"/>
          <w:szCs w:val="28"/>
        </w:rPr>
        <w:t xml:space="preserve">n </w:t>
      </w:r>
      <w:r>
        <w:rPr>
          <w:rFonts w:ascii="Times New Roman" w:hAnsi="Times New Roman" w:cs="Times New Roman"/>
          <w:sz w:val="28"/>
          <w:szCs w:val="28"/>
        </w:rPr>
        <w:t>Ortiz</w:t>
      </w:r>
    </w:p>
    <w:p w14:paraId="3574D0A0" w14:textId="397A2A3D" w:rsidR="00103C77" w:rsidRDefault="00103C77" w:rsidP="00103C77">
      <w:pPr>
        <w:spacing w:after="0"/>
        <w:rPr>
          <w:rFonts w:ascii="Times New Roman" w:hAnsi="Times New Roman" w:cs="Times New Roman"/>
          <w:sz w:val="28"/>
          <w:szCs w:val="28"/>
        </w:rPr>
      </w:pPr>
      <w:r>
        <w:rPr>
          <w:rFonts w:ascii="Times New Roman" w:hAnsi="Times New Roman" w:cs="Times New Roman"/>
          <w:sz w:val="28"/>
          <w:szCs w:val="28"/>
        </w:rPr>
        <w:t xml:space="preserve">State Bar No. </w:t>
      </w:r>
      <w:r w:rsidR="007C6DA7">
        <w:rPr>
          <w:rFonts w:ascii="Times New Roman" w:hAnsi="Times New Roman" w:cs="Times New Roman"/>
          <w:sz w:val="28"/>
          <w:szCs w:val="28"/>
        </w:rPr>
        <w:t>012838</w:t>
      </w:r>
    </w:p>
    <w:p w14:paraId="3A7E34A7" w14:textId="57D62B2A" w:rsidR="00103C77" w:rsidRDefault="00103C77" w:rsidP="00103C77">
      <w:pPr>
        <w:spacing w:after="0"/>
        <w:rPr>
          <w:rFonts w:ascii="Times New Roman" w:hAnsi="Times New Roman" w:cs="Times New Roman"/>
          <w:sz w:val="28"/>
          <w:szCs w:val="28"/>
        </w:rPr>
      </w:pPr>
      <w:r>
        <w:rPr>
          <w:rFonts w:ascii="Times New Roman" w:hAnsi="Times New Roman" w:cs="Times New Roman"/>
          <w:sz w:val="28"/>
          <w:szCs w:val="28"/>
        </w:rPr>
        <w:t>ARIZONA PROSECUTING ATTORNEYS</w:t>
      </w:r>
      <w:r w:rsidR="007C6DA7">
        <w:rPr>
          <w:rFonts w:ascii="Times New Roman" w:hAnsi="Times New Roman" w:cs="Times New Roman"/>
          <w:sz w:val="28"/>
          <w:szCs w:val="28"/>
        </w:rPr>
        <w:t>’</w:t>
      </w:r>
    </w:p>
    <w:p w14:paraId="6AF82D46" w14:textId="263A73ED" w:rsidR="00103C77" w:rsidRDefault="00103C77" w:rsidP="00103C77">
      <w:pPr>
        <w:spacing w:after="0"/>
        <w:rPr>
          <w:rFonts w:ascii="Times New Roman" w:hAnsi="Times New Roman" w:cs="Times New Roman"/>
          <w:sz w:val="28"/>
          <w:szCs w:val="28"/>
        </w:rPr>
      </w:pPr>
      <w:r>
        <w:rPr>
          <w:rFonts w:ascii="Times New Roman" w:hAnsi="Times New Roman" w:cs="Times New Roman"/>
          <w:sz w:val="28"/>
          <w:szCs w:val="28"/>
        </w:rPr>
        <w:t>ADVISORY COUNCIL</w:t>
      </w:r>
    </w:p>
    <w:p w14:paraId="2B7E246A" w14:textId="4DD6A913" w:rsidR="00103C77" w:rsidRDefault="00103C77" w:rsidP="00103C77">
      <w:pPr>
        <w:spacing w:after="0"/>
        <w:rPr>
          <w:rFonts w:ascii="Times New Roman" w:hAnsi="Times New Roman" w:cs="Times New Roman"/>
          <w:sz w:val="28"/>
          <w:szCs w:val="28"/>
        </w:rPr>
      </w:pPr>
      <w:r>
        <w:rPr>
          <w:rFonts w:ascii="Times New Roman" w:hAnsi="Times New Roman" w:cs="Times New Roman"/>
          <w:sz w:val="28"/>
          <w:szCs w:val="28"/>
        </w:rPr>
        <w:t>3838 N. Central Avenue, Suite 850</w:t>
      </w:r>
    </w:p>
    <w:p w14:paraId="2592D36C" w14:textId="2A6CFA8A" w:rsidR="00103C77" w:rsidRDefault="00103C77" w:rsidP="00103C77">
      <w:pPr>
        <w:spacing w:after="0"/>
        <w:rPr>
          <w:rFonts w:ascii="Times New Roman" w:hAnsi="Times New Roman" w:cs="Times New Roman"/>
          <w:sz w:val="28"/>
          <w:szCs w:val="28"/>
        </w:rPr>
      </w:pPr>
      <w:r>
        <w:rPr>
          <w:rFonts w:ascii="Times New Roman" w:hAnsi="Times New Roman" w:cs="Times New Roman"/>
          <w:sz w:val="28"/>
          <w:szCs w:val="28"/>
        </w:rPr>
        <w:t>Phoenix, Arizona 85012</w:t>
      </w:r>
    </w:p>
    <w:p w14:paraId="31D456FA" w14:textId="7C2039D8" w:rsidR="00103C77" w:rsidRDefault="00103C77" w:rsidP="00103C77">
      <w:pPr>
        <w:spacing w:after="0"/>
        <w:rPr>
          <w:rFonts w:ascii="Times New Roman" w:hAnsi="Times New Roman" w:cs="Times New Roman"/>
          <w:sz w:val="28"/>
          <w:szCs w:val="28"/>
        </w:rPr>
      </w:pPr>
      <w:r>
        <w:rPr>
          <w:rFonts w:ascii="Times New Roman" w:hAnsi="Times New Roman" w:cs="Times New Roman"/>
          <w:sz w:val="28"/>
          <w:szCs w:val="28"/>
        </w:rPr>
        <w:t>Tel. (602) 542-7222</w:t>
      </w:r>
    </w:p>
    <w:p w14:paraId="7B5807E7" w14:textId="42624F88" w:rsidR="00103C77" w:rsidRDefault="00103C77" w:rsidP="00103C77">
      <w:pPr>
        <w:spacing w:after="0"/>
        <w:rPr>
          <w:rFonts w:ascii="Times New Roman" w:hAnsi="Times New Roman" w:cs="Times New Roman"/>
          <w:sz w:val="28"/>
          <w:szCs w:val="28"/>
        </w:rPr>
      </w:pPr>
      <w:r>
        <w:rPr>
          <w:rFonts w:ascii="Times New Roman" w:hAnsi="Times New Roman" w:cs="Times New Roman"/>
          <w:sz w:val="28"/>
          <w:szCs w:val="28"/>
        </w:rPr>
        <w:t>Fax. (602) 274-4215</w:t>
      </w:r>
    </w:p>
    <w:p w14:paraId="5091E82D" w14:textId="0884E30A" w:rsidR="00103C77" w:rsidRDefault="00103C77" w:rsidP="00103C77">
      <w:pPr>
        <w:spacing w:after="0"/>
        <w:rPr>
          <w:rFonts w:ascii="Times New Roman" w:hAnsi="Times New Roman" w:cs="Times New Roman"/>
          <w:sz w:val="28"/>
          <w:szCs w:val="28"/>
        </w:rPr>
      </w:pPr>
    </w:p>
    <w:p w14:paraId="6D069E31" w14:textId="0EC1D45A" w:rsidR="00103C77" w:rsidRDefault="00103C77" w:rsidP="00103C77">
      <w:pPr>
        <w:spacing w:after="0"/>
        <w:jc w:val="center"/>
        <w:rPr>
          <w:rFonts w:ascii="Times New Roman" w:hAnsi="Times New Roman" w:cs="Times New Roman"/>
          <w:b/>
          <w:bCs/>
          <w:sz w:val="28"/>
          <w:szCs w:val="28"/>
        </w:rPr>
      </w:pPr>
      <w:r>
        <w:rPr>
          <w:rFonts w:ascii="Times New Roman" w:hAnsi="Times New Roman" w:cs="Times New Roman"/>
          <w:b/>
          <w:bCs/>
          <w:sz w:val="28"/>
          <w:szCs w:val="28"/>
        </w:rPr>
        <w:t>SUPREME COURT OF ARIZONA</w:t>
      </w:r>
    </w:p>
    <w:p w14:paraId="3CFC34D9" w14:textId="32843A26" w:rsidR="00103C77" w:rsidRDefault="00103C77" w:rsidP="00103C77">
      <w:pPr>
        <w:spacing w:after="0"/>
        <w:jc w:val="center"/>
        <w:rPr>
          <w:rFonts w:ascii="Times New Roman" w:hAnsi="Times New Roman" w:cs="Times New Roman"/>
          <w:b/>
          <w:bCs/>
          <w:sz w:val="28"/>
          <w:szCs w:val="28"/>
        </w:rPr>
      </w:pPr>
    </w:p>
    <w:p w14:paraId="15B798DA" w14:textId="55C98197" w:rsidR="00103C77" w:rsidRDefault="00103C77" w:rsidP="00103C77">
      <w:pPr>
        <w:spacing w:after="0"/>
        <w:rPr>
          <w:rFonts w:ascii="Times New Roman" w:hAnsi="Times New Roman" w:cs="Times New Roman"/>
          <w:sz w:val="28"/>
          <w:szCs w:val="28"/>
        </w:rPr>
      </w:pPr>
      <w:r>
        <w:rPr>
          <w:rFonts w:ascii="Times New Roman" w:hAnsi="Times New Roman" w:cs="Times New Roman"/>
          <w:sz w:val="28"/>
          <w:szCs w:val="28"/>
        </w:rPr>
        <w:t>In the matter of: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R-22-0045</w:t>
      </w:r>
    </w:p>
    <w:p w14:paraId="327E4709" w14:textId="6A6F958F" w:rsidR="00103C77" w:rsidRDefault="00103C77" w:rsidP="00103C77">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32957A6" w14:textId="517794F0" w:rsidR="00103C77" w:rsidRDefault="00103C77" w:rsidP="00103C77">
      <w:pPr>
        <w:spacing w:after="0"/>
        <w:rPr>
          <w:rFonts w:ascii="Times New Roman" w:hAnsi="Times New Roman" w:cs="Times New Roman"/>
          <w:sz w:val="28"/>
          <w:szCs w:val="28"/>
        </w:rPr>
      </w:pPr>
      <w:r w:rsidRPr="00103C77">
        <w:rPr>
          <w:rFonts w:ascii="Times New Roman" w:hAnsi="Times New Roman" w:cs="Times New Roman"/>
          <w:b/>
          <w:bCs/>
          <w:sz w:val="28"/>
          <w:szCs w:val="28"/>
        </w:rPr>
        <w:t>PETITION TO AMEND</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sidRPr="006A02D4">
        <w:rPr>
          <w:rFonts w:ascii="Times New Roman" w:hAnsi="Times New Roman" w:cs="Times New Roman"/>
          <w:b/>
          <w:bCs/>
          <w:sz w:val="28"/>
          <w:szCs w:val="28"/>
        </w:rPr>
        <w:t>ARIZONA PRO</w:t>
      </w:r>
      <w:r w:rsidR="005F58C7">
        <w:rPr>
          <w:rFonts w:ascii="Times New Roman" w:hAnsi="Times New Roman" w:cs="Times New Roman"/>
          <w:b/>
          <w:bCs/>
          <w:sz w:val="28"/>
          <w:szCs w:val="28"/>
        </w:rPr>
        <w:t>S</w:t>
      </w:r>
      <w:r w:rsidRPr="006A02D4">
        <w:rPr>
          <w:rFonts w:ascii="Times New Roman" w:hAnsi="Times New Roman" w:cs="Times New Roman"/>
          <w:b/>
          <w:bCs/>
          <w:sz w:val="28"/>
          <w:szCs w:val="28"/>
        </w:rPr>
        <w:t>ECUTING</w:t>
      </w:r>
    </w:p>
    <w:p w14:paraId="361A6665" w14:textId="48C943F2" w:rsidR="00103C77" w:rsidRDefault="00103C77" w:rsidP="00103C77">
      <w:pPr>
        <w:spacing w:after="0"/>
        <w:rPr>
          <w:rFonts w:ascii="Times New Roman" w:hAnsi="Times New Roman" w:cs="Times New Roman"/>
          <w:sz w:val="28"/>
          <w:szCs w:val="28"/>
        </w:rPr>
      </w:pPr>
      <w:r w:rsidRPr="00103C77">
        <w:rPr>
          <w:rFonts w:ascii="Times New Roman" w:hAnsi="Times New Roman" w:cs="Times New Roman"/>
          <w:b/>
          <w:bCs/>
          <w:sz w:val="28"/>
          <w:szCs w:val="28"/>
        </w:rPr>
        <w:t>Rule 39(b)(12), ARIZONA</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sidRPr="006A02D4">
        <w:rPr>
          <w:rFonts w:ascii="Times New Roman" w:hAnsi="Times New Roman" w:cs="Times New Roman"/>
          <w:b/>
          <w:bCs/>
          <w:sz w:val="28"/>
          <w:szCs w:val="28"/>
        </w:rPr>
        <w:t>ATTORNEYS</w:t>
      </w:r>
      <w:r w:rsidR="007C6DA7">
        <w:rPr>
          <w:rFonts w:ascii="Times New Roman" w:hAnsi="Times New Roman" w:cs="Times New Roman"/>
          <w:b/>
          <w:bCs/>
          <w:sz w:val="28"/>
          <w:szCs w:val="28"/>
        </w:rPr>
        <w:t>’</w:t>
      </w:r>
      <w:r w:rsidRPr="006A02D4">
        <w:rPr>
          <w:rFonts w:ascii="Times New Roman" w:hAnsi="Times New Roman" w:cs="Times New Roman"/>
          <w:b/>
          <w:bCs/>
          <w:sz w:val="28"/>
          <w:szCs w:val="28"/>
        </w:rPr>
        <w:t xml:space="preserve"> ADVISORY</w:t>
      </w:r>
    </w:p>
    <w:p w14:paraId="4390CB10" w14:textId="3C9ABC7D" w:rsidR="00AA5821" w:rsidRDefault="00103C77" w:rsidP="00103C77">
      <w:pPr>
        <w:spacing w:after="0"/>
        <w:rPr>
          <w:rFonts w:ascii="Times New Roman" w:hAnsi="Times New Roman" w:cs="Times New Roman"/>
          <w:b/>
          <w:bCs/>
          <w:sz w:val="28"/>
          <w:szCs w:val="28"/>
        </w:rPr>
      </w:pPr>
      <w:r w:rsidRPr="00103C77">
        <w:rPr>
          <w:rFonts w:ascii="Times New Roman" w:hAnsi="Times New Roman" w:cs="Times New Roman"/>
          <w:b/>
          <w:bCs/>
          <w:sz w:val="28"/>
          <w:szCs w:val="28"/>
        </w:rPr>
        <w:t>RULES OF CRIMINAL</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sidRPr="006A02D4">
        <w:rPr>
          <w:rFonts w:ascii="Times New Roman" w:hAnsi="Times New Roman" w:cs="Times New Roman"/>
          <w:b/>
          <w:bCs/>
          <w:sz w:val="28"/>
          <w:szCs w:val="28"/>
        </w:rPr>
        <w:t>COUNCIL</w:t>
      </w:r>
      <w:r w:rsidR="00AA5821">
        <w:rPr>
          <w:rFonts w:ascii="Times New Roman" w:hAnsi="Times New Roman" w:cs="Times New Roman"/>
          <w:b/>
          <w:bCs/>
          <w:sz w:val="28"/>
          <w:szCs w:val="28"/>
        </w:rPr>
        <w:t xml:space="preserve">’S </w:t>
      </w:r>
      <w:r w:rsidR="00AA5821" w:rsidRPr="00103C77">
        <w:rPr>
          <w:rFonts w:ascii="Times New Roman" w:hAnsi="Times New Roman" w:cs="Times New Roman"/>
          <w:b/>
          <w:bCs/>
          <w:sz w:val="28"/>
          <w:szCs w:val="28"/>
        </w:rPr>
        <w:t>COMMENT</w:t>
      </w:r>
    </w:p>
    <w:p w14:paraId="7D940BE1" w14:textId="16D8E0B3" w:rsidR="00103C77" w:rsidRDefault="00103C77" w:rsidP="00103C77">
      <w:pPr>
        <w:spacing w:after="0"/>
        <w:rPr>
          <w:rFonts w:ascii="Times New Roman" w:hAnsi="Times New Roman" w:cs="Times New Roman"/>
          <w:sz w:val="28"/>
          <w:szCs w:val="28"/>
        </w:rPr>
      </w:pPr>
      <w:r w:rsidRPr="00103C77">
        <w:rPr>
          <w:rFonts w:ascii="Times New Roman" w:hAnsi="Times New Roman" w:cs="Times New Roman"/>
          <w:b/>
          <w:bCs/>
          <w:sz w:val="28"/>
          <w:szCs w:val="28"/>
        </w:rPr>
        <w:t>PROCEDURE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sidRPr="00103C77">
        <w:rPr>
          <w:rFonts w:ascii="Times New Roman" w:hAnsi="Times New Roman" w:cs="Times New Roman"/>
          <w:b/>
          <w:bCs/>
          <w:sz w:val="28"/>
          <w:szCs w:val="28"/>
        </w:rPr>
        <w:t>IN OPPOSITION</w:t>
      </w:r>
    </w:p>
    <w:p w14:paraId="369F0D2E" w14:textId="05476342" w:rsidR="00103C77" w:rsidRDefault="00103C77" w:rsidP="00103C77">
      <w:pPr>
        <w:spacing w:after="0"/>
        <w:rPr>
          <w:rFonts w:ascii="Times New Roman" w:hAnsi="Times New Roman" w:cs="Times New Roman"/>
          <w:sz w:val="28"/>
          <w:szCs w:val="28"/>
        </w:rPr>
      </w:pPr>
      <w:r>
        <w:rPr>
          <w:rFonts w:ascii="Times New Roman" w:hAnsi="Times New Roman" w:cs="Times New Roman"/>
          <w:sz w:val="28"/>
          <w:szCs w:val="28"/>
        </w:rPr>
        <w:t>_______________________________)</w:t>
      </w:r>
    </w:p>
    <w:p w14:paraId="1EB78A42" w14:textId="023FD10F" w:rsidR="00103C77" w:rsidRDefault="00103C77" w:rsidP="00103C77">
      <w:pPr>
        <w:spacing w:after="0"/>
        <w:rPr>
          <w:rFonts w:ascii="Times New Roman" w:hAnsi="Times New Roman" w:cs="Times New Roman"/>
          <w:sz w:val="28"/>
          <w:szCs w:val="28"/>
        </w:rPr>
      </w:pPr>
    </w:p>
    <w:p w14:paraId="39E953FA" w14:textId="1655F5F8" w:rsidR="00155FF2" w:rsidRDefault="00103C77" w:rsidP="005F58C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Because Petition </w:t>
      </w:r>
      <w:r w:rsidR="007845C3">
        <w:rPr>
          <w:rFonts w:ascii="Times New Roman" w:hAnsi="Times New Roman" w:cs="Times New Roman"/>
          <w:sz w:val="28"/>
          <w:szCs w:val="28"/>
        </w:rPr>
        <w:t xml:space="preserve">R-22-0045 </w:t>
      </w:r>
      <w:r>
        <w:rPr>
          <w:rFonts w:ascii="Times New Roman" w:hAnsi="Times New Roman" w:cs="Times New Roman"/>
          <w:sz w:val="28"/>
          <w:szCs w:val="28"/>
        </w:rPr>
        <w:t>misconstrues the purpose of Rule 39(b)(12), Arizona Rules of Criminal Procedure, the Arizona Prosecuting Attorneys</w:t>
      </w:r>
      <w:r w:rsidR="001E0BCE">
        <w:rPr>
          <w:rFonts w:ascii="Times New Roman" w:hAnsi="Times New Roman" w:cs="Times New Roman"/>
          <w:sz w:val="28"/>
          <w:szCs w:val="28"/>
        </w:rPr>
        <w:t>’</w:t>
      </w:r>
      <w:r>
        <w:rPr>
          <w:rFonts w:ascii="Times New Roman" w:hAnsi="Times New Roman" w:cs="Times New Roman"/>
          <w:sz w:val="28"/>
          <w:szCs w:val="28"/>
        </w:rPr>
        <w:t xml:space="preserve"> Advisory Council recommends denial of the Petitioner’s requested action.</w:t>
      </w:r>
    </w:p>
    <w:p w14:paraId="1CEB92E1" w14:textId="14B077DD" w:rsidR="00155FF2" w:rsidRPr="007845C3" w:rsidRDefault="00155FF2" w:rsidP="00155FF2">
      <w:pPr>
        <w:pStyle w:val="ListParagraph"/>
        <w:numPr>
          <w:ilvl w:val="0"/>
          <w:numId w:val="1"/>
        </w:numPr>
        <w:spacing w:after="0" w:line="480" w:lineRule="auto"/>
        <w:jc w:val="both"/>
        <w:rPr>
          <w:rFonts w:ascii="Times New Roman" w:hAnsi="Times New Roman" w:cs="Times New Roman"/>
          <w:b/>
          <w:bCs/>
          <w:i/>
          <w:iCs/>
          <w:sz w:val="28"/>
          <w:szCs w:val="28"/>
        </w:rPr>
      </w:pPr>
      <w:r w:rsidRPr="007845C3">
        <w:rPr>
          <w:rFonts w:ascii="Times New Roman" w:hAnsi="Times New Roman" w:cs="Times New Roman"/>
          <w:b/>
          <w:bCs/>
          <w:i/>
          <w:iCs/>
          <w:sz w:val="28"/>
          <w:szCs w:val="28"/>
        </w:rPr>
        <w:t>Rule 39(b)(12) is a procedural, not substantive, discovery requirement.</w:t>
      </w:r>
    </w:p>
    <w:p w14:paraId="02BC5981" w14:textId="674E9206" w:rsidR="00786EB5" w:rsidRPr="00845F0A" w:rsidRDefault="00751CD2" w:rsidP="00786E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The intent and effect of Rule 39(b)(12), </w:t>
      </w:r>
      <w:r w:rsidR="00E4516B">
        <w:rPr>
          <w:rFonts w:ascii="Times New Roman" w:hAnsi="Times New Roman" w:cs="Times New Roman"/>
          <w:sz w:val="28"/>
          <w:szCs w:val="28"/>
        </w:rPr>
        <w:t>Arizona Rules of Criminal Procedure (</w:t>
      </w:r>
      <w:proofErr w:type="spellStart"/>
      <w:r w:rsidR="00E4516B">
        <w:rPr>
          <w:rFonts w:ascii="Times New Roman" w:hAnsi="Times New Roman" w:cs="Times New Roman"/>
          <w:sz w:val="28"/>
          <w:szCs w:val="28"/>
        </w:rPr>
        <w:t>ARCrP</w:t>
      </w:r>
      <w:proofErr w:type="spellEnd"/>
      <w:r w:rsidR="00E4516B">
        <w:rPr>
          <w:rFonts w:ascii="Times New Roman" w:hAnsi="Times New Roman" w:cs="Times New Roman"/>
          <w:sz w:val="28"/>
          <w:szCs w:val="28"/>
        </w:rPr>
        <w:t>)</w:t>
      </w:r>
      <w:r>
        <w:rPr>
          <w:rFonts w:ascii="Times New Roman" w:hAnsi="Times New Roman" w:cs="Times New Roman"/>
          <w:sz w:val="28"/>
          <w:szCs w:val="28"/>
        </w:rPr>
        <w:t>., is to regulate pretrial discovery procedures</w:t>
      </w:r>
      <w:r w:rsidR="00E4516B">
        <w:rPr>
          <w:rFonts w:ascii="Times New Roman" w:hAnsi="Times New Roman" w:cs="Times New Roman"/>
          <w:sz w:val="28"/>
          <w:szCs w:val="28"/>
        </w:rPr>
        <w:t xml:space="preserve">; namely interviews, depositions, and other discovery requests </w:t>
      </w:r>
      <w:r w:rsidR="00E51C68">
        <w:rPr>
          <w:rFonts w:ascii="Times New Roman" w:hAnsi="Times New Roman" w:cs="Times New Roman"/>
          <w:sz w:val="28"/>
          <w:szCs w:val="28"/>
        </w:rPr>
        <w:t xml:space="preserve">of the victim, made </w:t>
      </w:r>
      <w:r w:rsidR="00E4516B">
        <w:rPr>
          <w:rFonts w:ascii="Times New Roman" w:hAnsi="Times New Roman" w:cs="Times New Roman"/>
          <w:sz w:val="28"/>
          <w:szCs w:val="28"/>
        </w:rPr>
        <w:t>by the defendant, the defendant’s attorney, or other person acting on the defendant’s behalf</w:t>
      </w:r>
      <w:r w:rsidR="004A7D22">
        <w:rPr>
          <w:rFonts w:ascii="Times New Roman" w:hAnsi="Times New Roman" w:cs="Times New Roman"/>
          <w:sz w:val="28"/>
          <w:szCs w:val="28"/>
        </w:rPr>
        <w:t xml:space="preserve">. </w:t>
      </w:r>
      <w:r w:rsidR="00E4516B">
        <w:rPr>
          <w:rFonts w:ascii="Times New Roman" w:hAnsi="Times New Roman" w:cs="Times New Roman"/>
          <w:sz w:val="28"/>
          <w:szCs w:val="28"/>
        </w:rPr>
        <w:t>(</w:t>
      </w:r>
      <w:r w:rsidR="00E51C68">
        <w:rPr>
          <w:rFonts w:ascii="Times New Roman" w:hAnsi="Times New Roman" w:cs="Times New Roman"/>
          <w:sz w:val="28"/>
          <w:szCs w:val="28"/>
        </w:rPr>
        <w:t xml:space="preserve">Id., </w:t>
      </w:r>
      <w:r w:rsidR="00786EB5">
        <w:rPr>
          <w:rFonts w:ascii="Times New Roman" w:hAnsi="Times New Roman" w:cs="Times New Roman"/>
          <w:sz w:val="28"/>
          <w:szCs w:val="28"/>
        </w:rPr>
        <w:t>Rule 39(b)(12)</w:t>
      </w:r>
      <w:r w:rsidR="00E4516B">
        <w:rPr>
          <w:rFonts w:ascii="Times New Roman" w:hAnsi="Times New Roman" w:cs="Times New Roman"/>
          <w:sz w:val="28"/>
          <w:szCs w:val="28"/>
        </w:rPr>
        <w:t>)</w:t>
      </w:r>
      <w:r w:rsidR="00E51C68">
        <w:rPr>
          <w:rFonts w:ascii="Times New Roman" w:hAnsi="Times New Roman" w:cs="Times New Roman"/>
          <w:sz w:val="28"/>
          <w:szCs w:val="28"/>
        </w:rPr>
        <w:t>.</w:t>
      </w:r>
      <w:r w:rsidR="00E4516B">
        <w:rPr>
          <w:rFonts w:ascii="Times New Roman" w:hAnsi="Times New Roman" w:cs="Times New Roman"/>
          <w:sz w:val="28"/>
          <w:szCs w:val="28"/>
        </w:rPr>
        <w:t xml:space="preserve"> </w:t>
      </w:r>
      <w:r w:rsidR="004A7D22">
        <w:rPr>
          <w:rFonts w:ascii="Times New Roman" w:hAnsi="Times New Roman" w:cs="Times New Roman"/>
          <w:sz w:val="28"/>
          <w:szCs w:val="28"/>
        </w:rPr>
        <w:t xml:space="preserve">This </w:t>
      </w:r>
      <w:r w:rsidR="00E4516B">
        <w:rPr>
          <w:rFonts w:ascii="Times New Roman" w:hAnsi="Times New Roman" w:cs="Times New Roman"/>
          <w:sz w:val="28"/>
          <w:szCs w:val="28"/>
        </w:rPr>
        <w:t>r</w:t>
      </w:r>
      <w:r w:rsidR="00786EB5">
        <w:rPr>
          <w:rFonts w:ascii="Times New Roman" w:hAnsi="Times New Roman" w:cs="Times New Roman"/>
          <w:sz w:val="28"/>
          <w:szCs w:val="28"/>
        </w:rPr>
        <w:t>egulation of pretrial conduct</w:t>
      </w:r>
      <w:r w:rsidR="00E4516B">
        <w:rPr>
          <w:rFonts w:ascii="Times New Roman" w:hAnsi="Times New Roman" w:cs="Times New Roman"/>
          <w:sz w:val="28"/>
          <w:szCs w:val="28"/>
        </w:rPr>
        <w:t xml:space="preserve"> is </w:t>
      </w:r>
      <w:r w:rsidR="004A7D22">
        <w:rPr>
          <w:rFonts w:ascii="Times New Roman" w:hAnsi="Times New Roman" w:cs="Times New Roman"/>
          <w:sz w:val="28"/>
          <w:szCs w:val="28"/>
        </w:rPr>
        <w:t xml:space="preserve">consistent with the stated purpose </w:t>
      </w:r>
      <w:r w:rsidR="004A7D22">
        <w:rPr>
          <w:rFonts w:ascii="Times New Roman" w:hAnsi="Times New Roman" w:cs="Times New Roman"/>
          <w:sz w:val="28"/>
          <w:szCs w:val="28"/>
        </w:rPr>
        <w:lastRenderedPageBreak/>
        <w:t>of the Rules</w:t>
      </w:r>
      <w:r w:rsidR="00E51C68">
        <w:rPr>
          <w:rFonts w:ascii="Times New Roman" w:hAnsi="Times New Roman" w:cs="Times New Roman"/>
          <w:sz w:val="28"/>
          <w:szCs w:val="28"/>
        </w:rPr>
        <w:t xml:space="preserve"> of </w:t>
      </w:r>
      <w:r w:rsidR="00AB5ACA">
        <w:rPr>
          <w:rFonts w:ascii="Times New Roman" w:hAnsi="Times New Roman" w:cs="Times New Roman"/>
          <w:sz w:val="28"/>
          <w:szCs w:val="28"/>
        </w:rPr>
        <w:t xml:space="preserve">Criminal </w:t>
      </w:r>
      <w:r w:rsidR="00E51C68">
        <w:rPr>
          <w:rFonts w:ascii="Times New Roman" w:hAnsi="Times New Roman" w:cs="Times New Roman"/>
          <w:sz w:val="28"/>
          <w:szCs w:val="28"/>
        </w:rPr>
        <w:t>Procedure</w:t>
      </w:r>
      <w:r w:rsidR="004A7D22">
        <w:rPr>
          <w:rFonts w:ascii="Times New Roman" w:hAnsi="Times New Roman" w:cs="Times New Roman"/>
          <w:sz w:val="28"/>
          <w:szCs w:val="28"/>
        </w:rPr>
        <w:t xml:space="preserve"> generally, </w:t>
      </w:r>
      <w:r w:rsidR="00E4516B">
        <w:rPr>
          <w:rFonts w:ascii="Times New Roman" w:hAnsi="Times New Roman" w:cs="Times New Roman"/>
          <w:sz w:val="28"/>
          <w:szCs w:val="28"/>
        </w:rPr>
        <w:t xml:space="preserve">which is </w:t>
      </w:r>
      <w:r w:rsidR="004A7D22">
        <w:rPr>
          <w:rFonts w:ascii="Times New Roman" w:hAnsi="Times New Roman" w:cs="Times New Roman"/>
          <w:sz w:val="28"/>
          <w:szCs w:val="28"/>
        </w:rPr>
        <w:t xml:space="preserve">to govern procedures in all criminal proceedings. Rule 1.1, </w:t>
      </w:r>
      <w:proofErr w:type="spellStart"/>
      <w:r w:rsidR="004A7D22">
        <w:rPr>
          <w:rFonts w:ascii="Times New Roman" w:hAnsi="Times New Roman" w:cs="Times New Roman"/>
          <w:sz w:val="28"/>
          <w:szCs w:val="28"/>
        </w:rPr>
        <w:t>A</w:t>
      </w:r>
      <w:r w:rsidR="00E4516B">
        <w:rPr>
          <w:rFonts w:ascii="Times New Roman" w:hAnsi="Times New Roman" w:cs="Times New Roman"/>
          <w:sz w:val="28"/>
          <w:szCs w:val="28"/>
        </w:rPr>
        <w:t>RCrP</w:t>
      </w:r>
      <w:proofErr w:type="spellEnd"/>
      <w:r w:rsidR="004A7D22">
        <w:rPr>
          <w:rFonts w:ascii="Times New Roman" w:hAnsi="Times New Roman" w:cs="Times New Roman"/>
          <w:sz w:val="28"/>
          <w:szCs w:val="28"/>
        </w:rPr>
        <w:t xml:space="preserve">. </w:t>
      </w:r>
      <w:r w:rsidR="00786EB5">
        <w:rPr>
          <w:rFonts w:ascii="Times New Roman" w:hAnsi="Times New Roman" w:cs="Times New Roman"/>
          <w:sz w:val="28"/>
          <w:szCs w:val="28"/>
        </w:rPr>
        <w:t>T</w:t>
      </w:r>
      <w:r w:rsidR="00786EB5" w:rsidRPr="00786EB5">
        <w:rPr>
          <w:rFonts w:ascii="Times New Roman" w:hAnsi="Times New Roman" w:cs="Times New Roman"/>
          <w:sz w:val="28"/>
          <w:szCs w:val="28"/>
        </w:rPr>
        <w:t>h</w:t>
      </w:r>
      <w:r w:rsidR="00E51C68">
        <w:rPr>
          <w:rFonts w:ascii="Times New Roman" w:hAnsi="Times New Roman" w:cs="Times New Roman"/>
          <w:sz w:val="28"/>
          <w:szCs w:val="28"/>
        </w:rPr>
        <w:t>e</w:t>
      </w:r>
      <w:r w:rsidR="00786EB5" w:rsidRPr="00786EB5">
        <w:rPr>
          <w:rFonts w:ascii="Times New Roman" w:hAnsi="Times New Roman" w:cs="Times New Roman"/>
          <w:sz w:val="28"/>
          <w:szCs w:val="28"/>
        </w:rPr>
        <w:t xml:space="preserve"> </w:t>
      </w:r>
      <w:r w:rsidR="00E51C68">
        <w:rPr>
          <w:rFonts w:ascii="Times New Roman" w:hAnsi="Times New Roman" w:cs="Times New Roman"/>
          <w:sz w:val="28"/>
          <w:szCs w:val="28"/>
        </w:rPr>
        <w:t xml:space="preserve">Arizona </w:t>
      </w:r>
      <w:r w:rsidR="00786EB5" w:rsidRPr="00786EB5">
        <w:rPr>
          <w:rFonts w:ascii="Times New Roman" w:hAnsi="Times New Roman" w:cs="Times New Roman"/>
          <w:sz w:val="28"/>
          <w:szCs w:val="28"/>
        </w:rPr>
        <w:t>Supreme Court</w:t>
      </w:r>
      <w:r w:rsidR="00786EB5">
        <w:rPr>
          <w:rFonts w:ascii="Times New Roman" w:hAnsi="Times New Roman" w:cs="Times New Roman"/>
          <w:sz w:val="28"/>
          <w:szCs w:val="28"/>
        </w:rPr>
        <w:t xml:space="preserve"> has the original</w:t>
      </w:r>
      <w:r w:rsidR="00E51C68">
        <w:rPr>
          <w:rFonts w:ascii="Times New Roman" w:hAnsi="Times New Roman" w:cs="Times New Roman"/>
          <w:sz w:val="28"/>
          <w:szCs w:val="28"/>
        </w:rPr>
        <w:t>,</w:t>
      </w:r>
      <w:r w:rsidR="00786EB5" w:rsidRPr="00786EB5">
        <w:rPr>
          <w:rFonts w:ascii="Times New Roman" w:hAnsi="Times New Roman" w:cs="Times New Roman"/>
          <w:sz w:val="28"/>
          <w:szCs w:val="28"/>
        </w:rPr>
        <w:t xml:space="preserve"> Constitutional “</w:t>
      </w:r>
      <w:r w:rsidR="00786EB5">
        <w:rPr>
          <w:rFonts w:ascii="Times New Roman" w:hAnsi="Times New Roman" w:cs="Times New Roman"/>
          <w:sz w:val="28"/>
          <w:szCs w:val="28"/>
        </w:rPr>
        <w:t>[</w:t>
      </w:r>
      <w:r w:rsidR="00E51C68">
        <w:rPr>
          <w:rFonts w:ascii="Times New Roman" w:hAnsi="Times New Roman" w:cs="Times New Roman"/>
          <w:sz w:val="28"/>
          <w:szCs w:val="28"/>
        </w:rPr>
        <w:t>p</w:t>
      </w:r>
      <w:r w:rsidR="00786EB5">
        <w:rPr>
          <w:rFonts w:ascii="Times New Roman" w:hAnsi="Times New Roman" w:cs="Times New Roman"/>
          <w:sz w:val="28"/>
          <w:szCs w:val="28"/>
        </w:rPr>
        <w:t>]</w:t>
      </w:r>
      <w:proofErr w:type="spellStart"/>
      <w:r w:rsidR="00786EB5" w:rsidRPr="00786EB5">
        <w:rPr>
          <w:rFonts w:ascii="Times New Roman" w:hAnsi="Times New Roman" w:cs="Times New Roman"/>
          <w:sz w:val="28"/>
          <w:szCs w:val="28"/>
        </w:rPr>
        <w:t>ower</w:t>
      </w:r>
      <w:proofErr w:type="spellEnd"/>
      <w:r w:rsidR="00786EB5" w:rsidRPr="00786EB5">
        <w:rPr>
          <w:rFonts w:ascii="Times New Roman" w:hAnsi="Times New Roman" w:cs="Times New Roman"/>
          <w:sz w:val="28"/>
          <w:szCs w:val="28"/>
        </w:rPr>
        <w:t xml:space="preserve"> to make rules relative to all procedural matters in any court.</w:t>
      </w:r>
      <w:r w:rsidR="00786EB5">
        <w:rPr>
          <w:rFonts w:ascii="Times New Roman" w:hAnsi="Times New Roman" w:cs="Times New Roman"/>
          <w:sz w:val="28"/>
          <w:szCs w:val="28"/>
        </w:rPr>
        <w:t>”</w:t>
      </w:r>
      <w:r w:rsidR="00786EB5" w:rsidRPr="00786EB5">
        <w:rPr>
          <w:rFonts w:ascii="Times New Roman" w:hAnsi="Times New Roman" w:cs="Times New Roman"/>
          <w:sz w:val="28"/>
          <w:szCs w:val="28"/>
        </w:rPr>
        <w:t xml:space="preserve"> ARIZ.CONST. Art. 6, §5(5).</w:t>
      </w:r>
      <w:r w:rsidR="00845F0A">
        <w:rPr>
          <w:rFonts w:ascii="Times New Roman" w:hAnsi="Times New Roman" w:cs="Times New Roman"/>
          <w:sz w:val="28"/>
          <w:szCs w:val="28"/>
        </w:rPr>
        <w:t xml:space="preserve"> </w:t>
      </w:r>
      <w:r w:rsidR="00E4516B">
        <w:rPr>
          <w:rFonts w:ascii="Times New Roman" w:hAnsi="Times New Roman" w:cs="Times New Roman"/>
          <w:sz w:val="28"/>
          <w:szCs w:val="28"/>
        </w:rPr>
        <w:t>The management of discovery requests</w:t>
      </w:r>
      <w:r w:rsidR="004964DE">
        <w:rPr>
          <w:rFonts w:ascii="Times New Roman" w:hAnsi="Times New Roman" w:cs="Times New Roman"/>
          <w:sz w:val="28"/>
          <w:szCs w:val="28"/>
        </w:rPr>
        <w:t xml:space="preserve"> is the management of criminal proceedings</w:t>
      </w:r>
      <w:r w:rsidR="00786EB5">
        <w:rPr>
          <w:rFonts w:ascii="Times New Roman" w:hAnsi="Times New Roman" w:cs="Times New Roman"/>
          <w:sz w:val="28"/>
          <w:szCs w:val="28"/>
        </w:rPr>
        <w:t xml:space="preserve">. Arizona courts have consistently held that a criminal defendant has no vested right to a particular mode of procedure. </w:t>
      </w:r>
      <w:r w:rsidR="00845F0A">
        <w:rPr>
          <w:rFonts w:ascii="Times New Roman" w:hAnsi="Times New Roman" w:cs="Times New Roman"/>
          <w:i/>
          <w:iCs/>
          <w:sz w:val="28"/>
          <w:szCs w:val="28"/>
        </w:rPr>
        <w:t xml:space="preserve">State of Arizona v. Warner, </w:t>
      </w:r>
      <w:r w:rsidR="00845F0A">
        <w:rPr>
          <w:rFonts w:ascii="Times New Roman" w:hAnsi="Times New Roman" w:cs="Times New Roman"/>
          <w:sz w:val="28"/>
          <w:szCs w:val="28"/>
        </w:rPr>
        <w:t xml:space="preserve">168 Ariz. 261, 264, 812 P.2d 1079 (Ct. App., 1990), (review denied, July 10, 1991); </w:t>
      </w:r>
      <w:r w:rsidR="00845F0A">
        <w:rPr>
          <w:rFonts w:ascii="Times New Roman" w:hAnsi="Times New Roman" w:cs="Times New Roman"/>
          <w:i/>
          <w:iCs/>
          <w:sz w:val="28"/>
          <w:szCs w:val="28"/>
        </w:rPr>
        <w:t>citing to:</w:t>
      </w:r>
      <w:r w:rsidR="00845F0A">
        <w:rPr>
          <w:rFonts w:ascii="Times New Roman" w:hAnsi="Times New Roman" w:cs="Times New Roman"/>
          <w:sz w:val="28"/>
          <w:szCs w:val="28"/>
        </w:rPr>
        <w:t xml:space="preserve"> </w:t>
      </w:r>
      <w:r w:rsidR="00845F0A">
        <w:rPr>
          <w:rFonts w:ascii="Times New Roman" w:hAnsi="Times New Roman" w:cs="Times New Roman"/>
          <w:i/>
          <w:iCs/>
          <w:sz w:val="28"/>
          <w:szCs w:val="28"/>
        </w:rPr>
        <w:t xml:space="preserve">State v. </w:t>
      </w:r>
      <w:proofErr w:type="spellStart"/>
      <w:r w:rsidR="00845F0A">
        <w:rPr>
          <w:rFonts w:ascii="Times New Roman" w:hAnsi="Times New Roman" w:cs="Times New Roman"/>
          <w:i/>
          <w:iCs/>
          <w:sz w:val="28"/>
          <w:szCs w:val="28"/>
        </w:rPr>
        <w:t>Staatz</w:t>
      </w:r>
      <w:proofErr w:type="spellEnd"/>
      <w:r w:rsidR="00845F0A">
        <w:rPr>
          <w:rFonts w:ascii="Times New Roman" w:hAnsi="Times New Roman" w:cs="Times New Roman"/>
          <w:i/>
          <w:iCs/>
          <w:sz w:val="28"/>
          <w:szCs w:val="28"/>
        </w:rPr>
        <w:t xml:space="preserve">, </w:t>
      </w:r>
      <w:r w:rsidR="00845F0A">
        <w:rPr>
          <w:rFonts w:ascii="Times New Roman" w:hAnsi="Times New Roman" w:cs="Times New Roman"/>
          <w:sz w:val="28"/>
          <w:szCs w:val="28"/>
        </w:rPr>
        <w:t xml:space="preserve">159 Ariz. 411, 768 P.2d 143 (1988); and </w:t>
      </w:r>
      <w:r w:rsidR="00845F0A">
        <w:rPr>
          <w:rFonts w:ascii="Times New Roman" w:hAnsi="Times New Roman" w:cs="Times New Roman"/>
          <w:i/>
          <w:iCs/>
          <w:sz w:val="28"/>
          <w:szCs w:val="28"/>
        </w:rPr>
        <w:t>State v. Birmingham</w:t>
      </w:r>
      <w:r w:rsidR="00845F0A">
        <w:rPr>
          <w:rFonts w:ascii="Times New Roman" w:hAnsi="Times New Roman" w:cs="Times New Roman"/>
          <w:sz w:val="28"/>
          <w:szCs w:val="28"/>
        </w:rPr>
        <w:t>, 96 Ariz. 109, 392 P.2d 775 (1964).</w:t>
      </w:r>
    </w:p>
    <w:p w14:paraId="7D358EF6" w14:textId="0431479B" w:rsidR="00845F0A" w:rsidRDefault="00845F0A" w:rsidP="00845F0A">
      <w:pPr>
        <w:spacing w:after="0" w:line="240" w:lineRule="auto"/>
        <w:ind w:left="720" w:right="720"/>
        <w:jc w:val="both"/>
        <w:rPr>
          <w:rFonts w:ascii="Times New Roman" w:hAnsi="Times New Roman" w:cs="Times New Roman"/>
          <w:sz w:val="28"/>
          <w:szCs w:val="28"/>
        </w:rPr>
      </w:pPr>
      <w:r>
        <w:rPr>
          <w:rFonts w:ascii="Times New Roman" w:hAnsi="Times New Roman" w:cs="Times New Roman"/>
          <w:sz w:val="28"/>
          <w:szCs w:val="28"/>
        </w:rPr>
        <w:t xml:space="preserve">“Uniformly, substantive law is that part of the law which creates, defines and regulates rights; whereas the adjective, remedial or procedural law is that which prescribes the method of enforcing the right or obtaining redress for its invasion”. </w:t>
      </w:r>
      <w:r>
        <w:rPr>
          <w:rFonts w:ascii="Times New Roman" w:hAnsi="Times New Roman" w:cs="Times New Roman"/>
          <w:i/>
          <w:iCs/>
          <w:sz w:val="28"/>
          <w:szCs w:val="28"/>
        </w:rPr>
        <w:t>State v. Birmingham</w:t>
      </w:r>
      <w:r>
        <w:rPr>
          <w:rFonts w:ascii="Times New Roman" w:hAnsi="Times New Roman" w:cs="Times New Roman"/>
          <w:sz w:val="28"/>
          <w:szCs w:val="28"/>
        </w:rPr>
        <w:t>, Id., 96 Ariz. at 110, 392 P.2d at 776.</w:t>
      </w:r>
    </w:p>
    <w:p w14:paraId="7194A8F9" w14:textId="6F2343FA" w:rsidR="00845F0A" w:rsidRDefault="00845F0A" w:rsidP="00845F0A">
      <w:pPr>
        <w:spacing w:after="0" w:line="240" w:lineRule="auto"/>
        <w:ind w:left="720" w:right="720"/>
        <w:jc w:val="both"/>
        <w:rPr>
          <w:rFonts w:ascii="Times New Roman" w:hAnsi="Times New Roman" w:cs="Times New Roman"/>
          <w:sz w:val="28"/>
          <w:szCs w:val="28"/>
        </w:rPr>
      </w:pPr>
    </w:p>
    <w:p w14:paraId="40CD27FE" w14:textId="069323E4" w:rsidR="00155FF2" w:rsidRDefault="004A7D22" w:rsidP="00155FF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Rule 39(b)(12) is </w:t>
      </w:r>
      <w:r w:rsidR="00E51C68">
        <w:rPr>
          <w:rFonts w:ascii="Times New Roman" w:hAnsi="Times New Roman" w:cs="Times New Roman"/>
          <w:sz w:val="28"/>
          <w:szCs w:val="28"/>
        </w:rPr>
        <w:t xml:space="preserve">a </w:t>
      </w:r>
      <w:r>
        <w:rPr>
          <w:rFonts w:ascii="Times New Roman" w:hAnsi="Times New Roman" w:cs="Times New Roman"/>
          <w:sz w:val="28"/>
          <w:szCs w:val="28"/>
        </w:rPr>
        <w:t>procedural</w:t>
      </w:r>
      <w:r w:rsidR="00E51C68">
        <w:rPr>
          <w:rFonts w:ascii="Times New Roman" w:hAnsi="Times New Roman" w:cs="Times New Roman"/>
          <w:sz w:val="28"/>
          <w:szCs w:val="28"/>
        </w:rPr>
        <w:t xml:space="preserve"> rule</w:t>
      </w:r>
      <w:r w:rsidR="00E4516B">
        <w:rPr>
          <w:rFonts w:ascii="Times New Roman" w:hAnsi="Times New Roman" w:cs="Times New Roman"/>
          <w:sz w:val="28"/>
          <w:szCs w:val="28"/>
        </w:rPr>
        <w:t xml:space="preserve">. </w:t>
      </w:r>
      <w:r w:rsidR="00E51C68">
        <w:rPr>
          <w:rFonts w:ascii="Times New Roman" w:hAnsi="Times New Roman" w:cs="Times New Roman"/>
          <w:sz w:val="28"/>
          <w:szCs w:val="28"/>
        </w:rPr>
        <w:t xml:space="preserve">The defense must communicate discovery requests </w:t>
      </w:r>
      <w:r w:rsidR="00155FF2">
        <w:rPr>
          <w:rFonts w:ascii="Times New Roman" w:hAnsi="Times New Roman" w:cs="Times New Roman"/>
          <w:sz w:val="28"/>
          <w:szCs w:val="28"/>
        </w:rPr>
        <w:t>for</w:t>
      </w:r>
      <w:r w:rsidR="00E51C68">
        <w:rPr>
          <w:rFonts w:ascii="Times New Roman" w:hAnsi="Times New Roman" w:cs="Times New Roman"/>
          <w:sz w:val="28"/>
          <w:szCs w:val="28"/>
        </w:rPr>
        <w:t xml:space="preserve"> a victim interview to opposing counsel (the prosecutor). The victim has a constitutional right to refuse discovery requests, including but not limited to interviews. ARIZ.CONST. Art. 2, §2.1(5). The prosecutor conveys the victim’s response to opposing counsel (the defense attorney). The request may be granted or denied. The discovery can occur, or </w:t>
      </w:r>
      <w:r w:rsidR="00EF69E5">
        <w:rPr>
          <w:rFonts w:ascii="Times New Roman" w:hAnsi="Times New Roman" w:cs="Times New Roman"/>
          <w:sz w:val="28"/>
          <w:szCs w:val="28"/>
        </w:rPr>
        <w:t>the discovery</w:t>
      </w:r>
      <w:r w:rsidR="00E51C68">
        <w:rPr>
          <w:rFonts w:ascii="Times New Roman" w:hAnsi="Times New Roman" w:cs="Times New Roman"/>
          <w:sz w:val="28"/>
          <w:szCs w:val="28"/>
        </w:rPr>
        <w:t xml:space="preserve"> may not occur</w:t>
      </w:r>
      <w:r w:rsidR="007845C3">
        <w:rPr>
          <w:rFonts w:ascii="Times New Roman" w:hAnsi="Times New Roman" w:cs="Times New Roman"/>
          <w:sz w:val="28"/>
          <w:szCs w:val="28"/>
        </w:rPr>
        <w:t xml:space="preserve">, </w:t>
      </w:r>
      <w:r w:rsidR="00E51C68">
        <w:rPr>
          <w:rFonts w:ascii="Times New Roman" w:hAnsi="Times New Roman" w:cs="Times New Roman"/>
          <w:sz w:val="28"/>
          <w:szCs w:val="28"/>
        </w:rPr>
        <w:t xml:space="preserve">at the election of the </w:t>
      </w:r>
      <w:r w:rsidR="00EF69E5">
        <w:rPr>
          <w:rFonts w:ascii="Times New Roman" w:hAnsi="Times New Roman" w:cs="Times New Roman"/>
          <w:sz w:val="28"/>
          <w:szCs w:val="28"/>
        </w:rPr>
        <w:t>v</w:t>
      </w:r>
      <w:r w:rsidR="00E51C68">
        <w:rPr>
          <w:rFonts w:ascii="Times New Roman" w:hAnsi="Times New Roman" w:cs="Times New Roman"/>
          <w:sz w:val="28"/>
          <w:szCs w:val="28"/>
        </w:rPr>
        <w:t>ictim</w:t>
      </w:r>
      <w:r w:rsidR="00EF69E5">
        <w:rPr>
          <w:rFonts w:ascii="Times New Roman" w:hAnsi="Times New Roman" w:cs="Times New Roman"/>
          <w:sz w:val="28"/>
          <w:szCs w:val="28"/>
        </w:rPr>
        <w:t>.</w:t>
      </w:r>
      <w:r w:rsidR="00155FF2">
        <w:rPr>
          <w:rFonts w:ascii="Times New Roman" w:hAnsi="Times New Roman" w:cs="Times New Roman"/>
          <w:sz w:val="28"/>
          <w:szCs w:val="28"/>
        </w:rPr>
        <w:t xml:space="preserve"> </w:t>
      </w:r>
      <w:r w:rsidR="007845C3">
        <w:rPr>
          <w:rFonts w:ascii="Times New Roman" w:hAnsi="Times New Roman" w:cs="Times New Roman"/>
          <w:sz w:val="28"/>
          <w:szCs w:val="28"/>
        </w:rPr>
        <w:t>If refused, d</w:t>
      </w:r>
      <w:r w:rsidR="00155FF2">
        <w:rPr>
          <w:rFonts w:ascii="Times New Roman" w:hAnsi="Times New Roman" w:cs="Times New Roman"/>
          <w:sz w:val="28"/>
          <w:szCs w:val="28"/>
        </w:rPr>
        <w:t xml:space="preserve">efense counsel </w:t>
      </w:r>
      <w:r w:rsidR="00AB5ACA">
        <w:rPr>
          <w:rFonts w:ascii="Times New Roman" w:hAnsi="Times New Roman" w:cs="Times New Roman"/>
          <w:sz w:val="28"/>
          <w:szCs w:val="28"/>
        </w:rPr>
        <w:t xml:space="preserve">still </w:t>
      </w:r>
      <w:r w:rsidR="00155FF2">
        <w:rPr>
          <w:rFonts w:ascii="Times New Roman" w:hAnsi="Times New Roman" w:cs="Times New Roman"/>
          <w:sz w:val="28"/>
          <w:szCs w:val="28"/>
        </w:rPr>
        <w:t xml:space="preserve">retains the right to seek </w:t>
      </w:r>
      <w:r w:rsidR="00AB5ACA">
        <w:rPr>
          <w:rFonts w:ascii="Times New Roman" w:hAnsi="Times New Roman" w:cs="Times New Roman"/>
          <w:sz w:val="28"/>
          <w:szCs w:val="28"/>
        </w:rPr>
        <w:t xml:space="preserve">(by motion) </w:t>
      </w:r>
      <w:r w:rsidR="00155FF2">
        <w:rPr>
          <w:rFonts w:ascii="Times New Roman" w:hAnsi="Times New Roman" w:cs="Times New Roman"/>
          <w:sz w:val="28"/>
          <w:szCs w:val="28"/>
        </w:rPr>
        <w:t xml:space="preserve">a discovery order under Rule 15.3(a)(2), </w:t>
      </w:r>
      <w:proofErr w:type="spellStart"/>
      <w:r w:rsidR="00155FF2">
        <w:rPr>
          <w:rFonts w:ascii="Times New Roman" w:hAnsi="Times New Roman" w:cs="Times New Roman"/>
          <w:sz w:val="28"/>
          <w:szCs w:val="28"/>
        </w:rPr>
        <w:t>ARCrP</w:t>
      </w:r>
      <w:proofErr w:type="spellEnd"/>
      <w:r w:rsidR="00155FF2">
        <w:rPr>
          <w:rFonts w:ascii="Times New Roman" w:hAnsi="Times New Roman" w:cs="Times New Roman"/>
          <w:sz w:val="28"/>
          <w:szCs w:val="28"/>
        </w:rPr>
        <w:t>.</w:t>
      </w:r>
    </w:p>
    <w:p w14:paraId="47E0A5F8" w14:textId="3A8B6619" w:rsidR="00155FF2" w:rsidRPr="007845C3" w:rsidRDefault="00155FF2" w:rsidP="00155FF2">
      <w:pPr>
        <w:pStyle w:val="ListParagraph"/>
        <w:numPr>
          <w:ilvl w:val="0"/>
          <w:numId w:val="1"/>
        </w:numPr>
        <w:spacing w:after="0" w:line="240" w:lineRule="auto"/>
        <w:jc w:val="both"/>
        <w:rPr>
          <w:rFonts w:ascii="Times New Roman" w:hAnsi="Times New Roman" w:cs="Times New Roman"/>
          <w:b/>
          <w:bCs/>
          <w:i/>
          <w:iCs/>
          <w:sz w:val="28"/>
          <w:szCs w:val="28"/>
        </w:rPr>
      </w:pPr>
      <w:r w:rsidRPr="007845C3">
        <w:rPr>
          <w:rFonts w:ascii="Times New Roman" w:hAnsi="Times New Roman" w:cs="Times New Roman"/>
          <w:b/>
          <w:bCs/>
          <w:i/>
          <w:iCs/>
          <w:sz w:val="28"/>
          <w:szCs w:val="28"/>
        </w:rPr>
        <w:lastRenderedPageBreak/>
        <w:t xml:space="preserve">Arizona Attorneys for Criminal Justice v. </w:t>
      </w:r>
      <w:proofErr w:type="spellStart"/>
      <w:r w:rsidRPr="007845C3">
        <w:rPr>
          <w:rFonts w:ascii="Times New Roman" w:hAnsi="Times New Roman" w:cs="Times New Roman"/>
          <w:b/>
          <w:bCs/>
          <w:i/>
          <w:iCs/>
          <w:sz w:val="28"/>
          <w:szCs w:val="28"/>
        </w:rPr>
        <w:t>Ducey</w:t>
      </w:r>
      <w:proofErr w:type="spellEnd"/>
      <w:r w:rsidRPr="007845C3">
        <w:rPr>
          <w:rFonts w:ascii="Times New Roman" w:hAnsi="Times New Roman" w:cs="Times New Roman"/>
          <w:b/>
          <w:bCs/>
          <w:i/>
          <w:iCs/>
          <w:sz w:val="28"/>
          <w:szCs w:val="28"/>
        </w:rPr>
        <w:t xml:space="preserve"> is not dispositive. Rather, it is, at best, inconsequential to the Petition at hand.</w:t>
      </w:r>
    </w:p>
    <w:p w14:paraId="10D8AC3F" w14:textId="77777777" w:rsidR="00155FF2" w:rsidRPr="00155FF2" w:rsidRDefault="00155FF2" w:rsidP="00155FF2">
      <w:pPr>
        <w:pStyle w:val="ListParagraph"/>
        <w:spacing w:after="0" w:line="240" w:lineRule="auto"/>
        <w:ind w:left="360"/>
        <w:jc w:val="both"/>
        <w:rPr>
          <w:rFonts w:ascii="Times New Roman" w:hAnsi="Times New Roman" w:cs="Times New Roman"/>
          <w:i/>
          <w:iCs/>
          <w:sz w:val="28"/>
          <w:szCs w:val="28"/>
        </w:rPr>
      </w:pPr>
    </w:p>
    <w:p w14:paraId="6B9AE78F" w14:textId="6F2BECB7" w:rsidR="004F25FB" w:rsidRDefault="00EF69E5" w:rsidP="00786E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Petitioners have attained a </w:t>
      </w:r>
      <w:r w:rsidR="007845C3">
        <w:rPr>
          <w:rFonts w:ascii="Times New Roman" w:hAnsi="Times New Roman" w:cs="Times New Roman"/>
          <w:sz w:val="28"/>
          <w:szCs w:val="28"/>
        </w:rPr>
        <w:t xml:space="preserve">federal </w:t>
      </w:r>
      <w:r>
        <w:rPr>
          <w:rFonts w:ascii="Times New Roman" w:hAnsi="Times New Roman" w:cs="Times New Roman"/>
          <w:sz w:val="28"/>
          <w:szCs w:val="28"/>
        </w:rPr>
        <w:t>trial court decision from the District Court of Arizona</w:t>
      </w:r>
      <w:r w:rsidR="004F25FB">
        <w:rPr>
          <w:rFonts w:ascii="Times New Roman" w:hAnsi="Times New Roman" w:cs="Times New Roman"/>
          <w:sz w:val="28"/>
          <w:szCs w:val="28"/>
        </w:rPr>
        <w:t>.</w:t>
      </w:r>
      <w:r>
        <w:rPr>
          <w:rFonts w:ascii="Times New Roman" w:hAnsi="Times New Roman" w:cs="Times New Roman"/>
          <w:sz w:val="28"/>
          <w:szCs w:val="28"/>
        </w:rPr>
        <w:t xml:space="preserve"> </w:t>
      </w:r>
      <w:r w:rsidR="004F25FB">
        <w:rPr>
          <w:rFonts w:ascii="Times New Roman" w:hAnsi="Times New Roman" w:cs="Times New Roman"/>
          <w:sz w:val="28"/>
          <w:szCs w:val="28"/>
        </w:rPr>
        <w:t>[</w:t>
      </w:r>
      <w:r w:rsidR="004F25FB">
        <w:rPr>
          <w:rFonts w:ascii="Times New Roman" w:hAnsi="Times New Roman" w:cs="Times New Roman"/>
          <w:i/>
          <w:iCs/>
          <w:sz w:val="28"/>
          <w:szCs w:val="28"/>
        </w:rPr>
        <w:t xml:space="preserve">Arizona Attorneys for Criminal Justice v. Doug </w:t>
      </w:r>
      <w:proofErr w:type="spellStart"/>
      <w:r w:rsidR="004F25FB" w:rsidRPr="004F25FB">
        <w:rPr>
          <w:rFonts w:ascii="Times New Roman" w:hAnsi="Times New Roman" w:cs="Times New Roman"/>
          <w:i/>
          <w:iCs/>
          <w:sz w:val="28"/>
          <w:szCs w:val="28"/>
        </w:rPr>
        <w:t>Ducey</w:t>
      </w:r>
      <w:proofErr w:type="spellEnd"/>
      <w:r w:rsidR="004F25FB" w:rsidRPr="004F25FB">
        <w:rPr>
          <w:rFonts w:ascii="Times New Roman" w:hAnsi="Times New Roman" w:cs="Times New Roman"/>
          <w:sz w:val="28"/>
          <w:szCs w:val="28"/>
        </w:rPr>
        <w:t>, CV-17-01422-PHX-SPL, Doc. #269, p.12, November 2, 2022</w:t>
      </w:r>
      <w:r w:rsidR="004F25FB">
        <w:rPr>
          <w:rFonts w:ascii="Times New Roman" w:hAnsi="Times New Roman" w:cs="Times New Roman"/>
          <w:sz w:val="28"/>
          <w:szCs w:val="28"/>
        </w:rPr>
        <w:t xml:space="preserve">]. </w:t>
      </w:r>
      <w:r w:rsidR="006A02D4">
        <w:rPr>
          <w:rFonts w:ascii="Times New Roman" w:hAnsi="Times New Roman" w:cs="Times New Roman"/>
          <w:sz w:val="28"/>
          <w:szCs w:val="28"/>
        </w:rPr>
        <w:t xml:space="preserve">The decision does not abrogate the Rule. </w:t>
      </w:r>
      <w:r w:rsidR="004F25FB">
        <w:rPr>
          <w:rFonts w:ascii="Times New Roman" w:hAnsi="Times New Roman" w:cs="Times New Roman"/>
          <w:sz w:val="28"/>
          <w:szCs w:val="28"/>
        </w:rPr>
        <w:t>Th</w:t>
      </w:r>
      <w:r w:rsidR="00155FF2">
        <w:rPr>
          <w:rFonts w:ascii="Times New Roman" w:hAnsi="Times New Roman" w:cs="Times New Roman"/>
          <w:sz w:val="28"/>
          <w:szCs w:val="28"/>
        </w:rPr>
        <w:t>is</w:t>
      </w:r>
      <w:r w:rsidR="004F25FB">
        <w:rPr>
          <w:rFonts w:ascii="Times New Roman" w:hAnsi="Times New Roman" w:cs="Times New Roman"/>
          <w:sz w:val="28"/>
          <w:szCs w:val="28"/>
        </w:rPr>
        <w:t xml:space="preserve"> §1983 </w:t>
      </w:r>
      <w:r w:rsidR="007845C3">
        <w:rPr>
          <w:rFonts w:ascii="Times New Roman" w:hAnsi="Times New Roman" w:cs="Times New Roman"/>
          <w:sz w:val="28"/>
          <w:szCs w:val="28"/>
        </w:rPr>
        <w:t>action</w:t>
      </w:r>
      <w:r>
        <w:rPr>
          <w:rFonts w:ascii="Times New Roman" w:hAnsi="Times New Roman" w:cs="Times New Roman"/>
          <w:sz w:val="28"/>
          <w:szCs w:val="28"/>
        </w:rPr>
        <w:t xml:space="preserve"> narrowly adjudicated the defense counsels’</w:t>
      </w:r>
      <w:r w:rsidR="00E637F8">
        <w:rPr>
          <w:rFonts w:ascii="Times New Roman" w:hAnsi="Times New Roman" w:cs="Times New Roman"/>
          <w:sz w:val="28"/>
          <w:szCs w:val="28"/>
        </w:rPr>
        <w:t xml:space="preserve"> personal</w:t>
      </w:r>
      <w:r>
        <w:rPr>
          <w:rFonts w:ascii="Times New Roman" w:hAnsi="Times New Roman" w:cs="Times New Roman"/>
          <w:sz w:val="28"/>
          <w:szCs w:val="28"/>
        </w:rPr>
        <w:t xml:space="preserve"> right to free speech under Article 1 of the Federal Constitution’s Bill of Rights. </w:t>
      </w:r>
      <w:r w:rsidR="00AB5ACA">
        <w:rPr>
          <w:rFonts w:ascii="Times New Roman" w:hAnsi="Times New Roman" w:cs="Times New Roman"/>
          <w:sz w:val="28"/>
          <w:szCs w:val="28"/>
        </w:rPr>
        <w:t xml:space="preserve">The decision is on appeal. </w:t>
      </w:r>
      <w:r>
        <w:rPr>
          <w:rFonts w:ascii="Times New Roman" w:hAnsi="Times New Roman" w:cs="Times New Roman"/>
          <w:sz w:val="28"/>
          <w:szCs w:val="28"/>
        </w:rPr>
        <w:t xml:space="preserve">No victim was named or appeared as a defendant to vindicate rights under Art. 2.1 of the Arizona Constitution. And no </w:t>
      </w:r>
      <w:proofErr w:type="gramStart"/>
      <w:r>
        <w:rPr>
          <w:rFonts w:ascii="Times New Roman" w:hAnsi="Times New Roman" w:cs="Times New Roman"/>
          <w:sz w:val="28"/>
          <w:szCs w:val="28"/>
        </w:rPr>
        <w:t>particular defendant</w:t>
      </w:r>
      <w:proofErr w:type="gramEnd"/>
      <w:r>
        <w:rPr>
          <w:rFonts w:ascii="Times New Roman" w:hAnsi="Times New Roman" w:cs="Times New Roman"/>
          <w:sz w:val="28"/>
          <w:szCs w:val="28"/>
        </w:rPr>
        <w:t xml:space="preserve"> was named </w:t>
      </w:r>
      <w:r w:rsidR="002B0D65">
        <w:rPr>
          <w:rFonts w:ascii="Times New Roman" w:hAnsi="Times New Roman" w:cs="Times New Roman"/>
          <w:sz w:val="28"/>
          <w:szCs w:val="28"/>
        </w:rPr>
        <w:t xml:space="preserve">or appeared </w:t>
      </w:r>
      <w:r>
        <w:rPr>
          <w:rFonts w:ascii="Times New Roman" w:hAnsi="Times New Roman" w:cs="Times New Roman"/>
          <w:sz w:val="28"/>
          <w:szCs w:val="28"/>
        </w:rPr>
        <w:t xml:space="preserve">as a plaintiff to allege obstruction of federal or state constitutional rights to confrontation (the Confrontation Clause), or </w:t>
      </w:r>
      <w:r w:rsidR="007845C3">
        <w:rPr>
          <w:rFonts w:ascii="Times New Roman" w:hAnsi="Times New Roman" w:cs="Times New Roman"/>
          <w:sz w:val="28"/>
          <w:szCs w:val="28"/>
        </w:rPr>
        <w:t xml:space="preserve">to secure </w:t>
      </w:r>
      <w:r>
        <w:rPr>
          <w:rFonts w:ascii="Times New Roman" w:hAnsi="Times New Roman" w:cs="Times New Roman"/>
          <w:sz w:val="28"/>
          <w:szCs w:val="28"/>
        </w:rPr>
        <w:t xml:space="preserve">the </w:t>
      </w:r>
      <w:r w:rsidR="00E637F8">
        <w:rPr>
          <w:rFonts w:ascii="Times New Roman" w:hAnsi="Times New Roman" w:cs="Times New Roman"/>
          <w:sz w:val="28"/>
          <w:szCs w:val="28"/>
        </w:rPr>
        <w:t xml:space="preserve">balance of </w:t>
      </w:r>
      <w:r>
        <w:rPr>
          <w:rFonts w:ascii="Times New Roman" w:hAnsi="Times New Roman" w:cs="Times New Roman"/>
          <w:sz w:val="28"/>
          <w:szCs w:val="28"/>
        </w:rPr>
        <w:t>right</w:t>
      </w:r>
      <w:r w:rsidR="00E637F8">
        <w:rPr>
          <w:rFonts w:ascii="Times New Roman" w:hAnsi="Times New Roman" w:cs="Times New Roman"/>
          <w:sz w:val="28"/>
          <w:szCs w:val="28"/>
        </w:rPr>
        <w:t>s</w:t>
      </w:r>
      <w:r>
        <w:rPr>
          <w:rFonts w:ascii="Times New Roman" w:hAnsi="Times New Roman" w:cs="Times New Roman"/>
          <w:sz w:val="28"/>
          <w:szCs w:val="28"/>
        </w:rPr>
        <w:t xml:space="preserve"> to present a </w:t>
      </w:r>
      <w:r w:rsidR="004F25FB">
        <w:rPr>
          <w:rFonts w:ascii="Times New Roman" w:hAnsi="Times New Roman" w:cs="Times New Roman"/>
          <w:sz w:val="28"/>
          <w:szCs w:val="28"/>
        </w:rPr>
        <w:t xml:space="preserve">fair </w:t>
      </w:r>
      <w:r>
        <w:rPr>
          <w:rFonts w:ascii="Times New Roman" w:hAnsi="Times New Roman" w:cs="Times New Roman"/>
          <w:sz w:val="28"/>
          <w:szCs w:val="28"/>
        </w:rPr>
        <w:t xml:space="preserve">defense </w:t>
      </w:r>
      <w:r w:rsidR="00E637F8">
        <w:rPr>
          <w:rFonts w:ascii="Times New Roman" w:hAnsi="Times New Roman" w:cs="Times New Roman"/>
          <w:sz w:val="28"/>
          <w:szCs w:val="28"/>
        </w:rPr>
        <w:t>under the Sixth Amendment to the U.S. Constitution, as made applicable to the States through the 14</w:t>
      </w:r>
      <w:r w:rsidR="00E637F8" w:rsidRPr="00E637F8">
        <w:rPr>
          <w:rFonts w:ascii="Times New Roman" w:hAnsi="Times New Roman" w:cs="Times New Roman"/>
          <w:sz w:val="28"/>
          <w:szCs w:val="28"/>
          <w:vertAlign w:val="superscript"/>
        </w:rPr>
        <w:t>th</w:t>
      </w:r>
      <w:r w:rsidR="00E637F8">
        <w:rPr>
          <w:rFonts w:ascii="Times New Roman" w:hAnsi="Times New Roman" w:cs="Times New Roman"/>
          <w:sz w:val="28"/>
          <w:szCs w:val="28"/>
        </w:rPr>
        <w:t xml:space="preserve"> Amendment and brought as suit under 42 U.S.C. §1983. </w:t>
      </w:r>
    </w:p>
    <w:p w14:paraId="5043C793" w14:textId="3B842313" w:rsidR="002B0D65" w:rsidRDefault="00155FF2" w:rsidP="007845C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2B0D65">
        <w:rPr>
          <w:rFonts w:ascii="Times New Roman" w:hAnsi="Times New Roman" w:cs="Times New Roman"/>
          <w:sz w:val="28"/>
          <w:szCs w:val="28"/>
        </w:rPr>
        <w:t xml:space="preserve">he </w:t>
      </w:r>
      <w:r>
        <w:rPr>
          <w:rFonts w:ascii="Times New Roman" w:hAnsi="Times New Roman" w:cs="Times New Roman"/>
          <w:sz w:val="28"/>
          <w:szCs w:val="28"/>
        </w:rPr>
        <w:t xml:space="preserve">U.S. </w:t>
      </w:r>
      <w:r w:rsidR="002B0D65">
        <w:rPr>
          <w:rFonts w:ascii="Times New Roman" w:hAnsi="Times New Roman" w:cs="Times New Roman"/>
          <w:sz w:val="28"/>
          <w:szCs w:val="28"/>
        </w:rPr>
        <w:t>District Court acknowledged th</w:t>
      </w:r>
      <w:r w:rsidR="004F25FB">
        <w:rPr>
          <w:rFonts w:ascii="Times New Roman" w:hAnsi="Times New Roman" w:cs="Times New Roman"/>
          <w:sz w:val="28"/>
          <w:szCs w:val="28"/>
        </w:rPr>
        <w:t>is</w:t>
      </w:r>
      <w:r w:rsidR="002B0D65">
        <w:rPr>
          <w:rFonts w:ascii="Times New Roman" w:hAnsi="Times New Roman" w:cs="Times New Roman"/>
          <w:sz w:val="28"/>
          <w:szCs w:val="28"/>
        </w:rPr>
        <w:t xml:space="preserve"> </w:t>
      </w:r>
      <w:r>
        <w:rPr>
          <w:rFonts w:ascii="Times New Roman" w:hAnsi="Times New Roman" w:cs="Times New Roman"/>
          <w:sz w:val="28"/>
          <w:szCs w:val="28"/>
        </w:rPr>
        <w:t xml:space="preserve">critical </w:t>
      </w:r>
      <w:r w:rsidR="002B0D65">
        <w:rPr>
          <w:rFonts w:ascii="Times New Roman" w:hAnsi="Times New Roman" w:cs="Times New Roman"/>
          <w:sz w:val="28"/>
          <w:szCs w:val="28"/>
        </w:rPr>
        <w:t xml:space="preserve">distinction in footnote 5 to Paragraph 39 of the Findings </w:t>
      </w:r>
      <w:r w:rsidR="004F25FB">
        <w:rPr>
          <w:rFonts w:ascii="Times New Roman" w:hAnsi="Times New Roman" w:cs="Times New Roman"/>
          <w:sz w:val="28"/>
          <w:szCs w:val="28"/>
        </w:rPr>
        <w:t>of Fact and Conclusions of Law</w:t>
      </w:r>
      <w:r w:rsidR="002B0D65">
        <w:rPr>
          <w:rFonts w:ascii="Times New Roman" w:hAnsi="Times New Roman" w:cs="Times New Roman"/>
          <w:sz w:val="28"/>
          <w:szCs w:val="28"/>
        </w:rPr>
        <w:t>:</w:t>
      </w:r>
    </w:p>
    <w:p w14:paraId="02D3345B" w14:textId="6156F0AD" w:rsidR="002B0D65" w:rsidRDefault="002B0D65" w:rsidP="002B0D65">
      <w:pPr>
        <w:spacing w:after="0" w:line="240" w:lineRule="auto"/>
        <w:ind w:left="720" w:right="720"/>
        <w:jc w:val="both"/>
        <w:rPr>
          <w:rFonts w:ascii="Times New Roman" w:hAnsi="Times New Roman" w:cs="Times New Roman"/>
          <w:sz w:val="28"/>
          <w:szCs w:val="28"/>
        </w:rPr>
      </w:pPr>
      <w:r>
        <w:rPr>
          <w:rFonts w:ascii="Times New Roman" w:hAnsi="Times New Roman" w:cs="Times New Roman"/>
          <w:sz w:val="28"/>
          <w:szCs w:val="28"/>
        </w:rPr>
        <w:t xml:space="preserve">“To the extent that Plaintiffs argue that the statute hinders their ability to effectively represent their clients by limiting their ability to investigate facts, circumstances, mitigation evidence and the like…, the Court finds that these issues go not to Plaintiff’s First Amendment rights but rather to their clients’ Sixth Amendment rights, which are not at issue here”. </w:t>
      </w:r>
      <w:r w:rsidR="004F25FB">
        <w:rPr>
          <w:rFonts w:ascii="Times New Roman" w:hAnsi="Times New Roman" w:cs="Times New Roman"/>
          <w:i/>
          <w:iCs/>
          <w:sz w:val="28"/>
          <w:szCs w:val="28"/>
        </w:rPr>
        <w:t xml:space="preserve">Arizona Attorneys for Criminal Justice, et al., v Doug </w:t>
      </w:r>
      <w:proofErr w:type="spellStart"/>
      <w:r w:rsidR="004F25FB">
        <w:rPr>
          <w:rFonts w:ascii="Times New Roman" w:hAnsi="Times New Roman" w:cs="Times New Roman"/>
          <w:i/>
          <w:iCs/>
          <w:sz w:val="28"/>
          <w:szCs w:val="28"/>
        </w:rPr>
        <w:t>Ducey</w:t>
      </w:r>
      <w:proofErr w:type="spellEnd"/>
      <w:r w:rsidR="00771456">
        <w:rPr>
          <w:rFonts w:ascii="Times New Roman" w:hAnsi="Times New Roman" w:cs="Times New Roman"/>
          <w:i/>
          <w:iCs/>
          <w:sz w:val="28"/>
          <w:szCs w:val="28"/>
        </w:rPr>
        <w:t xml:space="preserve">, </w:t>
      </w:r>
      <w:r w:rsidR="00771456">
        <w:rPr>
          <w:rFonts w:ascii="Times New Roman" w:hAnsi="Times New Roman" w:cs="Times New Roman"/>
          <w:sz w:val="28"/>
          <w:szCs w:val="28"/>
        </w:rPr>
        <w:t>(Id.,).</w:t>
      </w:r>
    </w:p>
    <w:p w14:paraId="07F52AC1" w14:textId="6375D154" w:rsidR="00771456" w:rsidRDefault="00771456" w:rsidP="002B0D65">
      <w:pPr>
        <w:spacing w:after="0" w:line="240" w:lineRule="auto"/>
        <w:ind w:left="720" w:right="720"/>
        <w:jc w:val="both"/>
        <w:rPr>
          <w:rFonts w:ascii="Times New Roman" w:hAnsi="Times New Roman" w:cs="Times New Roman"/>
          <w:sz w:val="28"/>
          <w:szCs w:val="28"/>
        </w:rPr>
      </w:pPr>
    </w:p>
    <w:p w14:paraId="39EC6B97" w14:textId="5C7CDE79" w:rsidR="00771456" w:rsidRDefault="00771456" w:rsidP="00771456">
      <w:pPr>
        <w:spacing w:after="0" w:line="240" w:lineRule="auto"/>
        <w:ind w:left="720" w:right="720"/>
        <w:jc w:val="center"/>
        <w:rPr>
          <w:rFonts w:ascii="Times New Roman" w:hAnsi="Times New Roman" w:cs="Times New Roman"/>
          <w:sz w:val="28"/>
          <w:szCs w:val="28"/>
        </w:rPr>
      </w:pPr>
      <w:r>
        <w:rPr>
          <w:rFonts w:ascii="Times New Roman" w:hAnsi="Times New Roman" w:cs="Times New Roman"/>
          <w:sz w:val="28"/>
          <w:szCs w:val="28"/>
        </w:rPr>
        <w:t>And:</w:t>
      </w:r>
    </w:p>
    <w:p w14:paraId="3D6FB37B" w14:textId="01454244" w:rsidR="00771456" w:rsidRDefault="00771456" w:rsidP="00771456">
      <w:pPr>
        <w:spacing w:after="0" w:line="240" w:lineRule="auto"/>
        <w:ind w:left="720" w:right="720"/>
        <w:jc w:val="center"/>
        <w:rPr>
          <w:rFonts w:ascii="Times New Roman" w:hAnsi="Times New Roman" w:cs="Times New Roman"/>
          <w:sz w:val="28"/>
          <w:szCs w:val="28"/>
        </w:rPr>
      </w:pPr>
    </w:p>
    <w:p w14:paraId="590BD03E" w14:textId="409021AD" w:rsidR="00771456" w:rsidRPr="00771456" w:rsidRDefault="00771456" w:rsidP="00771456">
      <w:pPr>
        <w:spacing w:after="0" w:line="240" w:lineRule="auto"/>
        <w:ind w:left="720" w:right="720"/>
        <w:jc w:val="both"/>
        <w:rPr>
          <w:rFonts w:ascii="Times New Roman" w:hAnsi="Times New Roman" w:cs="Times New Roman"/>
          <w:sz w:val="28"/>
          <w:szCs w:val="28"/>
        </w:rPr>
      </w:pPr>
      <w:r>
        <w:rPr>
          <w:rFonts w:ascii="Times New Roman" w:hAnsi="Times New Roman" w:cs="Times New Roman"/>
          <w:sz w:val="28"/>
          <w:szCs w:val="28"/>
        </w:rPr>
        <w:t>“[n]</w:t>
      </w:r>
      <w:proofErr w:type="spellStart"/>
      <w:r>
        <w:rPr>
          <w:rFonts w:ascii="Times New Roman" w:hAnsi="Times New Roman" w:cs="Times New Roman"/>
          <w:sz w:val="28"/>
          <w:szCs w:val="28"/>
        </w:rPr>
        <w:t>othing</w:t>
      </w:r>
      <w:proofErr w:type="spellEnd"/>
      <w:r>
        <w:rPr>
          <w:rFonts w:ascii="Times New Roman" w:hAnsi="Times New Roman" w:cs="Times New Roman"/>
          <w:sz w:val="28"/>
          <w:szCs w:val="28"/>
        </w:rPr>
        <w:t xml:space="preserve"> in this Order shall be construed to enjoin enforcement of any other provision of Arizona law, including a crime victim’s right to refuse an interview, deposition or other discovery request pursuant to Article II, §2.1(A)(5) of the Arizona Constitution and the requirements under Arizona Rules of Criminal Procedure 39(b)(12) that the </w:t>
      </w:r>
      <w:r w:rsidR="008B47C9">
        <w:rPr>
          <w:rFonts w:ascii="Times New Roman" w:hAnsi="Times New Roman" w:cs="Times New Roman"/>
          <w:sz w:val="28"/>
          <w:szCs w:val="28"/>
        </w:rPr>
        <w:t>d</w:t>
      </w:r>
      <w:r>
        <w:rPr>
          <w:rFonts w:ascii="Times New Roman" w:hAnsi="Times New Roman" w:cs="Times New Roman"/>
          <w:sz w:val="28"/>
          <w:szCs w:val="28"/>
        </w:rPr>
        <w:t>efense must communicate a request to interview a victim to the prosecutor rather than the victim.”</w:t>
      </w:r>
    </w:p>
    <w:p w14:paraId="31E1E6A7" w14:textId="77777777" w:rsidR="00771456" w:rsidRDefault="00771456" w:rsidP="004F25FB">
      <w:pPr>
        <w:spacing w:after="0" w:line="480" w:lineRule="auto"/>
        <w:ind w:right="720"/>
        <w:jc w:val="both"/>
        <w:rPr>
          <w:rFonts w:ascii="Times New Roman" w:hAnsi="Times New Roman" w:cs="Times New Roman"/>
          <w:sz w:val="28"/>
          <w:szCs w:val="28"/>
        </w:rPr>
      </w:pPr>
    </w:p>
    <w:p w14:paraId="2D203990" w14:textId="5426B4E1" w:rsidR="00E637F8" w:rsidRDefault="00E637F8" w:rsidP="00786EB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personal speech rights of defense counsel are not pivotal</w:t>
      </w:r>
      <w:r w:rsidR="006A02D4">
        <w:rPr>
          <w:rFonts w:ascii="Times New Roman" w:hAnsi="Times New Roman" w:cs="Times New Roman"/>
          <w:sz w:val="28"/>
          <w:szCs w:val="28"/>
        </w:rPr>
        <w:t>,</w:t>
      </w:r>
      <w:r w:rsidR="008B47C9">
        <w:rPr>
          <w:rFonts w:ascii="Times New Roman" w:hAnsi="Times New Roman" w:cs="Times New Roman"/>
          <w:sz w:val="28"/>
          <w:szCs w:val="28"/>
        </w:rPr>
        <w:t xml:space="preserve"> implicated</w:t>
      </w:r>
      <w:r w:rsidR="006A02D4">
        <w:rPr>
          <w:rFonts w:ascii="Times New Roman" w:hAnsi="Times New Roman" w:cs="Times New Roman"/>
          <w:sz w:val="28"/>
          <w:szCs w:val="28"/>
        </w:rPr>
        <w:t>, or consequential</w:t>
      </w:r>
      <w:r>
        <w:rPr>
          <w:rFonts w:ascii="Times New Roman" w:hAnsi="Times New Roman" w:cs="Times New Roman"/>
          <w:sz w:val="28"/>
          <w:szCs w:val="28"/>
        </w:rPr>
        <w:t xml:space="preserve"> when it comes to regulating pretrial criminal discovery procedures. </w:t>
      </w:r>
    </w:p>
    <w:p w14:paraId="179CEEF6" w14:textId="6EAAD7F4" w:rsidR="00EF69E5" w:rsidRDefault="00E637F8" w:rsidP="00E637F8">
      <w:pPr>
        <w:spacing w:after="0" w:line="240" w:lineRule="auto"/>
        <w:ind w:left="720" w:right="720"/>
        <w:jc w:val="both"/>
        <w:rPr>
          <w:rFonts w:ascii="Times New Roman" w:hAnsi="Times New Roman" w:cs="Times New Roman"/>
          <w:sz w:val="28"/>
          <w:szCs w:val="28"/>
        </w:rPr>
      </w:pPr>
      <w:r>
        <w:rPr>
          <w:rFonts w:ascii="Times New Roman" w:hAnsi="Times New Roman" w:cs="Times New Roman"/>
          <w:sz w:val="28"/>
          <w:szCs w:val="28"/>
        </w:rPr>
        <w:t xml:space="preserve">“The federal constitution gives the defense no greater right to discovery than exists under state law”. </w:t>
      </w:r>
      <w:r>
        <w:rPr>
          <w:rFonts w:ascii="Times New Roman" w:hAnsi="Times New Roman" w:cs="Times New Roman"/>
          <w:i/>
          <w:iCs/>
          <w:sz w:val="28"/>
          <w:szCs w:val="28"/>
        </w:rPr>
        <w:t xml:space="preserve">State ex rel. </w:t>
      </w:r>
      <w:proofErr w:type="spellStart"/>
      <w:r>
        <w:rPr>
          <w:rFonts w:ascii="Times New Roman" w:hAnsi="Times New Roman" w:cs="Times New Roman"/>
          <w:i/>
          <w:iCs/>
          <w:sz w:val="28"/>
          <w:szCs w:val="28"/>
        </w:rPr>
        <w:t>Romley</w:t>
      </w:r>
      <w:proofErr w:type="spellEnd"/>
      <w:r>
        <w:rPr>
          <w:rFonts w:ascii="Times New Roman" w:hAnsi="Times New Roman" w:cs="Times New Roman"/>
          <w:i/>
          <w:iCs/>
          <w:sz w:val="28"/>
          <w:szCs w:val="28"/>
        </w:rPr>
        <w:t xml:space="preserve"> v. Superior Court in and for the County of Maricopa, </w:t>
      </w:r>
      <w:r>
        <w:rPr>
          <w:rFonts w:ascii="Times New Roman" w:hAnsi="Times New Roman" w:cs="Times New Roman"/>
          <w:sz w:val="28"/>
          <w:szCs w:val="28"/>
        </w:rPr>
        <w:t xml:space="preserve">172 Ariz. 232, 236, </w:t>
      </w:r>
      <w:r w:rsidR="002B0D65">
        <w:rPr>
          <w:rFonts w:ascii="Times New Roman" w:hAnsi="Times New Roman" w:cs="Times New Roman"/>
          <w:sz w:val="28"/>
          <w:szCs w:val="28"/>
        </w:rPr>
        <w:t>836 P.2d 445, 449 (1992) (rev.</w:t>
      </w:r>
      <w:r w:rsidR="00E960A5">
        <w:rPr>
          <w:rFonts w:ascii="Times New Roman" w:hAnsi="Times New Roman" w:cs="Times New Roman"/>
          <w:sz w:val="28"/>
          <w:szCs w:val="28"/>
        </w:rPr>
        <w:t xml:space="preserve"> </w:t>
      </w:r>
      <w:r w:rsidR="002B0D65">
        <w:rPr>
          <w:rFonts w:ascii="Times New Roman" w:hAnsi="Times New Roman" w:cs="Times New Roman"/>
          <w:sz w:val="28"/>
          <w:szCs w:val="28"/>
        </w:rPr>
        <w:t>denied September 22, 1992).</w:t>
      </w:r>
    </w:p>
    <w:p w14:paraId="0A21B432" w14:textId="4A0A8AA0" w:rsidR="002E6DE1" w:rsidRDefault="002E6DE1" w:rsidP="00E637F8">
      <w:pPr>
        <w:spacing w:after="0" w:line="240" w:lineRule="auto"/>
        <w:ind w:left="720" w:right="720"/>
        <w:jc w:val="both"/>
        <w:rPr>
          <w:rFonts w:ascii="Times New Roman" w:hAnsi="Times New Roman" w:cs="Times New Roman"/>
          <w:sz w:val="28"/>
          <w:szCs w:val="28"/>
        </w:rPr>
      </w:pPr>
    </w:p>
    <w:p w14:paraId="1174F944" w14:textId="2B2BAFE4" w:rsidR="002E6DE1" w:rsidRDefault="002E6DE1" w:rsidP="002E6DE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w:t>
      </w:r>
      <w:proofErr w:type="spellStart"/>
      <w:r>
        <w:rPr>
          <w:rFonts w:ascii="Times New Roman" w:hAnsi="Times New Roman" w:cs="Times New Roman"/>
          <w:i/>
          <w:iCs/>
          <w:sz w:val="28"/>
          <w:szCs w:val="28"/>
        </w:rPr>
        <w:t>Romley</w:t>
      </w:r>
      <w:proofErr w:type="spellEnd"/>
      <w:r>
        <w:rPr>
          <w:rFonts w:ascii="Times New Roman" w:hAnsi="Times New Roman" w:cs="Times New Roman"/>
          <w:sz w:val="28"/>
          <w:szCs w:val="28"/>
        </w:rPr>
        <w:t xml:space="preserve"> decision does elaborate on resolving conflicts between State and Federal Constitutional provisions and those instances when an Arizona Victim’s </w:t>
      </w:r>
      <w:r w:rsidR="008B47C9">
        <w:rPr>
          <w:rFonts w:ascii="Times New Roman" w:hAnsi="Times New Roman" w:cs="Times New Roman"/>
          <w:sz w:val="28"/>
          <w:szCs w:val="28"/>
        </w:rPr>
        <w:t xml:space="preserve">Constitutional </w:t>
      </w:r>
      <w:r>
        <w:rPr>
          <w:rFonts w:ascii="Times New Roman" w:hAnsi="Times New Roman" w:cs="Times New Roman"/>
          <w:sz w:val="28"/>
          <w:szCs w:val="28"/>
        </w:rPr>
        <w:t xml:space="preserve">Rights </w:t>
      </w:r>
      <w:r w:rsidR="008B47C9">
        <w:rPr>
          <w:rFonts w:ascii="Times New Roman" w:hAnsi="Times New Roman" w:cs="Times New Roman"/>
          <w:sz w:val="28"/>
          <w:szCs w:val="28"/>
        </w:rPr>
        <w:t xml:space="preserve">encounter </w:t>
      </w:r>
      <w:r>
        <w:rPr>
          <w:rFonts w:ascii="Times New Roman" w:hAnsi="Times New Roman" w:cs="Times New Roman"/>
          <w:sz w:val="28"/>
          <w:szCs w:val="28"/>
        </w:rPr>
        <w:t>a</w:t>
      </w:r>
      <w:r w:rsidR="006A02D4">
        <w:rPr>
          <w:rFonts w:ascii="Times New Roman" w:hAnsi="Times New Roman" w:cs="Times New Roman"/>
          <w:sz w:val="28"/>
          <w:szCs w:val="28"/>
        </w:rPr>
        <w:t xml:space="preserve"> D</w:t>
      </w:r>
      <w:r>
        <w:rPr>
          <w:rFonts w:ascii="Times New Roman" w:hAnsi="Times New Roman" w:cs="Times New Roman"/>
          <w:sz w:val="28"/>
          <w:szCs w:val="28"/>
        </w:rPr>
        <w:t xml:space="preserve">efendant’s need to know </w:t>
      </w:r>
      <w:proofErr w:type="gramStart"/>
      <w:r>
        <w:rPr>
          <w:rFonts w:ascii="Times New Roman" w:hAnsi="Times New Roman" w:cs="Times New Roman"/>
          <w:sz w:val="28"/>
          <w:szCs w:val="28"/>
        </w:rPr>
        <w:t>so as to</w:t>
      </w:r>
      <w:proofErr w:type="gramEnd"/>
      <w:r>
        <w:rPr>
          <w:rFonts w:ascii="Times New Roman" w:hAnsi="Times New Roman" w:cs="Times New Roman"/>
          <w:sz w:val="28"/>
          <w:szCs w:val="28"/>
        </w:rPr>
        <w:t xml:space="preserve"> prepare a</w:t>
      </w:r>
      <w:r w:rsidR="00AB5ACA">
        <w:rPr>
          <w:rFonts w:ascii="Times New Roman" w:hAnsi="Times New Roman" w:cs="Times New Roman"/>
          <w:sz w:val="28"/>
          <w:szCs w:val="28"/>
        </w:rPr>
        <w:t>n adequate</w:t>
      </w:r>
      <w:r>
        <w:rPr>
          <w:rFonts w:ascii="Times New Roman" w:hAnsi="Times New Roman" w:cs="Times New Roman"/>
          <w:sz w:val="28"/>
          <w:szCs w:val="28"/>
        </w:rPr>
        <w:t xml:space="preserve"> defense. But that is not the issue in </w:t>
      </w:r>
      <w:r w:rsidRPr="002E6DE1">
        <w:rPr>
          <w:rFonts w:ascii="Times New Roman" w:hAnsi="Times New Roman" w:cs="Times New Roman"/>
          <w:i/>
          <w:iCs/>
          <w:sz w:val="28"/>
          <w:szCs w:val="28"/>
        </w:rPr>
        <w:t xml:space="preserve">AACJ v. </w:t>
      </w:r>
      <w:proofErr w:type="spellStart"/>
      <w:r w:rsidRPr="002E6DE1">
        <w:rPr>
          <w:rFonts w:ascii="Times New Roman" w:hAnsi="Times New Roman" w:cs="Times New Roman"/>
          <w:i/>
          <w:iCs/>
          <w:sz w:val="28"/>
          <w:szCs w:val="28"/>
        </w:rPr>
        <w:t>Ducey</w:t>
      </w:r>
      <w:proofErr w:type="spellEnd"/>
      <w:r w:rsidR="00AB5ACA">
        <w:rPr>
          <w:rFonts w:ascii="Times New Roman" w:hAnsi="Times New Roman" w:cs="Times New Roman"/>
          <w:sz w:val="28"/>
          <w:szCs w:val="28"/>
        </w:rPr>
        <w:t xml:space="preserve">. AACJ vindicated its membership’s </w:t>
      </w:r>
      <w:r w:rsidR="006A02D4">
        <w:rPr>
          <w:rFonts w:ascii="Times New Roman" w:hAnsi="Times New Roman" w:cs="Times New Roman"/>
          <w:sz w:val="28"/>
          <w:szCs w:val="28"/>
        </w:rPr>
        <w:t>speech</w:t>
      </w:r>
      <w:r w:rsidR="00AB5ACA">
        <w:rPr>
          <w:rFonts w:ascii="Times New Roman" w:hAnsi="Times New Roman" w:cs="Times New Roman"/>
          <w:sz w:val="28"/>
          <w:szCs w:val="28"/>
        </w:rPr>
        <w:t xml:space="preserve"> entitlements, not </w:t>
      </w:r>
      <w:r w:rsidR="006A02D4">
        <w:rPr>
          <w:rFonts w:ascii="Times New Roman" w:hAnsi="Times New Roman" w:cs="Times New Roman"/>
          <w:sz w:val="28"/>
          <w:szCs w:val="28"/>
        </w:rPr>
        <w:t>entitlements</w:t>
      </w:r>
      <w:r w:rsidR="00AB5ACA">
        <w:rPr>
          <w:rFonts w:ascii="Times New Roman" w:hAnsi="Times New Roman" w:cs="Times New Roman"/>
          <w:sz w:val="28"/>
          <w:szCs w:val="28"/>
        </w:rPr>
        <w:t xml:space="preserve"> of their clients.</w:t>
      </w:r>
      <w:r w:rsidR="008B47C9">
        <w:rPr>
          <w:rFonts w:ascii="Times New Roman" w:hAnsi="Times New Roman" w:cs="Times New Roman"/>
          <w:sz w:val="28"/>
          <w:szCs w:val="28"/>
        </w:rPr>
        <w:t xml:space="preserve"> And </w:t>
      </w:r>
      <w:r w:rsidR="00AB5ACA">
        <w:rPr>
          <w:rFonts w:ascii="Times New Roman" w:hAnsi="Times New Roman" w:cs="Times New Roman"/>
          <w:sz w:val="28"/>
          <w:szCs w:val="28"/>
        </w:rPr>
        <w:t xml:space="preserve">as noted, </w:t>
      </w:r>
      <w:r w:rsidR="006A02D4">
        <w:rPr>
          <w:rFonts w:ascii="Times New Roman" w:hAnsi="Times New Roman" w:cs="Times New Roman"/>
          <w:sz w:val="28"/>
          <w:szCs w:val="28"/>
        </w:rPr>
        <w:t>discovery conflicts are</w:t>
      </w:r>
      <w:r w:rsidR="008B47C9">
        <w:rPr>
          <w:rFonts w:ascii="Times New Roman" w:hAnsi="Times New Roman" w:cs="Times New Roman"/>
          <w:sz w:val="28"/>
          <w:szCs w:val="28"/>
        </w:rPr>
        <w:t xml:space="preserve"> first resolved by motion practice under Rule 15.3, </w:t>
      </w:r>
      <w:proofErr w:type="spellStart"/>
      <w:r w:rsidR="008B47C9">
        <w:rPr>
          <w:rFonts w:ascii="Times New Roman" w:hAnsi="Times New Roman" w:cs="Times New Roman"/>
          <w:sz w:val="28"/>
          <w:szCs w:val="28"/>
        </w:rPr>
        <w:t>ARCr.P</w:t>
      </w:r>
      <w:proofErr w:type="spellEnd"/>
      <w:r w:rsidR="008B47C9">
        <w:rPr>
          <w:rFonts w:ascii="Times New Roman" w:hAnsi="Times New Roman" w:cs="Times New Roman"/>
          <w:sz w:val="28"/>
          <w:szCs w:val="28"/>
        </w:rPr>
        <w:t>.</w:t>
      </w:r>
      <w:r w:rsidR="00AB5ACA">
        <w:rPr>
          <w:rFonts w:ascii="Times New Roman" w:hAnsi="Times New Roman" w:cs="Times New Roman"/>
          <w:sz w:val="28"/>
          <w:szCs w:val="28"/>
        </w:rPr>
        <w:t>,</w:t>
      </w:r>
      <w:r w:rsidR="008B47C9">
        <w:rPr>
          <w:rFonts w:ascii="Times New Roman" w:hAnsi="Times New Roman" w:cs="Times New Roman"/>
          <w:sz w:val="28"/>
          <w:szCs w:val="28"/>
        </w:rPr>
        <w:t xml:space="preserve"> or by other protective orders.</w:t>
      </w:r>
      <w:r w:rsidR="006A02D4">
        <w:rPr>
          <w:rFonts w:ascii="Times New Roman" w:hAnsi="Times New Roman" w:cs="Times New Roman"/>
          <w:sz w:val="28"/>
          <w:szCs w:val="28"/>
        </w:rPr>
        <w:t xml:space="preserve"> R</w:t>
      </w:r>
      <w:r w:rsidR="008B47C9">
        <w:rPr>
          <w:rFonts w:ascii="Times New Roman" w:hAnsi="Times New Roman" w:cs="Times New Roman"/>
          <w:sz w:val="28"/>
          <w:szCs w:val="28"/>
        </w:rPr>
        <w:t>emed</w:t>
      </w:r>
      <w:r w:rsidR="006A02D4">
        <w:rPr>
          <w:rFonts w:ascii="Times New Roman" w:hAnsi="Times New Roman" w:cs="Times New Roman"/>
          <w:sz w:val="28"/>
          <w:szCs w:val="28"/>
        </w:rPr>
        <w:t>ies</w:t>
      </w:r>
      <w:r w:rsidR="008B47C9">
        <w:rPr>
          <w:rFonts w:ascii="Times New Roman" w:hAnsi="Times New Roman" w:cs="Times New Roman"/>
          <w:sz w:val="28"/>
          <w:szCs w:val="28"/>
        </w:rPr>
        <w:t xml:space="preserve"> exist under state laws and procedures.</w:t>
      </w:r>
      <w:r>
        <w:rPr>
          <w:rFonts w:ascii="Times New Roman" w:hAnsi="Times New Roman" w:cs="Times New Roman"/>
          <w:sz w:val="28"/>
          <w:szCs w:val="28"/>
        </w:rPr>
        <w:t xml:space="preserve"> </w:t>
      </w:r>
      <w:r w:rsidR="008B47C9">
        <w:rPr>
          <w:rFonts w:ascii="Times New Roman" w:hAnsi="Times New Roman" w:cs="Times New Roman"/>
          <w:sz w:val="28"/>
          <w:szCs w:val="28"/>
        </w:rPr>
        <w:t>So</w:t>
      </w:r>
      <w:r w:rsidR="007E72AB">
        <w:rPr>
          <w:rFonts w:ascii="Times New Roman" w:hAnsi="Times New Roman" w:cs="Times New Roman"/>
          <w:sz w:val="28"/>
          <w:szCs w:val="28"/>
        </w:rPr>
        <w:t>,</w:t>
      </w:r>
      <w:r w:rsidR="008B47C9">
        <w:rPr>
          <w:rFonts w:ascii="Times New Roman" w:hAnsi="Times New Roman" w:cs="Times New Roman"/>
          <w:sz w:val="28"/>
          <w:szCs w:val="28"/>
        </w:rPr>
        <w:t xml:space="preserve"> t</w:t>
      </w:r>
      <w:r>
        <w:rPr>
          <w:rFonts w:ascii="Times New Roman" w:hAnsi="Times New Roman" w:cs="Times New Roman"/>
          <w:sz w:val="28"/>
          <w:szCs w:val="28"/>
        </w:rPr>
        <w:t xml:space="preserve">here is nothing in the </w:t>
      </w:r>
      <w:r w:rsidR="006A02D4">
        <w:rPr>
          <w:rFonts w:ascii="Times New Roman" w:hAnsi="Times New Roman" w:cs="Times New Roman"/>
          <w:sz w:val="28"/>
          <w:szCs w:val="28"/>
        </w:rPr>
        <w:t>D</w:t>
      </w:r>
      <w:r>
        <w:rPr>
          <w:rFonts w:ascii="Times New Roman" w:hAnsi="Times New Roman" w:cs="Times New Roman"/>
          <w:sz w:val="28"/>
          <w:szCs w:val="28"/>
        </w:rPr>
        <w:t xml:space="preserve">istrict </w:t>
      </w:r>
      <w:r w:rsidR="006A02D4">
        <w:rPr>
          <w:rFonts w:ascii="Times New Roman" w:hAnsi="Times New Roman" w:cs="Times New Roman"/>
          <w:sz w:val="28"/>
          <w:szCs w:val="28"/>
        </w:rPr>
        <w:t>Co</w:t>
      </w:r>
      <w:r>
        <w:rPr>
          <w:rFonts w:ascii="Times New Roman" w:hAnsi="Times New Roman" w:cs="Times New Roman"/>
          <w:sz w:val="28"/>
          <w:szCs w:val="28"/>
        </w:rPr>
        <w:t>urt decision that, alone, requires an amendment to Rule 39(b)(12).</w:t>
      </w:r>
      <w:r w:rsidR="00AB5ACA">
        <w:rPr>
          <w:rFonts w:ascii="Times New Roman" w:hAnsi="Times New Roman" w:cs="Times New Roman"/>
          <w:sz w:val="28"/>
          <w:szCs w:val="28"/>
        </w:rPr>
        <w:t xml:space="preserve"> In fact, the decision </w:t>
      </w:r>
      <w:r w:rsidR="006A02D4">
        <w:rPr>
          <w:rFonts w:ascii="Times New Roman" w:hAnsi="Times New Roman" w:cs="Times New Roman"/>
          <w:sz w:val="28"/>
          <w:szCs w:val="28"/>
        </w:rPr>
        <w:t>acknowledges respect for the Rule.</w:t>
      </w:r>
    </w:p>
    <w:p w14:paraId="353CEEB0" w14:textId="7D9D97B9" w:rsidR="00AB5ACA" w:rsidRDefault="00AB5ACA" w:rsidP="002E6DE1">
      <w:pPr>
        <w:spacing w:after="0" w:line="480" w:lineRule="auto"/>
        <w:jc w:val="both"/>
        <w:rPr>
          <w:rFonts w:ascii="Times New Roman" w:hAnsi="Times New Roman" w:cs="Times New Roman"/>
          <w:sz w:val="28"/>
          <w:szCs w:val="28"/>
        </w:rPr>
      </w:pPr>
    </w:p>
    <w:p w14:paraId="21D2807B" w14:textId="77777777" w:rsidR="00AB5ACA" w:rsidRDefault="00AB5ACA" w:rsidP="002E6DE1">
      <w:pPr>
        <w:spacing w:after="0" w:line="480" w:lineRule="auto"/>
        <w:jc w:val="both"/>
        <w:rPr>
          <w:rFonts w:ascii="Times New Roman" w:hAnsi="Times New Roman" w:cs="Times New Roman"/>
          <w:sz w:val="28"/>
          <w:szCs w:val="28"/>
        </w:rPr>
      </w:pPr>
    </w:p>
    <w:p w14:paraId="316C0AB1" w14:textId="1E4DD3A1" w:rsidR="00E51C68" w:rsidRDefault="002E6DE1" w:rsidP="00AB5ACA">
      <w:pPr>
        <w:pStyle w:val="ListParagraph"/>
        <w:numPr>
          <w:ilvl w:val="0"/>
          <w:numId w:val="1"/>
        </w:numPr>
        <w:spacing w:after="0" w:line="240" w:lineRule="auto"/>
        <w:jc w:val="both"/>
        <w:rPr>
          <w:rFonts w:ascii="Times New Roman" w:hAnsi="Times New Roman" w:cs="Times New Roman"/>
          <w:i/>
          <w:iCs/>
          <w:sz w:val="28"/>
          <w:szCs w:val="28"/>
        </w:rPr>
      </w:pPr>
      <w:r w:rsidRPr="00AB5ACA">
        <w:rPr>
          <w:rFonts w:ascii="Times New Roman" w:hAnsi="Times New Roman" w:cs="Times New Roman"/>
          <w:b/>
          <w:bCs/>
          <w:i/>
          <w:iCs/>
          <w:sz w:val="28"/>
          <w:szCs w:val="28"/>
        </w:rPr>
        <w:lastRenderedPageBreak/>
        <w:t xml:space="preserve">Conclusion: There is no </w:t>
      </w:r>
      <w:proofErr w:type="gramStart"/>
      <w:r w:rsidRPr="00AB5ACA">
        <w:rPr>
          <w:rFonts w:ascii="Times New Roman" w:hAnsi="Times New Roman" w:cs="Times New Roman"/>
          <w:b/>
          <w:bCs/>
          <w:i/>
          <w:iCs/>
          <w:sz w:val="28"/>
          <w:szCs w:val="28"/>
        </w:rPr>
        <w:t>analog</w:t>
      </w:r>
      <w:proofErr w:type="gramEnd"/>
      <w:r w:rsidRPr="00AB5ACA">
        <w:rPr>
          <w:rFonts w:ascii="Times New Roman" w:hAnsi="Times New Roman" w:cs="Times New Roman"/>
          <w:b/>
          <w:bCs/>
          <w:i/>
          <w:iCs/>
          <w:sz w:val="28"/>
          <w:szCs w:val="28"/>
        </w:rPr>
        <w:t xml:space="preserve"> between what Petitioners achieved in litigation and the current state of the Arizona Rules of Criminal Procedure</w:t>
      </w:r>
      <w:r>
        <w:rPr>
          <w:rFonts w:ascii="Times New Roman" w:hAnsi="Times New Roman" w:cs="Times New Roman"/>
          <w:i/>
          <w:iCs/>
          <w:sz w:val="28"/>
          <w:szCs w:val="28"/>
        </w:rPr>
        <w:t>.</w:t>
      </w:r>
    </w:p>
    <w:p w14:paraId="2ABC9929" w14:textId="77777777" w:rsidR="00AB5ACA" w:rsidRPr="00AB5ACA" w:rsidRDefault="00AB5ACA" w:rsidP="00AB5ACA">
      <w:pPr>
        <w:pStyle w:val="ListParagraph"/>
        <w:spacing w:after="0" w:line="240" w:lineRule="auto"/>
        <w:ind w:left="360"/>
        <w:jc w:val="both"/>
        <w:rPr>
          <w:rFonts w:ascii="Times New Roman" w:hAnsi="Times New Roman" w:cs="Times New Roman"/>
          <w:i/>
          <w:iCs/>
          <w:sz w:val="28"/>
          <w:szCs w:val="28"/>
        </w:rPr>
      </w:pPr>
    </w:p>
    <w:p w14:paraId="4E0BD092" w14:textId="35838330" w:rsidR="002E6DE1" w:rsidRDefault="002E6DE1" w:rsidP="00AB5ACA">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Rule 39(b)(12) is a procedural, pretrial </w:t>
      </w:r>
      <w:r w:rsidR="006827A5">
        <w:rPr>
          <w:rFonts w:ascii="Times New Roman" w:hAnsi="Times New Roman" w:cs="Times New Roman"/>
          <w:sz w:val="28"/>
          <w:szCs w:val="28"/>
        </w:rPr>
        <w:t>discovery</w:t>
      </w:r>
      <w:r>
        <w:rPr>
          <w:rFonts w:ascii="Times New Roman" w:hAnsi="Times New Roman" w:cs="Times New Roman"/>
          <w:sz w:val="28"/>
          <w:szCs w:val="28"/>
        </w:rPr>
        <w:t xml:space="preserve"> rule. The Rule advises litigants regarding the method for </w:t>
      </w:r>
      <w:r w:rsidR="006827A5">
        <w:rPr>
          <w:rFonts w:ascii="Times New Roman" w:hAnsi="Times New Roman" w:cs="Times New Roman"/>
          <w:sz w:val="28"/>
          <w:szCs w:val="28"/>
        </w:rPr>
        <w:t>t</w:t>
      </w:r>
      <w:r>
        <w:rPr>
          <w:rFonts w:ascii="Times New Roman" w:hAnsi="Times New Roman" w:cs="Times New Roman"/>
          <w:sz w:val="28"/>
          <w:szCs w:val="28"/>
        </w:rPr>
        <w:t xml:space="preserve">aking discovery </w:t>
      </w:r>
      <w:r w:rsidR="006827A5">
        <w:rPr>
          <w:rFonts w:ascii="Times New Roman" w:hAnsi="Times New Roman" w:cs="Times New Roman"/>
          <w:sz w:val="28"/>
          <w:szCs w:val="28"/>
        </w:rPr>
        <w:t>from</w:t>
      </w:r>
      <w:r>
        <w:rPr>
          <w:rFonts w:ascii="Times New Roman" w:hAnsi="Times New Roman" w:cs="Times New Roman"/>
          <w:sz w:val="28"/>
          <w:szCs w:val="28"/>
        </w:rPr>
        <w:t xml:space="preserve"> Victims.</w:t>
      </w:r>
      <w:r w:rsidR="006827A5">
        <w:rPr>
          <w:rFonts w:ascii="Times New Roman" w:hAnsi="Times New Roman" w:cs="Times New Roman"/>
          <w:sz w:val="28"/>
          <w:szCs w:val="28"/>
        </w:rPr>
        <w:t xml:space="preserve"> The Rule regulates how discovery is taken. It does not implicate a defense counsel’s First Amendment right to speak at a Victim. It merely provides the mechanism for doing so when the intent is to conduct discovery. It is of no consequence, therefore, that the discovery request goes through the prosecutor as an intermediary. Discovery requests in nearly every thinkable category are mediated and self-regulated through retained or assigned counsel who communicate on such issues</w:t>
      </w:r>
      <w:r w:rsidR="00AB5ACA">
        <w:rPr>
          <w:rFonts w:ascii="Times New Roman" w:hAnsi="Times New Roman" w:cs="Times New Roman"/>
          <w:sz w:val="28"/>
          <w:szCs w:val="28"/>
        </w:rPr>
        <w:t>, as per the rules of procedure</w:t>
      </w:r>
      <w:r w:rsidR="006827A5">
        <w:rPr>
          <w:rFonts w:ascii="Times New Roman" w:hAnsi="Times New Roman" w:cs="Times New Roman"/>
          <w:sz w:val="28"/>
          <w:szCs w:val="28"/>
        </w:rPr>
        <w:t xml:space="preserve">. The </w:t>
      </w:r>
      <w:r w:rsidR="006827A5" w:rsidRPr="006827A5">
        <w:rPr>
          <w:rFonts w:ascii="Times New Roman" w:hAnsi="Times New Roman" w:cs="Times New Roman"/>
          <w:i/>
          <w:iCs/>
          <w:sz w:val="28"/>
          <w:szCs w:val="28"/>
        </w:rPr>
        <w:t xml:space="preserve">AACJ v. </w:t>
      </w:r>
      <w:proofErr w:type="spellStart"/>
      <w:r w:rsidR="006827A5" w:rsidRPr="006827A5">
        <w:rPr>
          <w:rFonts w:ascii="Times New Roman" w:hAnsi="Times New Roman" w:cs="Times New Roman"/>
          <w:i/>
          <w:iCs/>
          <w:sz w:val="28"/>
          <w:szCs w:val="28"/>
        </w:rPr>
        <w:t>Ducey</w:t>
      </w:r>
      <w:proofErr w:type="spellEnd"/>
      <w:r w:rsidR="006827A5">
        <w:rPr>
          <w:rFonts w:ascii="Times New Roman" w:hAnsi="Times New Roman" w:cs="Times New Roman"/>
          <w:sz w:val="28"/>
          <w:szCs w:val="28"/>
        </w:rPr>
        <w:t xml:space="preserve"> decision is not dispositive. It is distinguishable. It is on appeal. And it is noteworthy for what it did not decide. At best, it is a distraction that bears little weight upon the Petition.</w:t>
      </w:r>
    </w:p>
    <w:p w14:paraId="34F51ECD" w14:textId="06AA560F" w:rsidR="00AB5ACA" w:rsidRDefault="00092F50" w:rsidP="00C703FA">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When the Petition is taken upon what merits remain there is no constitutional necessity that warrants a change. For the reasons stated above, the Arizona Prosecuting Attorneys</w:t>
      </w:r>
      <w:r w:rsidR="001F02EA">
        <w:rPr>
          <w:rFonts w:ascii="Times New Roman" w:hAnsi="Times New Roman" w:cs="Times New Roman"/>
          <w:sz w:val="28"/>
          <w:szCs w:val="28"/>
        </w:rPr>
        <w:t>’</w:t>
      </w:r>
      <w:r>
        <w:rPr>
          <w:rFonts w:ascii="Times New Roman" w:hAnsi="Times New Roman" w:cs="Times New Roman"/>
          <w:sz w:val="28"/>
          <w:szCs w:val="28"/>
        </w:rPr>
        <w:t xml:space="preserve"> Advisory Council opposes Petition R-22-0045.</w:t>
      </w:r>
    </w:p>
    <w:p w14:paraId="5BC3CE4F" w14:textId="7A2FF653" w:rsidR="00092F50" w:rsidRDefault="00092F50" w:rsidP="00C703FA">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RESPECTFULLY SUBMITTED this </w:t>
      </w:r>
      <w:r w:rsidR="003950A7">
        <w:rPr>
          <w:rFonts w:ascii="Times New Roman" w:hAnsi="Times New Roman" w:cs="Times New Roman"/>
          <w:sz w:val="28"/>
          <w:szCs w:val="28"/>
          <w:u w:val="single"/>
        </w:rPr>
        <w:t xml:space="preserve">  28</w:t>
      </w:r>
      <w:r w:rsidR="003950A7" w:rsidRPr="003950A7">
        <w:rPr>
          <w:rFonts w:ascii="Times New Roman" w:hAnsi="Times New Roman" w:cs="Times New Roman"/>
          <w:sz w:val="28"/>
          <w:szCs w:val="28"/>
          <w:u w:val="single"/>
          <w:vertAlign w:val="superscript"/>
        </w:rPr>
        <w:t>th</w:t>
      </w:r>
      <w:r w:rsidR="003950A7">
        <w:rPr>
          <w:rFonts w:ascii="Times New Roman" w:hAnsi="Times New Roman" w:cs="Times New Roman"/>
          <w:sz w:val="28"/>
          <w:szCs w:val="28"/>
          <w:u w:val="single"/>
        </w:rPr>
        <w:t xml:space="preserve">  </w:t>
      </w:r>
      <w:r>
        <w:rPr>
          <w:rFonts w:ascii="Times New Roman" w:hAnsi="Times New Roman" w:cs="Times New Roman"/>
          <w:sz w:val="28"/>
          <w:szCs w:val="28"/>
        </w:rPr>
        <w:t xml:space="preserve"> day of </w:t>
      </w:r>
      <w:proofErr w:type="gramStart"/>
      <w:r>
        <w:rPr>
          <w:rFonts w:ascii="Times New Roman" w:hAnsi="Times New Roman" w:cs="Times New Roman"/>
          <w:sz w:val="28"/>
          <w:szCs w:val="28"/>
        </w:rPr>
        <w:t>April,</w:t>
      </w:r>
      <w:proofErr w:type="gramEnd"/>
      <w:r>
        <w:rPr>
          <w:rFonts w:ascii="Times New Roman" w:hAnsi="Times New Roman" w:cs="Times New Roman"/>
          <w:sz w:val="28"/>
          <w:szCs w:val="28"/>
        </w:rPr>
        <w:t xml:space="preserve"> 2023.</w:t>
      </w:r>
    </w:p>
    <w:p w14:paraId="21A7E1F4" w14:textId="7AFAAE6F" w:rsidR="00092F50" w:rsidRDefault="00092F50" w:rsidP="00092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ARIZONA PROSECUTING ATTORNEYS</w:t>
      </w:r>
      <w:r w:rsidR="007C6DA7">
        <w:rPr>
          <w:rFonts w:ascii="Times New Roman" w:hAnsi="Times New Roman" w:cs="Times New Roman"/>
          <w:sz w:val="28"/>
          <w:szCs w:val="28"/>
        </w:rPr>
        <w:t>’</w:t>
      </w:r>
    </w:p>
    <w:p w14:paraId="1BAADD5C" w14:textId="7156F0CF" w:rsidR="00092F50" w:rsidRDefault="00092F50" w:rsidP="00092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ADVISORY COUNCIL</w:t>
      </w:r>
    </w:p>
    <w:p w14:paraId="2F6138D9" w14:textId="77777777" w:rsidR="00AB5ACA" w:rsidRDefault="00AB5ACA" w:rsidP="00092F50">
      <w:pPr>
        <w:spacing w:after="0" w:line="240" w:lineRule="auto"/>
        <w:jc w:val="both"/>
        <w:rPr>
          <w:rFonts w:ascii="Times New Roman" w:hAnsi="Times New Roman" w:cs="Times New Roman"/>
          <w:sz w:val="28"/>
          <w:szCs w:val="28"/>
        </w:rPr>
      </w:pPr>
    </w:p>
    <w:p w14:paraId="052C6E9F" w14:textId="149C77B2" w:rsidR="00092F50" w:rsidRDefault="00092F50" w:rsidP="00092F50">
      <w:pPr>
        <w:spacing w:after="0" w:line="240" w:lineRule="auto"/>
        <w:jc w:val="both"/>
        <w:rPr>
          <w:rFonts w:ascii="Times New Roman" w:hAnsi="Times New Roman" w:cs="Times New Roman"/>
          <w:sz w:val="28"/>
          <w:szCs w:val="28"/>
        </w:rPr>
      </w:pPr>
    </w:p>
    <w:p w14:paraId="51A8A867" w14:textId="5EBB341F" w:rsidR="00092F50" w:rsidRPr="005802AF" w:rsidRDefault="00092F50" w:rsidP="00092F50">
      <w:pPr>
        <w:spacing w:after="0" w:line="240" w:lineRule="auto"/>
        <w:jc w:val="both"/>
        <w:rPr>
          <w:rFonts w:ascii="Lucida Calligraphy" w:hAnsi="Lucida Calligraphy" w:cs="Times New Roman"/>
          <w:sz w:val="18"/>
          <w:szCs w:val="1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By: </w:t>
      </w:r>
      <w:r w:rsidR="003950A7">
        <w:rPr>
          <w:rFonts w:ascii="Times New Roman" w:hAnsi="Times New Roman" w:cs="Times New Roman"/>
          <w:sz w:val="28"/>
          <w:szCs w:val="28"/>
          <w:u w:val="single"/>
        </w:rPr>
        <w:tab/>
      </w:r>
      <w:r w:rsidR="003950A7">
        <w:rPr>
          <w:rFonts w:ascii="Lucida Calligraphy" w:hAnsi="Lucida Calligraphy" w:cs="Times New Roman"/>
          <w:sz w:val="28"/>
          <w:szCs w:val="28"/>
          <w:u w:val="single"/>
        </w:rPr>
        <w:t xml:space="preserve">Elizabeth Burton Ortiz </w:t>
      </w:r>
      <w:r w:rsidR="005802AF">
        <w:rPr>
          <w:rFonts w:ascii="Lucida Calligraphy" w:hAnsi="Lucida Calligraphy" w:cs="Times New Roman"/>
          <w:sz w:val="18"/>
          <w:szCs w:val="18"/>
          <w:u w:val="single"/>
        </w:rPr>
        <w:t>for</w:t>
      </w:r>
      <w:r w:rsidR="005802AF">
        <w:rPr>
          <w:rFonts w:ascii="Lucida Calligraphy" w:hAnsi="Lucida Calligraphy" w:cs="Times New Roman"/>
          <w:sz w:val="18"/>
          <w:szCs w:val="18"/>
          <w:u w:val="single"/>
        </w:rPr>
        <w:tab/>
      </w:r>
    </w:p>
    <w:p w14:paraId="3941823B" w14:textId="1899E40E" w:rsidR="00092F50" w:rsidRDefault="00092F50" w:rsidP="00092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William P. Ring</w:t>
      </w:r>
    </w:p>
    <w:p w14:paraId="62CEB3AB" w14:textId="77E0E00D" w:rsidR="00092F50" w:rsidRPr="00103C77" w:rsidRDefault="00092F50" w:rsidP="00092F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E4B7D">
        <w:rPr>
          <w:rFonts w:ascii="Times New Roman" w:hAnsi="Times New Roman" w:cs="Times New Roman"/>
          <w:sz w:val="28"/>
          <w:szCs w:val="28"/>
        </w:rPr>
        <w:t xml:space="preserve">APAAC </w:t>
      </w:r>
      <w:r>
        <w:rPr>
          <w:rFonts w:ascii="Times New Roman" w:hAnsi="Times New Roman" w:cs="Times New Roman"/>
          <w:sz w:val="28"/>
          <w:szCs w:val="28"/>
        </w:rPr>
        <w:t>Chair</w:t>
      </w:r>
    </w:p>
    <w:sectPr w:rsidR="00092F50" w:rsidRPr="00103C7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CC863" w14:textId="77777777" w:rsidR="00062D4C" w:rsidRDefault="00062D4C" w:rsidP="006A02D4">
      <w:pPr>
        <w:spacing w:after="0" w:line="240" w:lineRule="auto"/>
      </w:pPr>
      <w:r>
        <w:separator/>
      </w:r>
    </w:p>
  </w:endnote>
  <w:endnote w:type="continuationSeparator" w:id="0">
    <w:p w14:paraId="228B9E56" w14:textId="77777777" w:rsidR="00062D4C" w:rsidRDefault="00062D4C" w:rsidP="006A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2A38" w14:textId="77777777" w:rsidR="001F3A90" w:rsidRDefault="001F3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126147"/>
      <w:docPartObj>
        <w:docPartGallery w:val="Page Numbers (Bottom of Page)"/>
        <w:docPartUnique/>
      </w:docPartObj>
    </w:sdtPr>
    <w:sdtEndPr>
      <w:rPr>
        <w:noProof/>
      </w:rPr>
    </w:sdtEndPr>
    <w:sdtContent>
      <w:p w14:paraId="5FE35F4A" w14:textId="29F8E2AD" w:rsidR="006A02D4" w:rsidRDefault="006A02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AAD7EE" w14:textId="77777777" w:rsidR="006A02D4" w:rsidRDefault="006A0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D335" w14:textId="77777777" w:rsidR="001F3A90" w:rsidRDefault="001F3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B0C4" w14:textId="77777777" w:rsidR="00062D4C" w:rsidRDefault="00062D4C" w:rsidP="006A02D4">
      <w:pPr>
        <w:spacing w:after="0" w:line="240" w:lineRule="auto"/>
      </w:pPr>
      <w:r>
        <w:separator/>
      </w:r>
    </w:p>
  </w:footnote>
  <w:footnote w:type="continuationSeparator" w:id="0">
    <w:p w14:paraId="674160FE" w14:textId="77777777" w:rsidR="00062D4C" w:rsidRDefault="00062D4C" w:rsidP="006A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C244" w14:textId="77777777" w:rsidR="001F3A90" w:rsidRDefault="001F3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8EFA" w14:textId="4D8DF997" w:rsidR="001F3A90" w:rsidRDefault="001F3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B09B" w14:textId="77777777" w:rsidR="001F3A90" w:rsidRDefault="001F3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B7CBE"/>
    <w:multiLevelType w:val="hybridMultilevel"/>
    <w:tmpl w:val="8B7239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733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77"/>
    <w:rsid w:val="00062D4C"/>
    <w:rsid w:val="00092F50"/>
    <w:rsid w:val="00103C77"/>
    <w:rsid w:val="00155FF2"/>
    <w:rsid w:val="001E0BCE"/>
    <w:rsid w:val="001F02EA"/>
    <w:rsid w:val="001F3A90"/>
    <w:rsid w:val="002627D6"/>
    <w:rsid w:val="00290806"/>
    <w:rsid w:val="00293ECA"/>
    <w:rsid w:val="002B0D65"/>
    <w:rsid w:val="002D41AC"/>
    <w:rsid w:val="002E6DE1"/>
    <w:rsid w:val="003950A7"/>
    <w:rsid w:val="004964DE"/>
    <w:rsid w:val="004A7D22"/>
    <w:rsid w:val="004F25FB"/>
    <w:rsid w:val="004F61DC"/>
    <w:rsid w:val="005802AF"/>
    <w:rsid w:val="005F58C7"/>
    <w:rsid w:val="006827A5"/>
    <w:rsid w:val="006A02D4"/>
    <w:rsid w:val="006E4B7D"/>
    <w:rsid w:val="00751CD2"/>
    <w:rsid w:val="007662BE"/>
    <w:rsid w:val="00771456"/>
    <w:rsid w:val="007845C3"/>
    <w:rsid w:val="00786EB5"/>
    <w:rsid w:val="007C6DA7"/>
    <w:rsid w:val="007E72AB"/>
    <w:rsid w:val="0081018E"/>
    <w:rsid w:val="00840151"/>
    <w:rsid w:val="00845F0A"/>
    <w:rsid w:val="008B47C9"/>
    <w:rsid w:val="008D253E"/>
    <w:rsid w:val="00913ECE"/>
    <w:rsid w:val="009D0733"/>
    <w:rsid w:val="00AA5821"/>
    <w:rsid w:val="00AB07D0"/>
    <w:rsid w:val="00AB5ACA"/>
    <w:rsid w:val="00B13C30"/>
    <w:rsid w:val="00C703FA"/>
    <w:rsid w:val="00CD43CB"/>
    <w:rsid w:val="00D558D7"/>
    <w:rsid w:val="00E4516B"/>
    <w:rsid w:val="00E51C68"/>
    <w:rsid w:val="00E637F8"/>
    <w:rsid w:val="00E960A5"/>
    <w:rsid w:val="00EF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8EED5"/>
  <w15:chartTrackingRefBased/>
  <w15:docId w15:val="{7C6C03A0-C577-4D04-92C0-167B3D06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FF2"/>
    <w:pPr>
      <w:ind w:left="720"/>
      <w:contextualSpacing/>
    </w:pPr>
  </w:style>
  <w:style w:type="paragraph" w:styleId="Header">
    <w:name w:val="header"/>
    <w:basedOn w:val="Normal"/>
    <w:link w:val="HeaderChar"/>
    <w:uiPriority w:val="99"/>
    <w:unhideWhenUsed/>
    <w:rsid w:val="006A0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D4"/>
  </w:style>
  <w:style w:type="paragraph" w:styleId="Footer">
    <w:name w:val="footer"/>
    <w:basedOn w:val="Normal"/>
    <w:link w:val="FooterChar"/>
    <w:uiPriority w:val="99"/>
    <w:unhideWhenUsed/>
    <w:rsid w:val="006A0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70374b-5ede-4d07-a6d4-3a8a64b98b0b">
      <Terms xmlns="http://schemas.microsoft.com/office/infopath/2007/PartnerControls"/>
    </lcf76f155ced4ddcb4097134ff3c332f>
    <TaxCatchAll xmlns="5dedd23f-364b-4ca1-be4a-e2c9edd82f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6" ma:contentTypeDescription="Create a new document." ma:contentTypeScope="" ma:versionID="4d453221238b64dde9bf172b0aa319c0">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958d3026396d3be590d89c5aea669384"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7d558-35fb-44f4-ba25-fadd1c45b2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0bde76-527e-4c8a-bd63-69cebd3f5eac}" ma:internalName="TaxCatchAll" ma:showField="CatchAllData" ma:web="5dedd23f-364b-4ca1-be4a-e2c9edd82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1870F-8A87-4499-AA73-767C1CD2D662}">
  <ds:schemaRefs>
    <ds:schemaRef ds:uri="http://schemas.microsoft.com/office/2006/metadata/properties"/>
    <ds:schemaRef ds:uri="http://schemas.microsoft.com/office/infopath/2007/PartnerControls"/>
    <ds:schemaRef ds:uri="bf70374b-5ede-4d07-a6d4-3a8a64b98b0b"/>
    <ds:schemaRef ds:uri="5dedd23f-364b-4ca1-be4a-e2c9edd82fa2"/>
  </ds:schemaRefs>
</ds:datastoreItem>
</file>

<file path=customXml/itemProps2.xml><?xml version="1.0" encoding="utf-8"?>
<ds:datastoreItem xmlns:ds="http://schemas.openxmlformats.org/officeDocument/2006/customXml" ds:itemID="{1A6E54C7-C82A-433F-A740-4D630EB1A2CE}">
  <ds:schemaRefs>
    <ds:schemaRef ds:uri="http://schemas.microsoft.com/sharepoint/v3/contenttype/forms"/>
  </ds:schemaRefs>
</ds:datastoreItem>
</file>

<file path=customXml/itemProps3.xml><?xml version="1.0" encoding="utf-8"?>
<ds:datastoreItem xmlns:ds="http://schemas.openxmlformats.org/officeDocument/2006/customXml" ds:itemID="{908944AC-5EC7-4D40-9456-CAA8F0D93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8FE33-71CB-47CA-9071-AD85C022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Coconino County</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 William</dc:creator>
  <cp:keywords/>
  <dc:description/>
  <cp:lastModifiedBy>Diana Cooney</cp:lastModifiedBy>
  <cp:revision>2</cp:revision>
  <cp:lastPrinted>2023-04-06T22:04:00Z</cp:lastPrinted>
  <dcterms:created xsi:type="dcterms:W3CDTF">2023-04-28T15:54:00Z</dcterms:created>
  <dcterms:modified xsi:type="dcterms:W3CDTF">2023-04-28T15:54:00Z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0x0101009A6D02B0C4E2C1469C5472F9B6E92497</vt:lpwstr>
  </property>
  <property fmtid="{D5CDD505-2E9C-101B-9397-08002B2CF9AE}" pid="3" name="MediaServiceImageTags">
    <vt:lpwstr/>
  </property>
</Properties>
</file>