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66F99D9D"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1120865A" w14:textId="6D8BE007" w:rsidR="00A045B1" w:rsidRDefault="00A045B1" w:rsidP="00000C35">
            <w:pPr>
              <w:pStyle w:val="FirmInformation"/>
              <w:spacing w:line="240" w:lineRule="auto"/>
              <w:rPr>
                <w:sz w:val="28"/>
                <w:szCs w:val="28"/>
              </w:rPr>
            </w:pPr>
            <w:r>
              <w:rPr>
                <w:sz w:val="28"/>
                <w:szCs w:val="28"/>
              </w:rPr>
              <w:t>Sarah E. Epperson, Bar No. 031465</w:t>
            </w:r>
          </w:p>
          <w:p w14:paraId="2A1E66FA" w14:textId="1D04F947" w:rsidR="00A045B1" w:rsidRDefault="00A045B1" w:rsidP="00000C35">
            <w:pPr>
              <w:pStyle w:val="FirmInformation"/>
              <w:spacing w:line="240" w:lineRule="auto"/>
              <w:rPr>
                <w:sz w:val="28"/>
                <w:szCs w:val="28"/>
              </w:rPr>
            </w:pPr>
            <w:r>
              <w:rPr>
                <w:sz w:val="28"/>
                <w:szCs w:val="28"/>
              </w:rPr>
              <w:t>Ethics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1723726E" w:rsidR="00357F4D" w:rsidRPr="00A045B1" w:rsidRDefault="00E67511" w:rsidP="00A045B1">
            <w:pPr>
              <w:pStyle w:val="Caption"/>
              <w:spacing w:before="240" w:line="260" w:lineRule="exact"/>
              <w:rPr>
                <w:b/>
                <w:sz w:val="28"/>
                <w:szCs w:val="28"/>
              </w:rPr>
            </w:pPr>
            <w:r w:rsidRPr="00732169">
              <w:rPr>
                <w:b/>
                <w:sz w:val="28"/>
                <w:szCs w:val="28"/>
              </w:rPr>
              <w:t xml:space="preserve">PETITION TO </w:t>
            </w:r>
            <w:r w:rsidR="00855B10">
              <w:rPr>
                <w:b/>
                <w:sz w:val="28"/>
                <w:szCs w:val="28"/>
              </w:rPr>
              <w:t xml:space="preserve">AMEND </w:t>
            </w:r>
            <w:r w:rsidR="00A045B1">
              <w:rPr>
                <w:b/>
                <w:sz w:val="28"/>
                <w:szCs w:val="28"/>
              </w:rPr>
              <w:t xml:space="preserve">RULE 42, </w:t>
            </w:r>
            <w:r w:rsidR="00855B10">
              <w:rPr>
                <w:b/>
                <w:sz w:val="28"/>
                <w:szCs w:val="28"/>
              </w:rPr>
              <w:t>ERs 1.15</w:t>
            </w:r>
            <w:r w:rsidR="00A045B1">
              <w:rPr>
                <w:b/>
                <w:sz w:val="28"/>
                <w:szCs w:val="28"/>
              </w:rPr>
              <w:t xml:space="preserve">, </w:t>
            </w:r>
            <w:r w:rsidR="00855B10">
              <w:rPr>
                <w:b/>
                <w:sz w:val="28"/>
                <w:szCs w:val="28"/>
              </w:rPr>
              <w:t>2.4 AND RULE 43</w:t>
            </w:r>
            <w:r w:rsidR="00A045B1">
              <w:rPr>
                <w:b/>
                <w:sz w:val="28"/>
                <w:szCs w:val="28"/>
              </w:rPr>
              <w:t xml:space="preserve"> OF THE ARIZONA RULES OF SUPREME COURT</w:t>
            </w:r>
            <w:r w:rsidR="00A045B1">
              <w:rPr>
                <w:b/>
                <w:sz w:val="28"/>
                <w:szCs w:val="28"/>
              </w:rPr>
              <w:br/>
            </w:r>
          </w:p>
        </w:tc>
        <w:tc>
          <w:tcPr>
            <w:tcW w:w="4524" w:type="dxa"/>
            <w:tcBorders>
              <w:top w:val="nil"/>
              <w:left w:val="single" w:sz="4" w:space="0" w:color="auto"/>
            </w:tcBorders>
            <w:shd w:val="clear" w:color="auto" w:fill="auto"/>
          </w:tcPr>
          <w:p w14:paraId="35CED5CB" w14:textId="0AEF7326"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855B10">
              <w:rPr>
                <w:sz w:val="28"/>
                <w:szCs w:val="28"/>
              </w:rPr>
              <w:t>0006</w:t>
            </w:r>
          </w:p>
          <w:p w14:paraId="5AEC962D" w14:textId="7CBC82FA" w:rsidR="00357F4D" w:rsidRPr="00A045B1" w:rsidRDefault="00A045B1" w:rsidP="000F7A7F">
            <w:pPr>
              <w:pStyle w:val="Caption"/>
              <w:tabs>
                <w:tab w:val="left" w:pos="1238"/>
              </w:tabs>
              <w:spacing w:line="260" w:lineRule="exact"/>
              <w:ind w:right="115"/>
              <w:jc w:val="center"/>
              <w:rPr>
                <w:b/>
                <w:sz w:val="28"/>
                <w:szCs w:val="28"/>
              </w:rPr>
            </w:pPr>
            <w:r>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638C7B17" w14:textId="7B5F28E7" w:rsidR="00855B10"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its comment </w:t>
      </w:r>
      <w:r w:rsidR="00855B10">
        <w:rPr>
          <w:sz w:val="28"/>
          <w:szCs w:val="28"/>
        </w:rPr>
        <w:t>in support of</w:t>
      </w:r>
      <w:r w:rsidR="00A4249C">
        <w:rPr>
          <w:sz w:val="28"/>
          <w:szCs w:val="28"/>
        </w:rPr>
        <w:t xml:space="preserve"> </w:t>
      </w:r>
      <w:r w:rsidR="00C87955">
        <w:rPr>
          <w:sz w:val="28"/>
          <w:szCs w:val="28"/>
        </w:rPr>
        <w:t>Petition R-23-0006 (the “Petition”)</w:t>
      </w:r>
      <w:r w:rsidR="00855B10">
        <w:rPr>
          <w:sz w:val="28"/>
          <w:szCs w:val="28"/>
        </w:rPr>
        <w:t>,</w:t>
      </w:r>
      <w:r w:rsidR="00C87955">
        <w:rPr>
          <w:sz w:val="28"/>
          <w:szCs w:val="28"/>
        </w:rPr>
        <w:t xml:space="preserve"> submitted by the Arizona Bar Foundation</w:t>
      </w:r>
      <w:r w:rsidR="00CE4511">
        <w:rPr>
          <w:sz w:val="28"/>
          <w:szCs w:val="28"/>
        </w:rPr>
        <w:t xml:space="preserve"> (the “Foundation”)</w:t>
      </w:r>
      <w:r w:rsidR="00C87955">
        <w:rPr>
          <w:sz w:val="28"/>
          <w:szCs w:val="28"/>
        </w:rPr>
        <w:t>,</w:t>
      </w:r>
      <w:r w:rsidR="00855B10">
        <w:rPr>
          <w:sz w:val="28"/>
          <w:szCs w:val="28"/>
        </w:rPr>
        <w:t xml:space="preserve"> with </w:t>
      </w:r>
      <w:r w:rsidR="0072056B">
        <w:rPr>
          <w:sz w:val="28"/>
          <w:szCs w:val="28"/>
        </w:rPr>
        <w:t xml:space="preserve">one </w:t>
      </w:r>
      <w:r w:rsidR="00855B10">
        <w:rPr>
          <w:sz w:val="28"/>
          <w:szCs w:val="28"/>
        </w:rPr>
        <w:t>proposed modification</w:t>
      </w:r>
      <w:r w:rsidR="00A4249C">
        <w:rPr>
          <w:sz w:val="28"/>
          <w:szCs w:val="28"/>
        </w:rPr>
        <w:t>.</w:t>
      </w:r>
    </w:p>
    <w:p w14:paraId="2BDEDE1E" w14:textId="439AC8B0" w:rsidR="003D5829" w:rsidRDefault="00DA2A28" w:rsidP="00DA2A28">
      <w:pPr>
        <w:pStyle w:val="Body"/>
        <w:widowControl w:val="0"/>
        <w:numPr>
          <w:ilvl w:val="0"/>
          <w:numId w:val="17"/>
        </w:numPr>
        <w:spacing w:line="480" w:lineRule="auto"/>
        <w:jc w:val="both"/>
        <w:rPr>
          <w:sz w:val="28"/>
          <w:szCs w:val="28"/>
        </w:rPr>
      </w:pPr>
      <w:r>
        <w:rPr>
          <w:b/>
          <w:bCs/>
          <w:sz w:val="28"/>
          <w:szCs w:val="28"/>
        </w:rPr>
        <w:t>The Petition</w:t>
      </w:r>
    </w:p>
    <w:p w14:paraId="3AB08E0C" w14:textId="13C9B94D" w:rsidR="00D6581A" w:rsidRDefault="0089016D" w:rsidP="006766BF">
      <w:pPr>
        <w:pStyle w:val="Body"/>
        <w:widowControl w:val="0"/>
        <w:spacing w:line="480" w:lineRule="auto"/>
        <w:ind w:firstLine="720"/>
        <w:jc w:val="both"/>
        <w:rPr>
          <w:sz w:val="28"/>
          <w:szCs w:val="28"/>
        </w:rPr>
      </w:pPr>
      <w:r>
        <w:rPr>
          <w:sz w:val="28"/>
          <w:szCs w:val="28"/>
        </w:rPr>
        <w:t xml:space="preserve">Petition R-23-0006 </w:t>
      </w:r>
      <w:r w:rsidR="00896D13">
        <w:rPr>
          <w:sz w:val="28"/>
          <w:szCs w:val="28"/>
        </w:rPr>
        <w:t>i</w:t>
      </w:r>
      <w:r w:rsidR="00B80852">
        <w:rPr>
          <w:sz w:val="28"/>
          <w:szCs w:val="28"/>
        </w:rPr>
        <w:t>dentifies</w:t>
      </w:r>
      <w:r w:rsidR="00896D13">
        <w:rPr>
          <w:sz w:val="28"/>
          <w:szCs w:val="28"/>
        </w:rPr>
        <w:t xml:space="preserve"> and addresses concerns that arise from</w:t>
      </w:r>
      <w:r w:rsidR="00EC31D8">
        <w:rPr>
          <w:sz w:val="28"/>
          <w:szCs w:val="28"/>
        </w:rPr>
        <w:t xml:space="preserve"> certain</w:t>
      </w:r>
      <w:r w:rsidR="00896D13">
        <w:rPr>
          <w:sz w:val="28"/>
          <w:szCs w:val="28"/>
        </w:rPr>
        <w:t xml:space="preserve"> limitations within </w:t>
      </w:r>
      <w:r w:rsidR="0002691A">
        <w:rPr>
          <w:sz w:val="28"/>
          <w:szCs w:val="28"/>
        </w:rPr>
        <w:t xml:space="preserve">Arizona’s rules </w:t>
      </w:r>
      <w:r w:rsidR="00EC31D8">
        <w:rPr>
          <w:sz w:val="28"/>
          <w:szCs w:val="28"/>
        </w:rPr>
        <w:t>on</w:t>
      </w:r>
      <w:r w:rsidR="00B80852">
        <w:rPr>
          <w:sz w:val="28"/>
          <w:szCs w:val="28"/>
        </w:rPr>
        <w:t xml:space="preserve"> trust account</w:t>
      </w:r>
      <w:r w:rsidR="00896D13">
        <w:rPr>
          <w:sz w:val="28"/>
          <w:szCs w:val="28"/>
        </w:rPr>
        <w:t>s</w:t>
      </w:r>
      <w:r w:rsidR="00B80852">
        <w:rPr>
          <w:sz w:val="28"/>
          <w:szCs w:val="28"/>
        </w:rPr>
        <w:t>.</w:t>
      </w:r>
      <w:r w:rsidR="001C2CE5">
        <w:rPr>
          <w:sz w:val="28"/>
          <w:szCs w:val="28"/>
        </w:rPr>
        <w:t xml:space="preserve"> Specifically, </w:t>
      </w:r>
      <w:r w:rsidR="00896D13">
        <w:rPr>
          <w:sz w:val="28"/>
          <w:szCs w:val="28"/>
        </w:rPr>
        <w:t>the Petition correctly notes that:</w:t>
      </w:r>
    </w:p>
    <w:p w14:paraId="5BEE6CBF" w14:textId="43AB88D6" w:rsidR="003D5829" w:rsidRDefault="001C2CE5" w:rsidP="00D6581A">
      <w:pPr>
        <w:pStyle w:val="Body"/>
        <w:widowControl w:val="0"/>
        <w:spacing w:line="240" w:lineRule="auto"/>
        <w:ind w:left="720" w:right="720" w:firstLine="0"/>
        <w:jc w:val="both"/>
        <w:rPr>
          <w:sz w:val="28"/>
          <w:szCs w:val="28"/>
        </w:rPr>
      </w:pPr>
      <w:r>
        <w:rPr>
          <w:sz w:val="28"/>
          <w:szCs w:val="28"/>
        </w:rPr>
        <w:t xml:space="preserve">ER 1.15(a) and Rule 43(a), Ariz. R. Sup. Ct., restrict </w:t>
      </w:r>
      <w:r w:rsidRPr="001C2CE5">
        <w:rPr>
          <w:sz w:val="28"/>
          <w:szCs w:val="28"/>
        </w:rPr>
        <w:t xml:space="preserve">the type of funds </w:t>
      </w:r>
      <w:r w:rsidRPr="001C2CE5">
        <w:rPr>
          <w:sz w:val="28"/>
          <w:szCs w:val="28"/>
        </w:rPr>
        <w:lastRenderedPageBreak/>
        <w:t xml:space="preserve">that may be held in a client trust account to those </w:t>
      </w:r>
      <w:r w:rsidR="00B2589A">
        <w:rPr>
          <w:sz w:val="28"/>
          <w:szCs w:val="28"/>
        </w:rPr>
        <w:t>‘</w:t>
      </w:r>
      <w:r w:rsidRPr="001C2CE5">
        <w:rPr>
          <w:sz w:val="28"/>
          <w:szCs w:val="28"/>
        </w:rPr>
        <w:t>in connection with a representation.</w:t>
      </w:r>
      <w:r w:rsidR="00B2589A">
        <w:rPr>
          <w:sz w:val="28"/>
          <w:szCs w:val="28"/>
        </w:rPr>
        <w:t>’</w:t>
      </w:r>
      <w:r w:rsidR="00D6581A">
        <w:rPr>
          <w:sz w:val="28"/>
          <w:szCs w:val="28"/>
        </w:rPr>
        <w:t xml:space="preserve"> </w:t>
      </w:r>
      <w:r w:rsidR="00D6581A" w:rsidRPr="00D6581A">
        <w:rPr>
          <w:sz w:val="28"/>
          <w:szCs w:val="28"/>
        </w:rPr>
        <w:t xml:space="preserve">Lawyers who serve as third-party neutrals or expert witnesses do not provide those services </w:t>
      </w:r>
      <w:r w:rsidR="00B2589A">
        <w:rPr>
          <w:sz w:val="28"/>
          <w:szCs w:val="28"/>
        </w:rPr>
        <w:t>‘</w:t>
      </w:r>
      <w:r w:rsidR="00D6581A" w:rsidRPr="00D6581A">
        <w:rPr>
          <w:sz w:val="28"/>
          <w:szCs w:val="28"/>
        </w:rPr>
        <w:t>in connection with a representation</w:t>
      </w:r>
      <w:r w:rsidR="00B2589A">
        <w:rPr>
          <w:sz w:val="28"/>
          <w:szCs w:val="28"/>
        </w:rPr>
        <w:t>’</w:t>
      </w:r>
      <w:r w:rsidR="00D6581A" w:rsidRPr="00D6581A">
        <w:rPr>
          <w:sz w:val="28"/>
          <w:szCs w:val="28"/>
        </w:rPr>
        <w:t xml:space="preserve"> because they are not representing anyone in those matters. Funds paid in advance to a lawyer serving as a third-party neutral or expert witness therefore do not technically qualify as appropriate funds to be held in a client trust account</w:t>
      </w:r>
      <w:proofErr w:type="gramStart"/>
      <w:r w:rsidR="00D6581A" w:rsidRPr="00D6581A">
        <w:rPr>
          <w:sz w:val="28"/>
          <w:szCs w:val="28"/>
        </w:rPr>
        <w:t>.</w:t>
      </w:r>
      <w:r w:rsidR="00D6581A">
        <w:rPr>
          <w:sz w:val="28"/>
          <w:szCs w:val="28"/>
        </w:rPr>
        <w:t xml:space="preserve"> . . .</w:t>
      </w:r>
      <w:proofErr w:type="gramEnd"/>
      <w:r w:rsidR="00D6581A">
        <w:rPr>
          <w:sz w:val="28"/>
          <w:szCs w:val="28"/>
        </w:rPr>
        <w:t xml:space="preserve"> </w:t>
      </w:r>
      <w:r w:rsidR="00D6581A" w:rsidRPr="00D6581A">
        <w:rPr>
          <w:sz w:val="28"/>
          <w:szCs w:val="28"/>
        </w:rPr>
        <w:t>Regardless, both activities, when conducted by a lawyer, relate to the practice of law, and the lawyer remains subject to applicable Ethical Rules</w:t>
      </w:r>
      <w:r w:rsidR="001F27CE">
        <w:rPr>
          <w:sz w:val="28"/>
          <w:szCs w:val="28"/>
        </w:rPr>
        <w:t>.</w:t>
      </w:r>
    </w:p>
    <w:p w14:paraId="271E4AF0" w14:textId="77777777" w:rsidR="00D6581A" w:rsidRDefault="00D6581A" w:rsidP="00D6581A">
      <w:pPr>
        <w:pStyle w:val="Body"/>
        <w:widowControl w:val="0"/>
        <w:spacing w:line="240" w:lineRule="auto"/>
        <w:ind w:left="720" w:right="720" w:firstLine="0"/>
        <w:jc w:val="both"/>
        <w:rPr>
          <w:sz w:val="28"/>
          <w:szCs w:val="28"/>
        </w:rPr>
      </w:pPr>
    </w:p>
    <w:p w14:paraId="4CD76438" w14:textId="727D7CE3" w:rsidR="001F27CE" w:rsidRDefault="00D6581A" w:rsidP="00D6581A">
      <w:pPr>
        <w:pStyle w:val="Body"/>
        <w:widowControl w:val="0"/>
        <w:spacing w:line="480" w:lineRule="auto"/>
        <w:ind w:firstLine="0"/>
        <w:jc w:val="both"/>
        <w:rPr>
          <w:sz w:val="28"/>
          <w:szCs w:val="28"/>
        </w:rPr>
      </w:pPr>
      <w:r>
        <w:rPr>
          <w:sz w:val="28"/>
          <w:szCs w:val="28"/>
        </w:rPr>
        <w:t>Petition at p.2 (citations omitted).</w:t>
      </w:r>
      <w:r w:rsidR="001F27CE">
        <w:rPr>
          <w:sz w:val="28"/>
          <w:szCs w:val="28"/>
        </w:rPr>
        <w:t xml:space="preserve"> Yet</w:t>
      </w:r>
      <w:r w:rsidR="00C70640">
        <w:rPr>
          <w:sz w:val="28"/>
          <w:szCs w:val="28"/>
        </w:rPr>
        <w:t xml:space="preserve"> </w:t>
      </w:r>
      <w:r w:rsidR="001F27CE">
        <w:rPr>
          <w:sz w:val="28"/>
          <w:szCs w:val="28"/>
        </w:rPr>
        <w:t xml:space="preserve">the “same societal and professional interests </w:t>
      </w:r>
      <w:r w:rsidR="001F27CE" w:rsidRPr="001F27CE">
        <w:rPr>
          <w:sz w:val="28"/>
          <w:szCs w:val="28"/>
        </w:rPr>
        <w:t>that apply to protecting unearned client-related funds also apply to advance fees a lawyer who serves as a third-party neutral or expert may receive</w:t>
      </w:r>
      <w:r w:rsidR="001F27CE">
        <w:rPr>
          <w:sz w:val="28"/>
          <w:szCs w:val="28"/>
        </w:rPr>
        <w:t>”—including protecting the pay</w:t>
      </w:r>
      <w:r w:rsidR="00EC31D8">
        <w:rPr>
          <w:sz w:val="28"/>
          <w:szCs w:val="28"/>
        </w:rPr>
        <w:t>or</w:t>
      </w:r>
      <w:r w:rsidR="001F27CE">
        <w:rPr>
          <w:sz w:val="28"/>
          <w:szCs w:val="28"/>
        </w:rPr>
        <w:t xml:space="preserve">, </w:t>
      </w:r>
      <w:r w:rsidR="00EC31D8">
        <w:rPr>
          <w:sz w:val="28"/>
          <w:szCs w:val="28"/>
        </w:rPr>
        <w:t xml:space="preserve">mitigating the need for lawyers to maintain additional accounts </w:t>
      </w:r>
      <w:r w:rsidR="001F27CE">
        <w:rPr>
          <w:sz w:val="28"/>
          <w:szCs w:val="28"/>
        </w:rPr>
        <w:t xml:space="preserve">for these funds, and generating additional IOLTA revenue.  Petition at p.2-4. </w:t>
      </w:r>
    </w:p>
    <w:p w14:paraId="6F0CDAD2" w14:textId="6C2B036E" w:rsidR="00D6581A" w:rsidRDefault="00D6581A" w:rsidP="001F27CE">
      <w:pPr>
        <w:pStyle w:val="Body"/>
        <w:widowControl w:val="0"/>
        <w:spacing w:line="480" w:lineRule="auto"/>
        <w:ind w:firstLine="720"/>
        <w:jc w:val="both"/>
        <w:rPr>
          <w:sz w:val="28"/>
          <w:szCs w:val="28"/>
        </w:rPr>
      </w:pPr>
      <w:r>
        <w:rPr>
          <w:sz w:val="28"/>
          <w:szCs w:val="28"/>
        </w:rPr>
        <w:t xml:space="preserve">To address </w:t>
      </w:r>
      <w:r w:rsidR="001F27CE">
        <w:rPr>
          <w:sz w:val="28"/>
          <w:szCs w:val="28"/>
        </w:rPr>
        <w:t>these considerations</w:t>
      </w:r>
      <w:r>
        <w:rPr>
          <w:sz w:val="28"/>
          <w:szCs w:val="28"/>
        </w:rPr>
        <w:t>, the Petition proposes that an additional paragraph be added to ER 1.15, as follows:</w:t>
      </w:r>
    </w:p>
    <w:p w14:paraId="27F31252" w14:textId="4A129C7C" w:rsidR="00D6581A" w:rsidRDefault="00D6581A" w:rsidP="0089016D">
      <w:pPr>
        <w:pStyle w:val="Body"/>
        <w:widowControl w:val="0"/>
        <w:spacing w:line="240" w:lineRule="auto"/>
        <w:ind w:left="720" w:right="720" w:firstLine="0"/>
        <w:jc w:val="both"/>
        <w:rPr>
          <w:sz w:val="28"/>
          <w:szCs w:val="28"/>
          <w:u w:val="single"/>
        </w:rPr>
      </w:pPr>
      <w:r w:rsidRPr="000B7FCF">
        <w:rPr>
          <w:sz w:val="28"/>
          <w:szCs w:val="28"/>
          <w:u w:val="single"/>
        </w:rPr>
        <w:t>A lawyer who serves as a third-party neutral or as an expert witness may hold funds related to that service that have been paid in advance as provided for in this rule.</w:t>
      </w:r>
    </w:p>
    <w:p w14:paraId="470A1411" w14:textId="77777777" w:rsidR="0089016D" w:rsidRPr="0089016D" w:rsidRDefault="0089016D" w:rsidP="0089016D">
      <w:pPr>
        <w:pStyle w:val="Body"/>
        <w:widowControl w:val="0"/>
        <w:spacing w:line="240" w:lineRule="auto"/>
        <w:ind w:left="720" w:right="720" w:firstLine="0"/>
        <w:jc w:val="both"/>
        <w:rPr>
          <w:sz w:val="28"/>
          <w:szCs w:val="28"/>
          <w:u w:val="single"/>
        </w:rPr>
      </w:pPr>
    </w:p>
    <w:p w14:paraId="0BA935E5" w14:textId="747697D0" w:rsidR="00D6581A" w:rsidRDefault="00D6581A" w:rsidP="00D6581A">
      <w:pPr>
        <w:pStyle w:val="Body"/>
        <w:widowControl w:val="0"/>
        <w:spacing w:line="480" w:lineRule="auto"/>
        <w:ind w:firstLine="0"/>
        <w:jc w:val="both"/>
        <w:rPr>
          <w:sz w:val="28"/>
          <w:szCs w:val="28"/>
        </w:rPr>
      </w:pPr>
      <w:r>
        <w:rPr>
          <w:sz w:val="28"/>
          <w:szCs w:val="28"/>
        </w:rPr>
        <w:t>Petition at p.5.</w:t>
      </w:r>
    </w:p>
    <w:p w14:paraId="6966072A" w14:textId="2984A075" w:rsidR="00D6581A" w:rsidRDefault="00D6581A" w:rsidP="006766BF">
      <w:pPr>
        <w:pStyle w:val="Body"/>
        <w:widowControl w:val="0"/>
        <w:spacing w:line="480" w:lineRule="auto"/>
        <w:ind w:firstLine="720"/>
        <w:jc w:val="both"/>
        <w:rPr>
          <w:sz w:val="28"/>
          <w:szCs w:val="28"/>
        </w:rPr>
      </w:pPr>
      <w:r>
        <w:rPr>
          <w:sz w:val="28"/>
          <w:szCs w:val="28"/>
        </w:rPr>
        <w:t>The proposed new comment “</w:t>
      </w:r>
      <w:r w:rsidRPr="00D6581A">
        <w:rPr>
          <w:sz w:val="28"/>
          <w:szCs w:val="28"/>
        </w:rPr>
        <w:t>advises that, if the lawyer chooses to place advance fees in the client trust account, the lawyer must treat those funds the same as any other funds belonging to clients or third parties</w:t>
      </w:r>
      <w:r>
        <w:rPr>
          <w:sz w:val="28"/>
          <w:szCs w:val="28"/>
        </w:rPr>
        <w:t>,” as follows:</w:t>
      </w:r>
    </w:p>
    <w:p w14:paraId="26CFBA3C" w14:textId="4E5E2B85" w:rsidR="00D6581A" w:rsidRDefault="000B7FCF" w:rsidP="000B7FCF">
      <w:pPr>
        <w:pStyle w:val="Body"/>
        <w:widowControl w:val="0"/>
        <w:spacing w:line="240" w:lineRule="auto"/>
        <w:ind w:left="720" w:right="720" w:firstLine="0"/>
        <w:jc w:val="both"/>
        <w:rPr>
          <w:sz w:val="28"/>
          <w:szCs w:val="28"/>
          <w:u w:val="single"/>
        </w:rPr>
      </w:pPr>
      <w:r w:rsidRPr="000B7FCF">
        <w:rPr>
          <w:sz w:val="28"/>
          <w:szCs w:val="28"/>
          <w:u w:val="single"/>
        </w:rPr>
        <w:t xml:space="preserve">Paragraph (g) permits a lawyer who serves as a third-party neutral or as </w:t>
      </w:r>
      <w:r w:rsidRPr="000B7FCF">
        <w:rPr>
          <w:sz w:val="28"/>
          <w:szCs w:val="28"/>
          <w:u w:val="single"/>
        </w:rPr>
        <w:lastRenderedPageBreak/>
        <w:t>an expert witness to hold funds related to that service that have been paid in advance in the lawyer’s client trust account. If the lawyer serving as a third-party neutral or an expert witness chooses to do so, all requirements related to client trust accounts apply to those funds.</w:t>
      </w:r>
    </w:p>
    <w:p w14:paraId="0DB87C83" w14:textId="77777777" w:rsidR="000B7FCF" w:rsidRPr="000B7FCF" w:rsidRDefault="000B7FCF" w:rsidP="000B7FCF">
      <w:pPr>
        <w:pStyle w:val="Body"/>
        <w:widowControl w:val="0"/>
        <w:spacing w:line="240" w:lineRule="auto"/>
        <w:ind w:left="720" w:right="720" w:firstLine="0"/>
        <w:jc w:val="both"/>
        <w:rPr>
          <w:sz w:val="28"/>
          <w:szCs w:val="28"/>
          <w:u w:val="single"/>
        </w:rPr>
      </w:pPr>
    </w:p>
    <w:p w14:paraId="0DDE9489" w14:textId="77777777" w:rsidR="00896D13" w:rsidRDefault="000B7FCF" w:rsidP="000B7FCF">
      <w:pPr>
        <w:pStyle w:val="Body"/>
        <w:widowControl w:val="0"/>
        <w:spacing w:line="480" w:lineRule="auto"/>
        <w:ind w:firstLine="0"/>
        <w:jc w:val="both"/>
        <w:rPr>
          <w:sz w:val="28"/>
          <w:szCs w:val="28"/>
        </w:rPr>
      </w:pPr>
      <w:r>
        <w:rPr>
          <w:i/>
          <w:iCs/>
          <w:sz w:val="28"/>
          <w:szCs w:val="28"/>
        </w:rPr>
        <w:t>Id.</w:t>
      </w:r>
      <w:r w:rsidR="00F97363">
        <w:rPr>
          <w:i/>
          <w:iCs/>
          <w:sz w:val="28"/>
          <w:szCs w:val="28"/>
        </w:rPr>
        <w:t xml:space="preserve"> </w:t>
      </w:r>
      <w:r w:rsidR="00F97363">
        <w:rPr>
          <w:sz w:val="28"/>
          <w:szCs w:val="28"/>
        </w:rPr>
        <w:t xml:space="preserve"> </w:t>
      </w:r>
      <w:r w:rsidR="0089016D">
        <w:rPr>
          <w:sz w:val="28"/>
          <w:szCs w:val="28"/>
        </w:rPr>
        <w:t>Proposed c</w:t>
      </w:r>
      <w:r w:rsidR="00F97363">
        <w:rPr>
          <w:sz w:val="28"/>
          <w:szCs w:val="28"/>
        </w:rPr>
        <w:t xml:space="preserve">hanges to Rule 43(a) and ER 2.4 </w:t>
      </w:r>
      <w:r w:rsidR="0089016D">
        <w:rPr>
          <w:sz w:val="28"/>
          <w:szCs w:val="28"/>
        </w:rPr>
        <w:t>make similar modifications, in accordance</w:t>
      </w:r>
      <w:r w:rsidR="00F97363">
        <w:rPr>
          <w:sz w:val="28"/>
          <w:szCs w:val="28"/>
        </w:rPr>
        <w:t xml:space="preserve"> with the above.</w:t>
      </w:r>
      <w:r w:rsidR="00C70640">
        <w:rPr>
          <w:sz w:val="28"/>
          <w:szCs w:val="28"/>
        </w:rPr>
        <w:t xml:space="preserve"> </w:t>
      </w:r>
    </w:p>
    <w:p w14:paraId="4FE479E9" w14:textId="57022ECA" w:rsidR="000B7FCF" w:rsidRDefault="00C70640" w:rsidP="00896D13">
      <w:pPr>
        <w:pStyle w:val="Body"/>
        <w:widowControl w:val="0"/>
        <w:spacing w:line="480" w:lineRule="auto"/>
        <w:ind w:firstLine="720"/>
        <w:jc w:val="both"/>
        <w:rPr>
          <w:sz w:val="28"/>
          <w:szCs w:val="28"/>
        </w:rPr>
      </w:pPr>
      <w:r>
        <w:rPr>
          <w:sz w:val="28"/>
          <w:szCs w:val="28"/>
        </w:rPr>
        <w:t>In effect, the proposed rule changes would extend trust account protections to funds paid by parties who are not clients, such as</w:t>
      </w:r>
      <w:r w:rsidR="00EC31D8">
        <w:rPr>
          <w:sz w:val="28"/>
          <w:szCs w:val="28"/>
        </w:rPr>
        <w:t xml:space="preserve"> for mediation or service as an </w:t>
      </w:r>
      <w:r>
        <w:rPr>
          <w:sz w:val="28"/>
          <w:szCs w:val="28"/>
        </w:rPr>
        <w:t>expert witness</w:t>
      </w:r>
      <w:r w:rsidR="00EC31D8">
        <w:rPr>
          <w:sz w:val="28"/>
          <w:szCs w:val="28"/>
        </w:rPr>
        <w:t xml:space="preserve">. This would obviate the need for lawyers to open separate bank accounts specifically for such funds and would </w:t>
      </w:r>
      <w:r>
        <w:rPr>
          <w:sz w:val="28"/>
          <w:szCs w:val="28"/>
        </w:rPr>
        <w:t xml:space="preserve">allow interest on those funds to generate IOLTA revenue. </w:t>
      </w:r>
      <w:r w:rsidR="00896D13">
        <w:rPr>
          <w:sz w:val="28"/>
          <w:szCs w:val="28"/>
        </w:rPr>
        <w:t>The Petition goes on to note the almost nonexistent downside of this proposal, as the changes would merely permit—but not require—the use of trust accounts beyond what is currently allowed.</w:t>
      </w:r>
    </w:p>
    <w:p w14:paraId="3A3A1219" w14:textId="01DDC20E" w:rsidR="00F97363" w:rsidRDefault="00F97363" w:rsidP="0089016D">
      <w:pPr>
        <w:pStyle w:val="Body"/>
        <w:widowControl w:val="0"/>
        <w:spacing w:line="480" w:lineRule="auto"/>
        <w:ind w:firstLine="0"/>
        <w:jc w:val="both"/>
        <w:rPr>
          <w:sz w:val="28"/>
          <w:szCs w:val="28"/>
        </w:rPr>
      </w:pPr>
      <w:r>
        <w:rPr>
          <w:sz w:val="28"/>
          <w:szCs w:val="28"/>
        </w:rPr>
        <w:tab/>
        <w:t>The State Bar agrees w</w:t>
      </w:r>
      <w:r w:rsidR="0089016D">
        <w:rPr>
          <w:sz w:val="28"/>
          <w:szCs w:val="28"/>
        </w:rPr>
        <w:t>it</w:t>
      </w:r>
      <w:r>
        <w:rPr>
          <w:sz w:val="28"/>
          <w:szCs w:val="28"/>
        </w:rPr>
        <w:t>h</w:t>
      </w:r>
      <w:r w:rsidR="0089016D">
        <w:rPr>
          <w:sz w:val="28"/>
          <w:szCs w:val="28"/>
        </w:rPr>
        <w:t xml:space="preserve"> the</w:t>
      </w:r>
      <w:r w:rsidR="00896D13">
        <w:rPr>
          <w:sz w:val="28"/>
          <w:szCs w:val="28"/>
        </w:rPr>
        <w:t xml:space="preserve"> various considerations set forth by the</w:t>
      </w:r>
      <w:r w:rsidR="0089016D">
        <w:rPr>
          <w:sz w:val="28"/>
          <w:szCs w:val="28"/>
        </w:rPr>
        <w:t xml:space="preserve"> Foundation</w:t>
      </w:r>
      <w:r w:rsidR="00896D13">
        <w:rPr>
          <w:sz w:val="28"/>
          <w:szCs w:val="28"/>
        </w:rPr>
        <w:t xml:space="preserve"> that give rise to the proposed amendments to the trust account rules. T</w:t>
      </w:r>
      <w:r w:rsidR="0089016D">
        <w:rPr>
          <w:sz w:val="28"/>
          <w:szCs w:val="28"/>
        </w:rPr>
        <w:t>he</w:t>
      </w:r>
      <w:r>
        <w:rPr>
          <w:sz w:val="28"/>
          <w:szCs w:val="28"/>
        </w:rPr>
        <w:t xml:space="preserve"> State Bar </w:t>
      </w:r>
      <w:r w:rsidR="00EC31D8">
        <w:rPr>
          <w:sz w:val="28"/>
          <w:szCs w:val="28"/>
        </w:rPr>
        <w:t xml:space="preserve">also </w:t>
      </w:r>
      <w:r>
        <w:rPr>
          <w:sz w:val="28"/>
          <w:szCs w:val="28"/>
        </w:rPr>
        <w:t xml:space="preserve">supports the Petition’s stated aim </w:t>
      </w:r>
      <w:r w:rsidRPr="00C87955">
        <w:rPr>
          <w:sz w:val="28"/>
          <w:szCs w:val="28"/>
        </w:rPr>
        <w:t xml:space="preserve">to </w:t>
      </w:r>
      <w:r w:rsidR="00896D13">
        <w:rPr>
          <w:sz w:val="28"/>
          <w:szCs w:val="28"/>
        </w:rPr>
        <w:t>permit</w:t>
      </w:r>
      <w:r w:rsidRPr="00C87955">
        <w:rPr>
          <w:sz w:val="28"/>
          <w:szCs w:val="28"/>
        </w:rPr>
        <w:t xml:space="preserve"> lawyers who serve as third-party neutrals or expert witnesses to hold unearned fees related to those services in their client trust accounts</w:t>
      </w:r>
      <w:r>
        <w:rPr>
          <w:sz w:val="28"/>
          <w:szCs w:val="28"/>
        </w:rPr>
        <w:t>, provided they follow the applicable rules for those accounts</w:t>
      </w:r>
      <w:r w:rsidRPr="00C87955">
        <w:rPr>
          <w:sz w:val="28"/>
          <w:szCs w:val="28"/>
        </w:rPr>
        <w:t>.</w:t>
      </w:r>
      <w:r>
        <w:rPr>
          <w:sz w:val="28"/>
          <w:szCs w:val="28"/>
        </w:rPr>
        <w:t xml:space="preserve"> </w:t>
      </w:r>
    </w:p>
    <w:p w14:paraId="7CC6CE44" w14:textId="37CD38F7" w:rsidR="003D5829" w:rsidRPr="003D5829" w:rsidRDefault="00F97363" w:rsidP="002C14B6">
      <w:pPr>
        <w:pStyle w:val="Body"/>
        <w:widowControl w:val="0"/>
        <w:spacing w:line="480" w:lineRule="auto"/>
        <w:ind w:firstLine="720"/>
        <w:jc w:val="both"/>
        <w:rPr>
          <w:b/>
          <w:bCs/>
          <w:sz w:val="28"/>
          <w:szCs w:val="28"/>
        </w:rPr>
      </w:pPr>
      <w:r>
        <w:rPr>
          <w:sz w:val="28"/>
          <w:szCs w:val="28"/>
        </w:rPr>
        <w:t xml:space="preserve">  The State Bar, however, proposes </w:t>
      </w:r>
      <w:r w:rsidR="0072056B">
        <w:rPr>
          <w:sz w:val="28"/>
          <w:szCs w:val="28"/>
        </w:rPr>
        <w:t xml:space="preserve">one small </w:t>
      </w:r>
      <w:r>
        <w:rPr>
          <w:sz w:val="28"/>
          <w:szCs w:val="28"/>
        </w:rPr>
        <w:t>change to clarify the scope</w:t>
      </w:r>
      <w:r w:rsidR="00896D13">
        <w:rPr>
          <w:sz w:val="28"/>
          <w:szCs w:val="28"/>
        </w:rPr>
        <w:t xml:space="preserve"> and </w:t>
      </w:r>
      <w:r w:rsidR="00EC31D8">
        <w:rPr>
          <w:sz w:val="28"/>
          <w:szCs w:val="28"/>
        </w:rPr>
        <w:lastRenderedPageBreak/>
        <w:t>application</w:t>
      </w:r>
      <w:r>
        <w:rPr>
          <w:sz w:val="28"/>
          <w:szCs w:val="28"/>
        </w:rPr>
        <w:t xml:space="preserve"> of the proposed changes.  </w:t>
      </w:r>
    </w:p>
    <w:p w14:paraId="45EB0762" w14:textId="570F37E4" w:rsidR="003A34F8" w:rsidRDefault="0072056B" w:rsidP="006766BF">
      <w:pPr>
        <w:pStyle w:val="Body"/>
        <w:widowControl w:val="0"/>
        <w:spacing w:line="480" w:lineRule="auto"/>
        <w:ind w:firstLine="720"/>
        <w:jc w:val="both"/>
        <w:rPr>
          <w:sz w:val="28"/>
          <w:szCs w:val="28"/>
        </w:rPr>
      </w:pPr>
      <w:r>
        <w:rPr>
          <w:sz w:val="28"/>
          <w:szCs w:val="28"/>
        </w:rPr>
        <w:t>Specifically</w:t>
      </w:r>
      <w:r w:rsidR="00F97363">
        <w:rPr>
          <w:sz w:val="28"/>
          <w:szCs w:val="28"/>
        </w:rPr>
        <w:t>, the State Bar recommends clarifying the</w:t>
      </w:r>
      <w:r w:rsidR="002B6CF6">
        <w:rPr>
          <w:sz w:val="28"/>
          <w:szCs w:val="28"/>
        </w:rPr>
        <w:t xml:space="preserve"> </w:t>
      </w:r>
      <w:r w:rsidR="00F97363">
        <w:rPr>
          <w:sz w:val="28"/>
          <w:szCs w:val="28"/>
        </w:rPr>
        <w:t xml:space="preserve">language </w:t>
      </w:r>
      <w:r w:rsidR="002B6CF6">
        <w:rPr>
          <w:sz w:val="28"/>
          <w:szCs w:val="28"/>
        </w:rPr>
        <w:t>of the proposed</w:t>
      </w:r>
      <w:r w:rsidR="00F97363">
        <w:rPr>
          <w:sz w:val="28"/>
          <w:szCs w:val="28"/>
        </w:rPr>
        <w:t xml:space="preserve"> Comment to ER 1.15 to remove any ambiguity regarding when the trust account rules</w:t>
      </w:r>
      <w:r w:rsidR="00925FA2">
        <w:rPr>
          <w:sz w:val="28"/>
          <w:szCs w:val="28"/>
        </w:rPr>
        <w:t xml:space="preserve"> will</w:t>
      </w:r>
      <w:r w:rsidR="00F97363">
        <w:rPr>
          <w:sz w:val="28"/>
          <w:szCs w:val="28"/>
        </w:rPr>
        <w:t xml:space="preserve"> apply.</w:t>
      </w:r>
      <w:r w:rsidR="002B6CF6">
        <w:rPr>
          <w:sz w:val="28"/>
          <w:szCs w:val="28"/>
        </w:rPr>
        <w:t xml:space="preserve"> As currently stated, the </w:t>
      </w:r>
      <w:r w:rsidR="003A34F8">
        <w:rPr>
          <w:sz w:val="28"/>
          <w:szCs w:val="28"/>
        </w:rPr>
        <w:t xml:space="preserve">proposed comment </w:t>
      </w:r>
      <w:r w:rsidR="00B2589A">
        <w:rPr>
          <w:sz w:val="28"/>
          <w:szCs w:val="28"/>
        </w:rPr>
        <w:t>provides</w:t>
      </w:r>
      <w:r w:rsidR="003A34F8">
        <w:rPr>
          <w:sz w:val="28"/>
          <w:szCs w:val="28"/>
        </w:rPr>
        <w:t>:</w:t>
      </w:r>
    </w:p>
    <w:p w14:paraId="70BD03C9" w14:textId="0D09F16A" w:rsidR="003A34F8" w:rsidRPr="0091571F" w:rsidRDefault="003A34F8" w:rsidP="0091571F">
      <w:pPr>
        <w:spacing w:line="240" w:lineRule="auto"/>
        <w:ind w:left="720" w:right="720"/>
        <w:jc w:val="both"/>
        <w:rPr>
          <w:sz w:val="28"/>
          <w:szCs w:val="28"/>
          <w:u w:val="single"/>
        </w:rPr>
      </w:pPr>
      <w:r>
        <w:rPr>
          <w:sz w:val="28"/>
          <w:szCs w:val="28"/>
          <w:u w:val="single"/>
        </w:rPr>
        <w:t xml:space="preserve">Paragraph (g) permits a lawyer who serves as a third-party neutral or as an expert witness to hold funds related to that service that have been paid in advance in the lawyer’s client trust account. </w:t>
      </w:r>
      <w:r w:rsidRPr="0091571F">
        <w:rPr>
          <w:b/>
          <w:bCs/>
          <w:sz w:val="28"/>
          <w:szCs w:val="28"/>
          <w:u w:val="single"/>
        </w:rPr>
        <w:t>If the lawyer</w:t>
      </w:r>
      <w:r>
        <w:rPr>
          <w:sz w:val="28"/>
          <w:szCs w:val="28"/>
          <w:u w:val="single"/>
        </w:rPr>
        <w:t xml:space="preserve"> serving as a third-party neutral or an expert witness </w:t>
      </w:r>
      <w:r w:rsidRPr="0091571F">
        <w:rPr>
          <w:b/>
          <w:bCs/>
          <w:sz w:val="28"/>
          <w:szCs w:val="28"/>
          <w:u w:val="single"/>
        </w:rPr>
        <w:t>chooses to do so</w:t>
      </w:r>
      <w:r>
        <w:rPr>
          <w:sz w:val="28"/>
          <w:szCs w:val="28"/>
          <w:u w:val="single"/>
        </w:rPr>
        <w:t xml:space="preserve">, </w:t>
      </w:r>
      <w:r w:rsidRPr="0091571F">
        <w:rPr>
          <w:b/>
          <w:bCs/>
          <w:sz w:val="28"/>
          <w:szCs w:val="28"/>
          <w:u w:val="single"/>
        </w:rPr>
        <w:t>all requirements related to client trust accounts apply to those funds</w:t>
      </w:r>
      <w:r>
        <w:rPr>
          <w:sz w:val="28"/>
          <w:szCs w:val="28"/>
          <w:u w:val="single"/>
        </w:rPr>
        <w:t>.</w:t>
      </w:r>
    </w:p>
    <w:p w14:paraId="28A80E94" w14:textId="77777777" w:rsidR="0091571F" w:rsidRDefault="0091571F" w:rsidP="0091571F">
      <w:pPr>
        <w:pStyle w:val="Body"/>
        <w:widowControl w:val="0"/>
        <w:spacing w:line="240" w:lineRule="auto"/>
        <w:ind w:firstLine="0"/>
        <w:jc w:val="both"/>
        <w:rPr>
          <w:sz w:val="28"/>
          <w:szCs w:val="28"/>
        </w:rPr>
      </w:pPr>
    </w:p>
    <w:p w14:paraId="3352ACFC" w14:textId="5A3F02AC" w:rsidR="007617F2" w:rsidRDefault="003A34F8" w:rsidP="0091571F">
      <w:pPr>
        <w:pStyle w:val="Body"/>
        <w:widowControl w:val="0"/>
        <w:spacing w:line="480" w:lineRule="auto"/>
        <w:ind w:firstLine="720"/>
        <w:jc w:val="both"/>
        <w:rPr>
          <w:sz w:val="28"/>
          <w:szCs w:val="28"/>
        </w:rPr>
      </w:pPr>
      <w:r>
        <w:rPr>
          <w:sz w:val="28"/>
          <w:szCs w:val="28"/>
        </w:rPr>
        <w:t xml:space="preserve">Of particular concern to the State Bar is the </w:t>
      </w:r>
      <w:r w:rsidR="0091571F">
        <w:rPr>
          <w:sz w:val="28"/>
          <w:szCs w:val="28"/>
        </w:rPr>
        <w:t xml:space="preserve">bolded </w:t>
      </w:r>
      <w:r w:rsidR="0072056B">
        <w:rPr>
          <w:sz w:val="28"/>
          <w:szCs w:val="28"/>
        </w:rPr>
        <w:t xml:space="preserve">language </w:t>
      </w:r>
      <w:r w:rsidR="0091571F">
        <w:rPr>
          <w:sz w:val="28"/>
          <w:szCs w:val="28"/>
        </w:rPr>
        <w:t>above:</w:t>
      </w:r>
      <w:r>
        <w:rPr>
          <w:sz w:val="28"/>
          <w:szCs w:val="28"/>
        </w:rPr>
        <w:t xml:space="preserve"> “[</w:t>
      </w:r>
      <w:proofErr w:type="spellStart"/>
      <w:r>
        <w:rPr>
          <w:sz w:val="28"/>
          <w:szCs w:val="28"/>
        </w:rPr>
        <w:t>i</w:t>
      </w:r>
      <w:proofErr w:type="spellEnd"/>
      <w:r>
        <w:rPr>
          <w:sz w:val="28"/>
          <w:szCs w:val="28"/>
        </w:rPr>
        <w:t xml:space="preserve">]f the lawyer . . . </w:t>
      </w:r>
      <w:r>
        <w:rPr>
          <w:b/>
          <w:bCs/>
          <w:sz w:val="28"/>
          <w:szCs w:val="28"/>
        </w:rPr>
        <w:t>chooses to do so</w:t>
      </w:r>
      <w:r>
        <w:rPr>
          <w:sz w:val="28"/>
          <w:szCs w:val="28"/>
        </w:rPr>
        <w:t>, all requirements related to client trust accounts apply to those funds.” Although the impetus of the rule changes is clear—particularly when</w:t>
      </w:r>
      <w:r w:rsidR="0091571F">
        <w:rPr>
          <w:sz w:val="28"/>
          <w:szCs w:val="28"/>
        </w:rPr>
        <w:t xml:space="preserve"> </w:t>
      </w:r>
      <w:proofErr w:type="gramStart"/>
      <w:r w:rsidR="0091571F">
        <w:rPr>
          <w:sz w:val="28"/>
          <w:szCs w:val="28"/>
        </w:rPr>
        <w:t>all of</w:t>
      </w:r>
      <w:proofErr w:type="gramEnd"/>
      <w:r w:rsidR="0091571F">
        <w:rPr>
          <w:sz w:val="28"/>
          <w:szCs w:val="28"/>
        </w:rPr>
        <w:t xml:space="preserve"> the proposed amendments are</w:t>
      </w:r>
      <w:r>
        <w:rPr>
          <w:sz w:val="28"/>
          <w:szCs w:val="28"/>
        </w:rPr>
        <w:t xml:space="preserve"> read in conjunction—the highlighted language can arguably be said to apply to the</w:t>
      </w:r>
      <w:r w:rsidR="00925FA2">
        <w:rPr>
          <w:sz w:val="28"/>
          <w:szCs w:val="28"/>
        </w:rPr>
        <w:t xml:space="preserve"> language that precedes it </w:t>
      </w:r>
      <w:r w:rsidR="00925FA2">
        <w:rPr>
          <w:i/>
          <w:iCs/>
          <w:sz w:val="28"/>
          <w:szCs w:val="28"/>
        </w:rPr>
        <w:t xml:space="preserve">or </w:t>
      </w:r>
      <w:r w:rsidR="00925FA2">
        <w:rPr>
          <w:sz w:val="28"/>
          <w:szCs w:val="28"/>
        </w:rPr>
        <w:t xml:space="preserve">follows it. In other words, this language, as written, </w:t>
      </w:r>
      <w:r>
        <w:rPr>
          <w:sz w:val="28"/>
          <w:szCs w:val="28"/>
        </w:rPr>
        <w:t xml:space="preserve">can </w:t>
      </w:r>
      <w:r w:rsidR="0072056B">
        <w:rPr>
          <w:sz w:val="28"/>
          <w:szCs w:val="28"/>
        </w:rPr>
        <w:t xml:space="preserve">reasonably </w:t>
      </w:r>
      <w:r>
        <w:rPr>
          <w:sz w:val="28"/>
          <w:szCs w:val="28"/>
        </w:rPr>
        <w:t xml:space="preserve">be read </w:t>
      </w:r>
      <w:r w:rsidR="00925FA2">
        <w:rPr>
          <w:sz w:val="28"/>
          <w:szCs w:val="28"/>
        </w:rPr>
        <w:t>to state</w:t>
      </w:r>
      <w:r w:rsidR="0072056B">
        <w:rPr>
          <w:sz w:val="28"/>
          <w:szCs w:val="28"/>
        </w:rPr>
        <w:t xml:space="preserve"> either</w:t>
      </w:r>
      <w:r w:rsidR="00925FA2">
        <w:rPr>
          <w:sz w:val="28"/>
          <w:szCs w:val="28"/>
        </w:rPr>
        <w:t>,</w:t>
      </w:r>
      <w:r>
        <w:rPr>
          <w:sz w:val="28"/>
          <w:szCs w:val="28"/>
        </w:rPr>
        <w:t xml:space="preserve"> “when a lawyer chooses to hold funds in a client trust account . . . the</w:t>
      </w:r>
      <w:r w:rsidR="0091571F">
        <w:rPr>
          <w:sz w:val="28"/>
          <w:szCs w:val="28"/>
        </w:rPr>
        <w:t xml:space="preserve"> trust account</w:t>
      </w:r>
      <w:r>
        <w:rPr>
          <w:sz w:val="28"/>
          <w:szCs w:val="28"/>
        </w:rPr>
        <w:t xml:space="preserve"> rules apply</w:t>
      </w:r>
      <w:r w:rsidR="0091571F">
        <w:rPr>
          <w:sz w:val="28"/>
          <w:szCs w:val="28"/>
        </w:rPr>
        <w:t>”</w:t>
      </w:r>
      <w:r>
        <w:rPr>
          <w:sz w:val="28"/>
          <w:szCs w:val="28"/>
        </w:rPr>
        <w:t xml:space="preserve">; </w:t>
      </w:r>
      <w:r w:rsidR="0091571F">
        <w:rPr>
          <w:i/>
          <w:iCs/>
          <w:sz w:val="28"/>
          <w:szCs w:val="28"/>
        </w:rPr>
        <w:t xml:space="preserve">or </w:t>
      </w:r>
      <w:r>
        <w:rPr>
          <w:sz w:val="28"/>
          <w:szCs w:val="28"/>
        </w:rPr>
        <w:t>“the requirements related to trust accounts will apply</w:t>
      </w:r>
      <w:r w:rsidR="00925FA2">
        <w:rPr>
          <w:sz w:val="28"/>
          <w:szCs w:val="28"/>
        </w:rPr>
        <w:t xml:space="preserve"> . . .</w:t>
      </w:r>
      <w:r>
        <w:rPr>
          <w:sz w:val="28"/>
          <w:szCs w:val="28"/>
        </w:rPr>
        <w:t xml:space="preserve"> when the lawyer chooses.”</w:t>
      </w:r>
      <w:r w:rsidR="00925FA2">
        <w:rPr>
          <w:sz w:val="28"/>
          <w:szCs w:val="28"/>
        </w:rPr>
        <w:t xml:space="preserve"> This ambiguity may lead to confusion, inconsistent application, and resultant harm, in both practice and with respect to lawyer discipline. </w:t>
      </w:r>
      <w:r w:rsidR="007617F2">
        <w:rPr>
          <w:sz w:val="28"/>
          <w:szCs w:val="28"/>
        </w:rPr>
        <w:t xml:space="preserve"> </w:t>
      </w:r>
      <w:r w:rsidR="007617F2">
        <w:rPr>
          <w:i/>
          <w:iCs/>
          <w:sz w:val="28"/>
          <w:szCs w:val="28"/>
        </w:rPr>
        <w:t>See, e.g.,</w:t>
      </w:r>
      <w:r w:rsidR="00EB7F4F">
        <w:rPr>
          <w:sz w:val="28"/>
          <w:szCs w:val="28"/>
        </w:rPr>
        <w:t xml:space="preserve"> </w:t>
      </w:r>
      <w:r w:rsidR="00EB7F4F" w:rsidRPr="00EB7F4F">
        <w:rPr>
          <w:i/>
          <w:iCs/>
          <w:sz w:val="28"/>
          <w:szCs w:val="28"/>
        </w:rPr>
        <w:t>Hayes v. Cont</w:t>
      </w:r>
      <w:r w:rsidR="00DA2A28">
        <w:rPr>
          <w:i/>
          <w:iCs/>
          <w:sz w:val="28"/>
          <w:szCs w:val="28"/>
        </w:rPr>
        <w:t>’</w:t>
      </w:r>
      <w:r w:rsidR="00EB7F4F" w:rsidRPr="00EB7F4F">
        <w:rPr>
          <w:i/>
          <w:iCs/>
          <w:sz w:val="28"/>
          <w:szCs w:val="28"/>
        </w:rPr>
        <w:t>l Ins. Co.,</w:t>
      </w:r>
      <w:r w:rsidR="00EB7F4F" w:rsidRPr="00EB7F4F">
        <w:rPr>
          <w:sz w:val="28"/>
          <w:szCs w:val="28"/>
        </w:rPr>
        <w:t> 178 Ariz. 264, 872 P.2d 668 (1994)</w:t>
      </w:r>
      <w:r w:rsidR="00EB7F4F">
        <w:rPr>
          <w:sz w:val="28"/>
          <w:szCs w:val="28"/>
        </w:rPr>
        <w:t xml:space="preserve"> (“</w:t>
      </w:r>
      <w:r w:rsidR="00EB7F4F" w:rsidRPr="00EB7F4F">
        <w:rPr>
          <w:sz w:val="28"/>
          <w:szCs w:val="28"/>
        </w:rPr>
        <w:t xml:space="preserve">Ambiguity exists in </w:t>
      </w:r>
      <w:r w:rsidR="00EB7F4F" w:rsidRPr="00EB7F4F">
        <w:rPr>
          <w:sz w:val="28"/>
          <w:szCs w:val="28"/>
        </w:rPr>
        <w:lastRenderedPageBreak/>
        <w:t>a statute if there is uncertainty about the meaning or interpretation of a statute's terms</w:t>
      </w:r>
      <w:r w:rsidR="00EB7F4F">
        <w:rPr>
          <w:sz w:val="28"/>
          <w:szCs w:val="28"/>
        </w:rPr>
        <w:t>.”)</w:t>
      </w:r>
      <w:r w:rsidR="00B2589A">
        <w:rPr>
          <w:sz w:val="28"/>
          <w:szCs w:val="28"/>
        </w:rPr>
        <w:t>;</w:t>
      </w:r>
      <w:r w:rsidR="007617F2" w:rsidRPr="003A34F8">
        <w:rPr>
          <w:i/>
          <w:iCs/>
          <w:sz w:val="28"/>
          <w:szCs w:val="28"/>
        </w:rPr>
        <w:t xml:space="preserve"> Ball v. Ball, </w:t>
      </w:r>
      <w:r w:rsidR="007617F2" w:rsidRPr="003A34F8">
        <w:rPr>
          <w:sz w:val="28"/>
          <w:szCs w:val="28"/>
        </w:rPr>
        <w:t>250 Ariz. 273, 478 P.3d 704 (Ct. App. 2020)</w:t>
      </w:r>
      <w:r w:rsidR="007617F2">
        <w:rPr>
          <w:sz w:val="28"/>
          <w:szCs w:val="28"/>
        </w:rPr>
        <w:t xml:space="preserve"> (a</w:t>
      </w:r>
      <w:r w:rsidR="007617F2" w:rsidRPr="003A34F8">
        <w:rPr>
          <w:sz w:val="28"/>
          <w:szCs w:val="28"/>
        </w:rPr>
        <w:t xml:space="preserve"> document is ambiguous when language can reasonably be construed to have more than one meaning</w:t>
      </w:r>
      <w:r w:rsidR="007617F2">
        <w:rPr>
          <w:sz w:val="28"/>
          <w:szCs w:val="28"/>
        </w:rPr>
        <w:t xml:space="preserve">). </w:t>
      </w:r>
    </w:p>
    <w:p w14:paraId="7490B5FC" w14:textId="1242B62B" w:rsidR="004A339D" w:rsidRDefault="007617F2" w:rsidP="007617F2">
      <w:pPr>
        <w:pStyle w:val="Body"/>
        <w:widowControl w:val="0"/>
        <w:spacing w:line="480" w:lineRule="auto"/>
        <w:ind w:firstLine="720"/>
        <w:jc w:val="both"/>
        <w:rPr>
          <w:sz w:val="28"/>
          <w:szCs w:val="28"/>
        </w:rPr>
      </w:pPr>
      <w:r>
        <w:rPr>
          <w:sz w:val="28"/>
          <w:szCs w:val="28"/>
        </w:rPr>
        <w:t xml:space="preserve">Rather than </w:t>
      </w:r>
      <w:r w:rsidR="00DD6D86">
        <w:rPr>
          <w:sz w:val="28"/>
          <w:szCs w:val="28"/>
        </w:rPr>
        <w:t xml:space="preserve">attempting to </w:t>
      </w:r>
      <w:r w:rsidR="0072056B">
        <w:rPr>
          <w:sz w:val="28"/>
          <w:szCs w:val="28"/>
        </w:rPr>
        <w:t xml:space="preserve">address inconsistent </w:t>
      </w:r>
      <w:r w:rsidR="00DD6D86">
        <w:rPr>
          <w:sz w:val="28"/>
          <w:szCs w:val="28"/>
        </w:rPr>
        <w:t>interpretations of this comment after the rule</w:t>
      </w:r>
      <w:r w:rsidR="00925FA2">
        <w:rPr>
          <w:sz w:val="28"/>
          <w:szCs w:val="28"/>
        </w:rPr>
        <w:t xml:space="preserve"> change</w:t>
      </w:r>
      <w:r w:rsidR="00DD6D86">
        <w:rPr>
          <w:sz w:val="28"/>
          <w:szCs w:val="28"/>
        </w:rPr>
        <w:t>s have been</w:t>
      </w:r>
      <w:r w:rsidR="00925FA2">
        <w:rPr>
          <w:sz w:val="28"/>
          <w:szCs w:val="28"/>
        </w:rPr>
        <w:t xml:space="preserve"> (potentially)</w:t>
      </w:r>
      <w:r w:rsidR="00DD6D86">
        <w:rPr>
          <w:sz w:val="28"/>
          <w:szCs w:val="28"/>
        </w:rPr>
        <w:t xml:space="preserve"> implemented, </w:t>
      </w:r>
      <w:r w:rsidR="004A339D">
        <w:rPr>
          <w:sz w:val="28"/>
          <w:szCs w:val="28"/>
        </w:rPr>
        <w:t>the State Bar proposes</w:t>
      </w:r>
      <w:r>
        <w:rPr>
          <w:sz w:val="28"/>
          <w:szCs w:val="28"/>
        </w:rPr>
        <w:t xml:space="preserve"> that additional</w:t>
      </w:r>
      <w:r w:rsidR="00954EC3">
        <w:rPr>
          <w:sz w:val="28"/>
          <w:szCs w:val="28"/>
        </w:rPr>
        <w:t xml:space="preserve"> clarifying</w:t>
      </w:r>
      <w:r>
        <w:rPr>
          <w:sz w:val="28"/>
          <w:szCs w:val="28"/>
        </w:rPr>
        <w:t xml:space="preserve"> language be added to the proposed comment, as follows:</w:t>
      </w:r>
    </w:p>
    <w:p w14:paraId="4FEA8B25" w14:textId="01879E33" w:rsidR="003A34F8" w:rsidRDefault="004A339D" w:rsidP="002220AF">
      <w:pPr>
        <w:spacing w:line="240" w:lineRule="auto"/>
        <w:ind w:left="720" w:right="720"/>
        <w:jc w:val="both"/>
        <w:rPr>
          <w:sz w:val="28"/>
          <w:szCs w:val="28"/>
        </w:rPr>
      </w:pPr>
      <w:r w:rsidRPr="004A339D">
        <w:rPr>
          <w:sz w:val="28"/>
          <w:szCs w:val="28"/>
        </w:rPr>
        <w:t>Paragraph (g) permits a lawyer who serves as a third-party neutral or as an expert witness to hold funds related to that service that have been paid in advance in the lawyer’s client trust account. If the lawyer serving as a third-party neutral or an expert witness chooses to</w:t>
      </w:r>
      <w:r>
        <w:rPr>
          <w:sz w:val="28"/>
          <w:szCs w:val="28"/>
        </w:rPr>
        <w:t xml:space="preserve"> </w:t>
      </w:r>
      <w:r w:rsidRPr="004A339D">
        <w:rPr>
          <w:strike/>
          <w:sz w:val="28"/>
          <w:szCs w:val="28"/>
        </w:rPr>
        <w:t>do so</w:t>
      </w:r>
      <w:r w:rsidRPr="004A339D">
        <w:rPr>
          <w:sz w:val="28"/>
          <w:szCs w:val="28"/>
        </w:rPr>
        <w:t xml:space="preserve"> </w:t>
      </w:r>
      <w:r>
        <w:rPr>
          <w:b/>
          <w:bCs/>
          <w:sz w:val="28"/>
          <w:szCs w:val="28"/>
          <w:u w:val="single"/>
        </w:rPr>
        <w:t>deposit such funds into a client trust account</w:t>
      </w:r>
      <w:r w:rsidRPr="004A339D">
        <w:rPr>
          <w:sz w:val="28"/>
          <w:szCs w:val="28"/>
        </w:rPr>
        <w:t>, all requirements related to client trust accounts apply to those funds.</w:t>
      </w:r>
    </w:p>
    <w:p w14:paraId="4D74C2F7" w14:textId="77777777" w:rsidR="007617F2" w:rsidRPr="002220AF" w:rsidRDefault="007617F2" w:rsidP="002220AF">
      <w:pPr>
        <w:spacing w:line="240" w:lineRule="auto"/>
        <w:ind w:left="720" w:right="720"/>
        <w:jc w:val="both"/>
        <w:rPr>
          <w:rStyle w:val="BodyTextChar"/>
          <w:sz w:val="28"/>
          <w:szCs w:val="28"/>
        </w:rPr>
      </w:pPr>
    </w:p>
    <w:p w14:paraId="264D3E32" w14:textId="17C7391F" w:rsidR="007617F2" w:rsidRPr="007617F2" w:rsidRDefault="007617F2" w:rsidP="00954EC3">
      <w:pPr>
        <w:pStyle w:val="Body"/>
        <w:widowControl w:val="0"/>
        <w:spacing w:line="480" w:lineRule="auto"/>
        <w:ind w:firstLine="0"/>
        <w:jc w:val="both"/>
        <w:rPr>
          <w:rStyle w:val="BodyTextChar"/>
          <w:bCs/>
          <w:sz w:val="28"/>
          <w:szCs w:val="28"/>
        </w:rPr>
      </w:pPr>
      <w:r>
        <w:rPr>
          <w:rStyle w:val="BodyTextChar"/>
          <w:bCs/>
          <w:sz w:val="28"/>
          <w:szCs w:val="28"/>
        </w:rPr>
        <w:tab/>
        <w:t>To do so greatly reduces the risk—however small—that a lawyer</w:t>
      </w:r>
      <w:r w:rsidR="00DD6D86">
        <w:rPr>
          <w:rStyle w:val="BodyTextChar"/>
          <w:bCs/>
          <w:sz w:val="28"/>
          <w:szCs w:val="28"/>
        </w:rPr>
        <w:t xml:space="preserve"> </w:t>
      </w:r>
      <w:r w:rsidR="00954EC3">
        <w:rPr>
          <w:rStyle w:val="BodyTextChar"/>
          <w:bCs/>
          <w:sz w:val="28"/>
          <w:szCs w:val="28"/>
        </w:rPr>
        <w:t xml:space="preserve">will determine that trust account rules apply to trust funds </w:t>
      </w:r>
      <w:r w:rsidR="0072056B">
        <w:rPr>
          <w:rStyle w:val="BodyTextChar"/>
          <w:bCs/>
          <w:sz w:val="28"/>
          <w:szCs w:val="28"/>
        </w:rPr>
        <w:t>only</w:t>
      </w:r>
      <w:r w:rsidR="00954EC3">
        <w:rPr>
          <w:rStyle w:val="BodyTextChar"/>
          <w:bCs/>
          <w:sz w:val="28"/>
          <w:szCs w:val="28"/>
        </w:rPr>
        <w:t xml:space="preserve"> when he or she </w:t>
      </w:r>
      <w:r w:rsidR="00925FA2">
        <w:rPr>
          <w:rStyle w:val="BodyTextChar"/>
          <w:bCs/>
          <w:sz w:val="28"/>
          <w:szCs w:val="28"/>
        </w:rPr>
        <w:t xml:space="preserve">so </w:t>
      </w:r>
      <w:r w:rsidR="00954EC3">
        <w:rPr>
          <w:rStyle w:val="BodyTextChar"/>
          <w:bCs/>
          <w:sz w:val="28"/>
          <w:szCs w:val="28"/>
        </w:rPr>
        <w:t xml:space="preserve">“chooses,” </w:t>
      </w:r>
      <w:r w:rsidR="00DD6D86">
        <w:rPr>
          <w:rStyle w:val="BodyTextChar"/>
          <w:bCs/>
          <w:sz w:val="28"/>
          <w:szCs w:val="28"/>
        </w:rPr>
        <w:t xml:space="preserve">to the possible detriment of parties, clients, and/or the lawyer’s professional standing. </w:t>
      </w:r>
    </w:p>
    <w:p w14:paraId="74CBABD8" w14:textId="13686090"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50E70DBD" w:rsidR="000F7C13" w:rsidRPr="006F63FD" w:rsidRDefault="000C48A9" w:rsidP="006766BF">
      <w:pPr>
        <w:pStyle w:val="Body"/>
        <w:widowControl w:val="0"/>
        <w:tabs>
          <w:tab w:val="left" w:pos="720"/>
        </w:tabs>
        <w:spacing w:line="480" w:lineRule="auto"/>
        <w:ind w:firstLine="0"/>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2220AF">
        <w:rPr>
          <w:sz w:val="28"/>
          <w:szCs w:val="28"/>
        </w:rPr>
        <w:t xml:space="preserve"> fully supports the Foundation’s goal of removing barriers to the use of client trust accounts when merited, as is the case here. To further clarify and apply these changes in appropriate ways, </w:t>
      </w:r>
      <w:r w:rsidR="00925FA2">
        <w:rPr>
          <w:sz w:val="28"/>
          <w:szCs w:val="28"/>
        </w:rPr>
        <w:t xml:space="preserve">though, </w:t>
      </w:r>
      <w:r w:rsidR="002220AF">
        <w:rPr>
          <w:sz w:val="28"/>
          <w:szCs w:val="28"/>
        </w:rPr>
        <w:t>and to re</w:t>
      </w:r>
      <w:r w:rsidR="00925FA2">
        <w:rPr>
          <w:sz w:val="28"/>
          <w:szCs w:val="28"/>
        </w:rPr>
        <w:t>duce</w:t>
      </w:r>
      <w:r w:rsidR="002220AF">
        <w:rPr>
          <w:sz w:val="28"/>
          <w:szCs w:val="28"/>
        </w:rPr>
        <w:t xml:space="preserve"> </w:t>
      </w:r>
      <w:r w:rsidR="002220AF">
        <w:rPr>
          <w:sz w:val="28"/>
          <w:szCs w:val="28"/>
        </w:rPr>
        <w:lastRenderedPageBreak/>
        <w:t xml:space="preserve">the risk of </w:t>
      </w:r>
      <w:r w:rsidR="00925FA2">
        <w:rPr>
          <w:sz w:val="28"/>
          <w:szCs w:val="28"/>
        </w:rPr>
        <w:t>potential confusion over the requirements applicable to the proposed rule cha</w:t>
      </w:r>
      <w:r w:rsidR="00CD4D65">
        <w:rPr>
          <w:sz w:val="28"/>
          <w:szCs w:val="28"/>
        </w:rPr>
        <w:t xml:space="preserve">nges, the State Bar </w:t>
      </w:r>
      <w:r w:rsidR="000F7C13" w:rsidRPr="006F63FD">
        <w:rPr>
          <w:sz w:val="28"/>
          <w:szCs w:val="28"/>
        </w:rPr>
        <w:t xml:space="preserve">respectfully requests that </w:t>
      </w:r>
      <w:r w:rsidR="00CD4D65">
        <w:rPr>
          <w:sz w:val="28"/>
          <w:szCs w:val="28"/>
        </w:rPr>
        <w:t>the Petition be adopted</w:t>
      </w:r>
      <w:r w:rsidR="007617F2">
        <w:rPr>
          <w:sz w:val="28"/>
          <w:szCs w:val="28"/>
        </w:rPr>
        <w:t xml:space="preserve"> with modification</w:t>
      </w:r>
      <w:r w:rsidR="00925FA2">
        <w:rPr>
          <w:sz w:val="28"/>
          <w:szCs w:val="28"/>
        </w:rPr>
        <w:t>,</w:t>
      </w:r>
      <w:r w:rsidR="007617F2">
        <w:rPr>
          <w:sz w:val="28"/>
          <w:szCs w:val="28"/>
        </w:rPr>
        <w:t xml:space="preserve"> as set forth herein</w:t>
      </w:r>
      <w:r w:rsidR="00CD4D65">
        <w:rPr>
          <w:sz w:val="28"/>
          <w:szCs w:val="28"/>
        </w:rPr>
        <w:t>.</w:t>
      </w:r>
    </w:p>
    <w:p w14:paraId="5D02FE20" w14:textId="77777777" w:rsidR="000F7A7F" w:rsidRPr="000F7A7F" w:rsidRDefault="000F7A7F" w:rsidP="000F7C13">
      <w:pPr>
        <w:pStyle w:val="Body"/>
        <w:widowControl w:val="0"/>
        <w:tabs>
          <w:tab w:val="left" w:pos="720"/>
        </w:tabs>
        <w:ind w:firstLine="0"/>
        <w:rPr>
          <w:szCs w:val="26"/>
        </w:rPr>
      </w:pPr>
    </w:p>
    <w:p w14:paraId="56DC022B" w14:textId="1E6EF385"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A045B1">
        <w:rPr>
          <w:sz w:val="28"/>
          <w:szCs w:val="28"/>
        </w:rPr>
        <w:t>27</w:t>
      </w:r>
      <w:r w:rsidR="00A045B1" w:rsidRPr="00A045B1">
        <w:rPr>
          <w:sz w:val="28"/>
          <w:szCs w:val="28"/>
          <w:vertAlign w:val="superscript"/>
        </w:rPr>
        <w:t>th</w:t>
      </w:r>
      <w:r w:rsidR="00A045B1">
        <w:rPr>
          <w:sz w:val="28"/>
          <w:szCs w:val="28"/>
        </w:rPr>
        <w:t xml:space="preserve"> </w:t>
      </w:r>
      <w:r w:rsidR="000C48A9" w:rsidRPr="006F63FD">
        <w:rPr>
          <w:sz w:val="28"/>
          <w:szCs w:val="28"/>
        </w:rPr>
        <w:t>day of</w:t>
      </w:r>
      <w:r w:rsidR="00A045B1">
        <w:rPr>
          <w:sz w:val="28"/>
          <w:szCs w:val="28"/>
        </w:rPr>
        <w:t xml:space="preserve"> </w:t>
      </w:r>
      <w:proofErr w:type="gramStart"/>
      <w:r w:rsidR="00A045B1">
        <w:rPr>
          <w:sz w:val="28"/>
          <w:szCs w:val="28"/>
        </w:rPr>
        <w:t>April,</w:t>
      </w:r>
      <w:proofErr w:type="gramEnd"/>
      <w:r w:rsidR="00D60D9B">
        <w:rPr>
          <w:sz w:val="28"/>
          <w:szCs w:val="28"/>
        </w:rPr>
        <w:t xml:space="preserve"> 20</w:t>
      </w:r>
      <w:r w:rsidR="00954A5E">
        <w:rPr>
          <w:sz w:val="28"/>
          <w:szCs w:val="28"/>
        </w:rPr>
        <w:t>2</w:t>
      </w:r>
      <w:r w:rsidR="00334B42">
        <w:rPr>
          <w:sz w:val="28"/>
          <w:szCs w:val="28"/>
        </w:rPr>
        <w:t>3</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1EBC3DDC" w:rsidR="000C48A9" w:rsidRPr="00A045B1" w:rsidRDefault="00A045B1"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1FCB5878"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A045B1">
        <w:rPr>
          <w:sz w:val="28"/>
          <w:szCs w:val="28"/>
        </w:rPr>
        <w:t>27</w:t>
      </w:r>
      <w:r w:rsidR="00A045B1" w:rsidRPr="00A045B1">
        <w:rPr>
          <w:sz w:val="28"/>
          <w:szCs w:val="28"/>
          <w:vertAlign w:val="superscript"/>
        </w:rPr>
        <w:t>th</w:t>
      </w:r>
      <w:r w:rsidR="00A045B1">
        <w:rPr>
          <w:sz w:val="28"/>
          <w:szCs w:val="28"/>
        </w:rPr>
        <w:t xml:space="preserve"> </w:t>
      </w:r>
      <w:r w:rsidR="00A045B1" w:rsidRPr="00C52E56">
        <w:rPr>
          <w:sz w:val="28"/>
          <w:szCs w:val="28"/>
        </w:rPr>
        <w:t>day</w:t>
      </w:r>
      <w:r w:rsidR="000F7A7F" w:rsidRPr="00C52E56">
        <w:rPr>
          <w:sz w:val="28"/>
          <w:szCs w:val="28"/>
        </w:rPr>
        <w:t xml:space="preserve"> of </w:t>
      </w:r>
      <w:proofErr w:type="gramStart"/>
      <w:r w:rsidR="00A045B1">
        <w:rPr>
          <w:sz w:val="28"/>
          <w:szCs w:val="28"/>
        </w:rPr>
        <w:t>April</w:t>
      </w:r>
      <w:r w:rsidR="006F63FD" w:rsidRPr="00C52E56">
        <w:rPr>
          <w:sz w:val="28"/>
          <w:szCs w:val="28"/>
        </w:rPr>
        <w:t>,</w:t>
      </w:r>
      <w:proofErr w:type="gramEnd"/>
      <w:r w:rsidR="006F63FD" w:rsidRPr="00C52E56">
        <w:rPr>
          <w:sz w:val="28"/>
          <w:szCs w:val="28"/>
        </w:rPr>
        <w:t xml:space="preserve">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6E5498A8" w:rsidR="000C48A9" w:rsidRPr="00C52E56" w:rsidRDefault="000C48A9" w:rsidP="000C48A9">
      <w:pPr>
        <w:spacing w:line="240" w:lineRule="auto"/>
        <w:ind w:right="4572"/>
        <w:rPr>
          <w:sz w:val="28"/>
          <w:szCs w:val="28"/>
        </w:rPr>
      </w:pPr>
      <w:r w:rsidRPr="00C52E56">
        <w:rPr>
          <w:sz w:val="28"/>
          <w:szCs w:val="28"/>
        </w:rPr>
        <w:t xml:space="preserve">by: </w:t>
      </w:r>
      <w:r w:rsidR="00A045B1">
        <w:rPr>
          <w:sz w:val="28"/>
          <w:szCs w:val="28"/>
        </w:rPr>
        <w:t>P Seguin</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A045B1">
      <w:headerReference w:type="default" r:id="rId8"/>
      <w:footerReference w:type="even" r:id="rId9"/>
      <w:footerReference w:type="default" r:id="rId10"/>
      <w:pgSz w:w="12240" w:h="15840" w:code="1"/>
      <w:pgMar w:top="0" w:right="1440" w:bottom="189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AB8D" w14:textId="77777777" w:rsidR="00CE1657" w:rsidRDefault="00CE1657">
      <w:r>
        <w:separator/>
      </w:r>
    </w:p>
  </w:endnote>
  <w:endnote w:type="continuationSeparator" w:id="0">
    <w:p w14:paraId="5CAC1CC2" w14:textId="77777777" w:rsidR="00CE1657" w:rsidRDefault="00CE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3217" w14:textId="77777777" w:rsidR="00CE1657" w:rsidRDefault="00CE1657">
      <w:r>
        <w:separator/>
      </w:r>
    </w:p>
  </w:footnote>
  <w:footnote w:type="continuationSeparator" w:id="0">
    <w:p w14:paraId="42C3619F" w14:textId="77777777" w:rsidR="00CE1657" w:rsidRDefault="00CE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505F2"/>
    <w:multiLevelType w:val="hybridMultilevel"/>
    <w:tmpl w:val="B1F0E660"/>
    <w:lvl w:ilvl="0" w:tplc="1738282E">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122229"/>
    <w:multiLevelType w:val="hybridMultilevel"/>
    <w:tmpl w:val="0D8E3E1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2A7521"/>
    <w:multiLevelType w:val="hybridMultilevel"/>
    <w:tmpl w:val="70E20A9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4853263">
    <w:abstractNumId w:val="14"/>
  </w:num>
  <w:num w:numId="2" w16cid:durableId="272247144">
    <w:abstractNumId w:val="15"/>
  </w:num>
  <w:num w:numId="3" w16cid:durableId="383334695">
    <w:abstractNumId w:val="0"/>
  </w:num>
  <w:num w:numId="4" w16cid:durableId="357661641">
    <w:abstractNumId w:val="6"/>
  </w:num>
  <w:num w:numId="5" w16cid:durableId="582229309">
    <w:abstractNumId w:val="8"/>
  </w:num>
  <w:num w:numId="6" w16cid:durableId="2081948026">
    <w:abstractNumId w:val="9"/>
  </w:num>
  <w:num w:numId="7" w16cid:durableId="568148980">
    <w:abstractNumId w:val="1"/>
  </w:num>
  <w:num w:numId="8" w16cid:durableId="1449467032">
    <w:abstractNumId w:val="16"/>
  </w:num>
  <w:num w:numId="9" w16cid:durableId="1788695407">
    <w:abstractNumId w:val="10"/>
  </w:num>
  <w:num w:numId="10" w16cid:durableId="1008169774">
    <w:abstractNumId w:val="12"/>
  </w:num>
  <w:num w:numId="11" w16cid:durableId="471412719">
    <w:abstractNumId w:val="11"/>
  </w:num>
  <w:num w:numId="12" w16cid:durableId="1508599697">
    <w:abstractNumId w:val="7"/>
  </w:num>
  <w:num w:numId="13" w16cid:durableId="669060833">
    <w:abstractNumId w:val="2"/>
  </w:num>
  <w:num w:numId="14" w16cid:durableId="1307399184">
    <w:abstractNumId w:val="5"/>
  </w:num>
  <w:num w:numId="15" w16cid:durableId="1395351869">
    <w:abstractNumId w:val="4"/>
  </w:num>
  <w:num w:numId="16" w16cid:durableId="1753968313">
    <w:abstractNumId w:val="13"/>
  </w:num>
  <w:num w:numId="17" w16cid:durableId="643462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2691A"/>
    <w:rsid w:val="000410B3"/>
    <w:rsid w:val="00043D4D"/>
    <w:rsid w:val="00052372"/>
    <w:rsid w:val="000666D1"/>
    <w:rsid w:val="0008003D"/>
    <w:rsid w:val="000917C0"/>
    <w:rsid w:val="000A1D6B"/>
    <w:rsid w:val="000B7FCF"/>
    <w:rsid w:val="000C48A9"/>
    <w:rsid w:val="000F7A7F"/>
    <w:rsid w:val="000F7C13"/>
    <w:rsid w:val="00135326"/>
    <w:rsid w:val="001A2520"/>
    <w:rsid w:val="001C2CE5"/>
    <w:rsid w:val="001F27CE"/>
    <w:rsid w:val="001F591C"/>
    <w:rsid w:val="00207336"/>
    <w:rsid w:val="002220AF"/>
    <w:rsid w:val="00247AC4"/>
    <w:rsid w:val="00265D47"/>
    <w:rsid w:val="00274D6A"/>
    <w:rsid w:val="002B6CF6"/>
    <w:rsid w:val="002C14B6"/>
    <w:rsid w:val="00334B42"/>
    <w:rsid w:val="00352347"/>
    <w:rsid w:val="003566D6"/>
    <w:rsid w:val="00357F4D"/>
    <w:rsid w:val="003617D1"/>
    <w:rsid w:val="003759F0"/>
    <w:rsid w:val="00377199"/>
    <w:rsid w:val="003A28AC"/>
    <w:rsid w:val="003A34F8"/>
    <w:rsid w:val="003D5829"/>
    <w:rsid w:val="00407E2D"/>
    <w:rsid w:val="004331B2"/>
    <w:rsid w:val="00440E4C"/>
    <w:rsid w:val="00463734"/>
    <w:rsid w:val="00494BDF"/>
    <w:rsid w:val="004A339D"/>
    <w:rsid w:val="004C3AE3"/>
    <w:rsid w:val="00504E1E"/>
    <w:rsid w:val="00506859"/>
    <w:rsid w:val="00520F93"/>
    <w:rsid w:val="00566856"/>
    <w:rsid w:val="005845AE"/>
    <w:rsid w:val="005A21B0"/>
    <w:rsid w:val="005B5161"/>
    <w:rsid w:val="005D1D30"/>
    <w:rsid w:val="005D6AD4"/>
    <w:rsid w:val="006338C1"/>
    <w:rsid w:val="00636F5E"/>
    <w:rsid w:val="00665CCF"/>
    <w:rsid w:val="006666D1"/>
    <w:rsid w:val="006721EC"/>
    <w:rsid w:val="006766BF"/>
    <w:rsid w:val="00692391"/>
    <w:rsid w:val="006932BA"/>
    <w:rsid w:val="006B4F9A"/>
    <w:rsid w:val="006E4770"/>
    <w:rsid w:val="006F63FD"/>
    <w:rsid w:val="0072056B"/>
    <w:rsid w:val="00732169"/>
    <w:rsid w:val="00735659"/>
    <w:rsid w:val="007427C6"/>
    <w:rsid w:val="0075365A"/>
    <w:rsid w:val="007617F2"/>
    <w:rsid w:val="0077110E"/>
    <w:rsid w:val="007870CB"/>
    <w:rsid w:val="007A3F0F"/>
    <w:rsid w:val="007D5C49"/>
    <w:rsid w:val="007D73FF"/>
    <w:rsid w:val="007E3CCB"/>
    <w:rsid w:val="008006ED"/>
    <w:rsid w:val="00822598"/>
    <w:rsid w:val="00831373"/>
    <w:rsid w:val="008360A1"/>
    <w:rsid w:val="00855B10"/>
    <w:rsid w:val="00860FA0"/>
    <w:rsid w:val="00861563"/>
    <w:rsid w:val="00871AAA"/>
    <w:rsid w:val="00876F57"/>
    <w:rsid w:val="0089016D"/>
    <w:rsid w:val="00891AAA"/>
    <w:rsid w:val="00896D13"/>
    <w:rsid w:val="008A4EB3"/>
    <w:rsid w:val="0091571F"/>
    <w:rsid w:val="00925FA2"/>
    <w:rsid w:val="00933EA1"/>
    <w:rsid w:val="00951416"/>
    <w:rsid w:val="00954A5E"/>
    <w:rsid w:val="00954EC3"/>
    <w:rsid w:val="00960D21"/>
    <w:rsid w:val="00964AF4"/>
    <w:rsid w:val="00981D29"/>
    <w:rsid w:val="00981E11"/>
    <w:rsid w:val="00993878"/>
    <w:rsid w:val="009C369C"/>
    <w:rsid w:val="00A045B1"/>
    <w:rsid w:val="00A1564B"/>
    <w:rsid w:val="00A4249C"/>
    <w:rsid w:val="00A5194F"/>
    <w:rsid w:val="00A871D6"/>
    <w:rsid w:val="00A93A7C"/>
    <w:rsid w:val="00AF282C"/>
    <w:rsid w:val="00AF3FF7"/>
    <w:rsid w:val="00B1491D"/>
    <w:rsid w:val="00B2589A"/>
    <w:rsid w:val="00B47B7D"/>
    <w:rsid w:val="00B80852"/>
    <w:rsid w:val="00C03E0F"/>
    <w:rsid w:val="00C52E56"/>
    <w:rsid w:val="00C5407A"/>
    <w:rsid w:val="00C662B0"/>
    <w:rsid w:val="00C70640"/>
    <w:rsid w:val="00C84FD4"/>
    <w:rsid w:val="00C87955"/>
    <w:rsid w:val="00C958EE"/>
    <w:rsid w:val="00CD21FB"/>
    <w:rsid w:val="00CD4D65"/>
    <w:rsid w:val="00CE1657"/>
    <w:rsid w:val="00CE4511"/>
    <w:rsid w:val="00D423FE"/>
    <w:rsid w:val="00D442E4"/>
    <w:rsid w:val="00D60D9B"/>
    <w:rsid w:val="00D6581A"/>
    <w:rsid w:val="00D80EDC"/>
    <w:rsid w:val="00DA2A28"/>
    <w:rsid w:val="00DD6D86"/>
    <w:rsid w:val="00DF4F15"/>
    <w:rsid w:val="00E047D3"/>
    <w:rsid w:val="00E266B7"/>
    <w:rsid w:val="00E321C5"/>
    <w:rsid w:val="00E5772B"/>
    <w:rsid w:val="00E67511"/>
    <w:rsid w:val="00E81026"/>
    <w:rsid w:val="00E82D0F"/>
    <w:rsid w:val="00E950B5"/>
    <w:rsid w:val="00EB7F4F"/>
    <w:rsid w:val="00EC31D8"/>
    <w:rsid w:val="00F05879"/>
    <w:rsid w:val="00F06F5B"/>
    <w:rsid w:val="00F2485D"/>
    <w:rsid w:val="00F33926"/>
    <w:rsid w:val="00F60C61"/>
    <w:rsid w:val="00F64B52"/>
    <w:rsid w:val="00F850BE"/>
    <w:rsid w:val="00F97363"/>
    <w:rsid w:val="00FB5291"/>
    <w:rsid w:val="00FB5E84"/>
    <w:rsid w:val="00FF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UnresolvedMention">
    <w:name w:val="Unresolved Mention"/>
    <w:basedOn w:val="DefaultParagraphFont"/>
    <w:uiPriority w:val="99"/>
    <w:semiHidden/>
    <w:unhideWhenUsed/>
    <w:rsid w:val="0091571F"/>
    <w:rPr>
      <w:color w:val="605E5C"/>
      <w:shd w:val="clear" w:color="auto" w:fill="E1DFDD"/>
    </w:rPr>
  </w:style>
  <w:style w:type="character" w:styleId="CommentReference">
    <w:name w:val="annotation reference"/>
    <w:basedOn w:val="DefaultParagraphFont"/>
    <w:rsid w:val="00954EC3"/>
    <w:rPr>
      <w:sz w:val="16"/>
      <w:szCs w:val="16"/>
    </w:rPr>
  </w:style>
  <w:style w:type="paragraph" w:styleId="CommentText">
    <w:name w:val="annotation text"/>
    <w:basedOn w:val="Normal"/>
    <w:link w:val="CommentTextChar"/>
    <w:rsid w:val="00954EC3"/>
    <w:pPr>
      <w:spacing w:line="240" w:lineRule="auto"/>
    </w:pPr>
  </w:style>
  <w:style w:type="character" w:customStyle="1" w:styleId="CommentTextChar">
    <w:name w:val="Comment Text Char"/>
    <w:basedOn w:val="DefaultParagraphFont"/>
    <w:link w:val="CommentText"/>
    <w:rsid w:val="00954EC3"/>
  </w:style>
  <w:style w:type="paragraph" w:styleId="CommentSubject">
    <w:name w:val="annotation subject"/>
    <w:basedOn w:val="CommentText"/>
    <w:next w:val="CommentText"/>
    <w:link w:val="CommentSubjectChar"/>
    <w:rsid w:val="00954EC3"/>
    <w:rPr>
      <w:b/>
      <w:bCs/>
    </w:rPr>
  </w:style>
  <w:style w:type="character" w:customStyle="1" w:styleId="CommentSubjectChar">
    <w:name w:val="Comment Subject Char"/>
    <w:basedOn w:val="CommentTextChar"/>
    <w:link w:val="CommentSubject"/>
    <w:rsid w:val="00954EC3"/>
    <w:rPr>
      <w:b/>
      <w:bCs/>
    </w:rPr>
  </w:style>
  <w:style w:type="paragraph" w:styleId="Revision">
    <w:name w:val="Revision"/>
    <w:hidden/>
    <w:uiPriority w:val="99"/>
    <w:semiHidden/>
    <w:rsid w:val="002C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48021">
      <w:bodyDiv w:val="1"/>
      <w:marLeft w:val="0"/>
      <w:marRight w:val="0"/>
      <w:marTop w:val="0"/>
      <w:marBottom w:val="0"/>
      <w:divBdr>
        <w:top w:val="none" w:sz="0" w:space="0" w:color="auto"/>
        <w:left w:val="none" w:sz="0" w:space="0" w:color="auto"/>
        <w:bottom w:val="none" w:sz="0" w:space="0" w:color="auto"/>
        <w:right w:val="none" w:sz="0" w:space="0" w:color="auto"/>
      </w:divBdr>
    </w:div>
    <w:div w:id="520356734">
      <w:bodyDiv w:val="1"/>
      <w:marLeft w:val="0"/>
      <w:marRight w:val="0"/>
      <w:marTop w:val="0"/>
      <w:marBottom w:val="0"/>
      <w:divBdr>
        <w:top w:val="none" w:sz="0" w:space="0" w:color="auto"/>
        <w:left w:val="none" w:sz="0" w:space="0" w:color="auto"/>
        <w:bottom w:val="none" w:sz="0" w:space="0" w:color="auto"/>
        <w:right w:val="none" w:sz="0" w:space="0" w:color="auto"/>
      </w:divBdr>
    </w:div>
    <w:div w:id="1028484644">
      <w:bodyDiv w:val="1"/>
      <w:marLeft w:val="0"/>
      <w:marRight w:val="0"/>
      <w:marTop w:val="0"/>
      <w:marBottom w:val="0"/>
      <w:divBdr>
        <w:top w:val="none" w:sz="0" w:space="0" w:color="auto"/>
        <w:left w:val="none" w:sz="0" w:space="0" w:color="auto"/>
        <w:bottom w:val="none" w:sz="0" w:space="0" w:color="auto"/>
        <w:right w:val="none" w:sz="0" w:space="0" w:color="auto"/>
      </w:divBdr>
    </w:div>
    <w:div w:id="1248541610">
      <w:bodyDiv w:val="1"/>
      <w:marLeft w:val="0"/>
      <w:marRight w:val="0"/>
      <w:marTop w:val="0"/>
      <w:marBottom w:val="0"/>
      <w:divBdr>
        <w:top w:val="none" w:sz="0" w:space="0" w:color="auto"/>
        <w:left w:val="none" w:sz="0" w:space="0" w:color="auto"/>
        <w:bottom w:val="none" w:sz="0" w:space="0" w:color="auto"/>
        <w:right w:val="none" w:sz="0" w:space="0" w:color="auto"/>
      </w:divBdr>
    </w:div>
    <w:div w:id="20533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DA158-1BB0-49C7-8868-6C3488E6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5</TotalTime>
  <Pages>6</Pages>
  <Words>1205</Words>
  <Characters>6148</Characters>
  <Application>Microsoft Office Word</Application>
  <DocSecurity>0</DocSecurity>
  <Lines>166</Lines>
  <Paragraphs>74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2023-04-27T22:41:00Z</dcterms:created>
  <dcterms:modified xsi:type="dcterms:W3CDTF">2023-04-27T22:41:00Z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