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836"/>
        <w:gridCol w:w="4200"/>
      </w:tblGrid>
      <w:tr w:rsidR="00357F4D" w:rsidRPr="000F7A7F" w14:paraId="2DD96AE8" w14:textId="77777777" w:rsidTr="006F63FD">
        <w:trPr>
          <w:cantSplit/>
          <w:trHeight w:val="1987"/>
        </w:trPr>
        <w:tc>
          <w:tcPr>
            <w:tcW w:w="4836" w:type="dxa"/>
          </w:tcPr>
          <w:p w14:paraId="3B92AF78" w14:textId="77777777"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14:paraId="056261EB"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A532740"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5315828A"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7B3DBC20"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0A670938" w14:textId="77777777" w:rsidR="00357F4D" w:rsidRPr="000F7A7F" w:rsidRDefault="00357F4D" w:rsidP="00000C35">
            <w:pPr>
              <w:ind w:left="113" w:right="113"/>
              <w:rPr>
                <w:sz w:val="26"/>
                <w:szCs w:val="26"/>
              </w:rPr>
            </w:pPr>
          </w:p>
        </w:tc>
      </w:tr>
      <w:bookmarkEnd w:id="0"/>
    </w:tbl>
    <w:p w14:paraId="08E71DA7" w14:textId="77777777" w:rsidR="00357F4D" w:rsidRPr="000F7A7F" w:rsidRDefault="00357F4D" w:rsidP="00735659">
      <w:pPr>
        <w:pStyle w:val="Court"/>
        <w:spacing w:line="508" w:lineRule="exact"/>
        <w:jc w:val="left"/>
        <w:rPr>
          <w:b/>
        </w:rPr>
      </w:pPr>
    </w:p>
    <w:p w14:paraId="25693B34"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03963DD5" w14:textId="2BC14207" w:rsidR="00357F4D" w:rsidRPr="00A97B3C" w:rsidRDefault="00A97B3C" w:rsidP="00A97B3C">
            <w:pPr>
              <w:pStyle w:val="Caption"/>
              <w:spacing w:before="240" w:line="260" w:lineRule="exact"/>
              <w:rPr>
                <w:b/>
                <w:sz w:val="28"/>
                <w:szCs w:val="28"/>
              </w:rPr>
            </w:pPr>
            <w:r w:rsidRPr="00732169">
              <w:rPr>
                <w:b/>
                <w:sz w:val="28"/>
                <w:szCs w:val="28"/>
              </w:rPr>
              <w:t xml:space="preserve">PETITION TO </w:t>
            </w:r>
            <w:r>
              <w:rPr>
                <w:b/>
                <w:sz w:val="28"/>
                <w:szCs w:val="28"/>
              </w:rPr>
              <w:t>AMEND RULES 44.1(c), 45(c), 78(g) AND 91.3</w:t>
            </w:r>
            <w:r>
              <w:rPr>
                <w:b/>
                <w:sz w:val="28"/>
                <w:szCs w:val="28"/>
              </w:rPr>
              <w:t xml:space="preserve"> OF THE </w:t>
            </w:r>
            <w:r>
              <w:rPr>
                <w:b/>
                <w:sz w:val="28"/>
                <w:szCs w:val="28"/>
              </w:rPr>
              <w:t>ARIZONA RULES OF FAMILY LAW PROC</w:t>
            </w:r>
            <w:r>
              <w:rPr>
                <w:b/>
                <w:sz w:val="28"/>
                <w:szCs w:val="28"/>
              </w:rPr>
              <w:t>EDURE</w:t>
            </w:r>
            <w:r>
              <w:rPr>
                <w:b/>
                <w:sz w:val="28"/>
                <w:szCs w:val="28"/>
              </w:rPr>
              <w:br/>
            </w:r>
          </w:p>
        </w:tc>
        <w:tc>
          <w:tcPr>
            <w:tcW w:w="4524" w:type="dxa"/>
            <w:tcBorders>
              <w:top w:val="nil"/>
              <w:left w:val="single" w:sz="4" w:space="0" w:color="auto"/>
            </w:tcBorders>
            <w:shd w:val="clear" w:color="auto" w:fill="auto"/>
          </w:tcPr>
          <w:p w14:paraId="35CED5CB" w14:textId="6AA6163D"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w:t>
            </w:r>
            <w:r w:rsidR="00334B42">
              <w:rPr>
                <w:sz w:val="28"/>
                <w:szCs w:val="28"/>
              </w:rPr>
              <w:t>3</w:t>
            </w:r>
            <w:r w:rsidR="00F850BE">
              <w:rPr>
                <w:sz w:val="28"/>
                <w:szCs w:val="28"/>
              </w:rPr>
              <w:t>-</w:t>
            </w:r>
            <w:r w:rsidR="00A97B3C">
              <w:rPr>
                <w:sz w:val="28"/>
                <w:szCs w:val="28"/>
              </w:rPr>
              <w:t>0007</w:t>
            </w:r>
          </w:p>
          <w:p w14:paraId="5AEC962D" w14:textId="01C0F906" w:rsidR="00357F4D" w:rsidRPr="00A97B3C" w:rsidRDefault="00A97B3C" w:rsidP="000F7A7F">
            <w:pPr>
              <w:pStyle w:val="Caption"/>
              <w:tabs>
                <w:tab w:val="left" w:pos="1238"/>
              </w:tabs>
              <w:spacing w:line="260" w:lineRule="exact"/>
              <w:ind w:right="115"/>
              <w:jc w:val="center"/>
              <w:rPr>
                <w:b/>
                <w:sz w:val="28"/>
                <w:szCs w:val="28"/>
              </w:rPr>
            </w:pPr>
            <w:r w:rsidRPr="00A97B3C">
              <w:rPr>
                <w:b/>
                <w:sz w:val="28"/>
                <w:szCs w:val="28"/>
              </w:rPr>
              <w:t>COMMENT</w:t>
            </w:r>
          </w:p>
          <w:p w14:paraId="414A167D" w14:textId="77777777" w:rsidR="00357F4D" w:rsidRPr="000F7A7F" w:rsidRDefault="00357F4D" w:rsidP="00E321C5">
            <w:pPr>
              <w:pStyle w:val="DocumentTitle"/>
              <w:rPr>
                <w:szCs w:val="26"/>
              </w:rPr>
            </w:pPr>
          </w:p>
          <w:p w14:paraId="524D8097" w14:textId="77777777" w:rsidR="00357F4D" w:rsidRPr="000F7A7F" w:rsidRDefault="00357F4D" w:rsidP="00E321C5">
            <w:pPr>
              <w:pStyle w:val="Caption"/>
              <w:ind w:left="1512" w:right="115" w:hanging="1253"/>
              <w:rPr>
                <w:szCs w:val="26"/>
              </w:rPr>
            </w:pPr>
          </w:p>
        </w:tc>
      </w:tr>
      <w:bookmarkEnd w:id="1"/>
    </w:tbl>
    <w:p w14:paraId="14B66B5A" w14:textId="77777777" w:rsidR="004331B2" w:rsidRDefault="004331B2" w:rsidP="006338C1">
      <w:pPr>
        <w:pStyle w:val="Body"/>
        <w:widowControl w:val="0"/>
        <w:ind w:firstLine="720"/>
        <w:jc w:val="both"/>
        <w:rPr>
          <w:sz w:val="28"/>
          <w:szCs w:val="28"/>
        </w:rPr>
      </w:pPr>
    </w:p>
    <w:p w14:paraId="4AE79098" w14:textId="48AB4301" w:rsidR="00A97B3C" w:rsidRDefault="00A97B3C" w:rsidP="00A97B3C">
      <w:pPr>
        <w:pStyle w:val="Body"/>
        <w:widowControl w:val="0"/>
        <w:spacing w:line="480" w:lineRule="auto"/>
        <w:ind w:firstLine="720"/>
        <w:jc w:val="both"/>
        <w:rPr>
          <w:sz w:val="28"/>
          <w:szCs w:val="28"/>
        </w:rPr>
      </w:pPr>
      <w:r w:rsidRPr="007B7449">
        <w:rPr>
          <w:sz w:val="28"/>
          <w:szCs w:val="28"/>
        </w:rPr>
        <w:t>Pursuant to Rule 28(</w:t>
      </w:r>
      <w:r>
        <w:rPr>
          <w:sz w:val="28"/>
          <w:szCs w:val="28"/>
        </w:rPr>
        <w:t>e</w:t>
      </w:r>
      <w:r w:rsidRPr="007B7449">
        <w:rPr>
          <w:sz w:val="28"/>
          <w:szCs w:val="28"/>
        </w:rPr>
        <w:t xml:space="preserve">) of the Arizona Rules of Supreme Court, the State Bar of Arizona (the “State Bar”) hereby </w:t>
      </w:r>
      <w:r>
        <w:rPr>
          <w:sz w:val="28"/>
          <w:szCs w:val="28"/>
        </w:rPr>
        <w:t xml:space="preserve">submits the following as its comment to the above-captioned Petition. </w:t>
      </w:r>
    </w:p>
    <w:p w14:paraId="30A2EFA3" w14:textId="77777777" w:rsidR="00A97B3C" w:rsidRDefault="00A97B3C" w:rsidP="00A97B3C">
      <w:pPr>
        <w:pStyle w:val="Body"/>
        <w:widowControl w:val="0"/>
        <w:spacing w:line="480" w:lineRule="auto"/>
        <w:ind w:firstLine="720"/>
        <w:jc w:val="both"/>
        <w:rPr>
          <w:sz w:val="28"/>
          <w:szCs w:val="28"/>
        </w:rPr>
      </w:pPr>
      <w:r>
        <w:rPr>
          <w:sz w:val="28"/>
          <w:szCs w:val="28"/>
        </w:rPr>
        <w:t xml:space="preserve">The Petition was studied by the State Bar’s Family Law Practice and Procedure Committee and this Comment is the product of the Committee’s review and discussion of the Petition. While the State Bar supports the concept of an education order, as proposed in the Petition, the State Bar believes a task force should be convened to develop a corresponding rule that would address ambiguities such as those set forth in this Comment. </w:t>
      </w:r>
    </w:p>
    <w:p w14:paraId="75D00093" w14:textId="30FDD08F" w:rsidR="00A97B3C" w:rsidRDefault="00A97B3C" w:rsidP="00A97B3C">
      <w:pPr>
        <w:pStyle w:val="Body"/>
        <w:widowControl w:val="0"/>
        <w:spacing w:line="480" w:lineRule="auto"/>
        <w:ind w:firstLine="720"/>
        <w:jc w:val="both"/>
        <w:rPr>
          <w:sz w:val="28"/>
          <w:szCs w:val="28"/>
        </w:rPr>
      </w:pPr>
      <w:r>
        <w:rPr>
          <w:sz w:val="28"/>
          <w:szCs w:val="28"/>
        </w:rPr>
        <w:t xml:space="preserve">Currently, Arizona's revised statutes are silent on a separate educational order. </w:t>
      </w:r>
      <w:r>
        <w:rPr>
          <w:sz w:val="28"/>
          <w:szCs w:val="28"/>
        </w:rPr>
        <w:lastRenderedPageBreak/>
        <w:t>As such, the State Bar believes that a corresponding rule would be helpful in defining rights and expectations associated with an education order</w:t>
      </w:r>
      <w:r w:rsidR="008D1F83">
        <w:rPr>
          <w:sz w:val="28"/>
          <w:szCs w:val="28"/>
        </w:rPr>
        <w:t xml:space="preserve">. </w:t>
      </w:r>
      <w:r>
        <w:rPr>
          <w:sz w:val="28"/>
          <w:szCs w:val="28"/>
        </w:rPr>
        <w:t xml:space="preserve">A clear rule would address the following issues: </w:t>
      </w:r>
    </w:p>
    <w:p w14:paraId="47B308BA" w14:textId="77777777" w:rsidR="00A97B3C" w:rsidRDefault="00A97B3C" w:rsidP="00A97B3C">
      <w:pPr>
        <w:pStyle w:val="Body"/>
        <w:widowControl w:val="0"/>
        <w:numPr>
          <w:ilvl w:val="0"/>
          <w:numId w:val="15"/>
        </w:numPr>
        <w:spacing w:line="480" w:lineRule="auto"/>
        <w:jc w:val="both"/>
        <w:rPr>
          <w:sz w:val="28"/>
          <w:szCs w:val="28"/>
        </w:rPr>
      </w:pPr>
      <w:r>
        <w:rPr>
          <w:sz w:val="28"/>
          <w:szCs w:val="28"/>
        </w:rPr>
        <w:t xml:space="preserve">Attorneys and parties should have the option to advocate for additional terms to be included in order. </w:t>
      </w:r>
    </w:p>
    <w:p w14:paraId="3A62B531" w14:textId="77777777" w:rsidR="00A97B3C" w:rsidRDefault="00A97B3C" w:rsidP="00A97B3C">
      <w:pPr>
        <w:pStyle w:val="Body"/>
        <w:widowControl w:val="0"/>
        <w:numPr>
          <w:ilvl w:val="0"/>
          <w:numId w:val="15"/>
        </w:numPr>
        <w:spacing w:line="480" w:lineRule="auto"/>
        <w:jc w:val="both"/>
        <w:rPr>
          <w:sz w:val="28"/>
          <w:szCs w:val="28"/>
        </w:rPr>
      </w:pPr>
      <w:r>
        <w:rPr>
          <w:sz w:val="28"/>
          <w:szCs w:val="28"/>
        </w:rPr>
        <w:t xml:space="preserve">The order cannot contain a term not in the party’s parenting plan. </w:t>
      </w:r>
    </w:p>
    <w:p w14:paraId="77CDE8AC" w14:textId="77777777" w:rsidR="00A97B3C" w:rsidRDefault="00A97B3C" w:rsidP="00A97B3C">
      <w:pPr>
        <w:pStyle w:val="Body"/>
        <w:widowControl w:val="0"/>
        <w:numPr>
          <w:ilvl w:val="0"/>
          <w:numId w:val="15"/>
        </w:numPr>
        <w:spacing w:line="480" w:lineRule="auto"/>
        <w:jc w:val="both"/>
        <w:rPr>
          <w:sz w:val="28"/>
          <w:szCs w:val="28"/>
        </w:rPr>
      </w:pPr>
      <w:r>
        <w:rPr>
          <w:sz w:val="28"/>
          <w:szCs w:val="28"/>
        </w:rPr>
        <w:t xml:space="preserve">“Parent” should be clearly defined because of stepparent considerations. </w:t>
      </w:r>
    </w:p>
    <w:p w14:paraId="31640074" w14:textId="58B397F3" w:rsidR="00A97B3C" w:rsidRDefault="00A97B3C" w:rsidP="00A97B3C">
      <w:pPr>
        <w:pStyle w:val="Body"/>
        <w:widowControl w:val="0"/>
        <w:numPr>
          <w:ilvl w:val="0"/>
          <w:numId w:val="15"/>
        </w:numPr>
        <w:spacing w:line="480" w:lineRule="auto"/>
        <w:jc w:val="both"/>
        <w:rPr>
          <w:sz w:val="28"/>
          <w:szCs w:val="28"/>
        </w:rPr>
      </w:pPr>
      <w:r>
        <w:rPr>
          <w:sz w:val="28"/>
          <w:szCs w:val="28"/>
        </w:rPr>
        <w:t xml:space="preserve"> ”School” also needs to be defined. Does it include preschool? Do some </w:t>
      </w:r>
      <w:r w:rsidRPr="00564E09">
        <w:rPr>
          <w:sz w:val="28"/>
          <w:szCs w:val="28"/>
        </w:rPr>
        <w:t>daycare</w:t>
      </w:r>
      <w:r>
        <w:rPr>
          <w:sz w:val="28"/>
          <w:szCs w:val="28"/>
        </w:rPr>
        <w:t>s that</w:t>
      </w:r>
      <w:r w:rsidRPr="00564E09">
        <w:rPr>
          <w:sz w:val="28"/>
          <w:szCs w:val="28"/>
        </w:rPr>
        <w:t xml:space="preserve"> </w:t>
      </w:r>
      <w:r>
        <w:rPr>
          <w:sz w:val="28"/>
          <w:szCs w:val="28"/>
        </w:rPr>
        <w:t>offer</w:t>
      </w:r>
      <w:r w:rsidRPr="00564E09">
        <w:rPr>
          <w:sz w:val="28"/>
          <w:szCs w:val="28"/>
        </w:rPr>
        <w:t xml:space="preserve"> an educational component</w:t>
      </w:r>
      <w:r>
        <w:rPr>
          <w:sz w:val="28"/>
          <w:szCs w:val="28"/>
        </w:rPr>
        <w:t xml:space="preserve"> qualify</w:t>
      </w:r>
      <w:r w:rsidRPr="00564E09">
        <w:rPr>
          <w:sz w:val="28"/>
          <w:szCs w:val="28"/>
        </w:rPr>
        <w:t xml:space="preserve"> as a school</w:t>
      </w:r>
      <w:r w:rsidR="008D1F83" w:rsidRPr="00564E09">
        <w:rPr>
          <w:sz w:val="28"/>
          <w:szCs w:val="28"/>
        </w:rPr>
        <w:t xml:space="preserve">? </w:t>
      </w:r>
    </w:p>
    <w:p w14:paraId="64722041" w14:textId="77777777" w:rsidR="00A97B3C" w:rsidRDefault="00A97B3C" w:rsidP="00A97B3C">
      <w:pPr>
        <w:pStyle w:val="Body"/>
        <w:widowControl w:val="0"/>
        <w:spacing w:line="480" w:lineRule="auto"/>
        <w:ind w:firstLine="720"/>
        <w:jc w:val="both"/>
        <w:rPr>
          <w:sz w:val="28"/>
          <w:szCs w:val="28"/>
        </w:rPr>
      </w:pPr>
      <w:r>
        <w:rPr>
          <w:sz w:val="28"/>
          <w:szCs w:val="28"/>
        </w:rPr>
        <w:t>Additional considerations that should be addressed based on the proposed form attached to the Petition include:</w:t>
      </w:r>
    </w:p>
    <w:p w14:paraId="094C4DB6" w14:textId="77777777" w:rsidR="00A97B3C" w:rsidRDefault="00A97B3C" w:rsidP="00A97B3C">
      <w:pPr>
        <w:pStyle w:val="Body"/>
        <w:widowControl w:val="0"/>
        <w:numPr>
          <w:ilvl w:val="0"/>
          <w:numId w:val="16"/>
        </w:numPr>
        <w:spacing w:line="480" w:lineRule="auto"/>
        <w:jc w:val="both"/>
        <w:rPr>
          <w:sz w:val="28"/>
          <w:szCs w:val="28"/>
        </w:rPr>
      </w:pPr>
      <w:r>
        <w:rPr>
          <w:sz w:val="28"/>
          <w:szCs w:val="28"/>
        </w:rPr>
        <w:t xml:space="preserve">What happens if there is a different legal decision-making order for each child? </w:t>
      </w:r>
    </w:p>
    <w:p w14:paraId="4F4DE867" w14:textId="12D38D18" w:rsidR="00A97B3C" w:rsidRPr="00800574" w:rsidRDefault="00A97B3C" w:rsidP="00A97B3C">
      <w:pPr>
        <w:pStyle w:val="Body"/>
        <w:widowControl w:val="0"/>
        <w:numPr>
          <w:ilvl w:val="0"/>
          <w:numId w:val="16"/>
        </w:numPr>
        <w:spacing w:line="480" w:lineRule="auto"/>
        <w:jc w:val="both"/>
        <w:rPr>
          <w:sz w:val="28"/>
          <w:szCs w:val="28"/>
          <w:u w:val="single"/>
        </w:rPr>
      </w:pPr>
      <w:r w:rsidRPr="00816DAB">
        <w:rPr>
          <w:sz w:val="28"/>
          <w:szCs w:val="28"/>
        </w:rPr>
        <w:t xml:space="preserve">Legal </w:t>
      </w:r>
      <w:r w:rsidRPr="008D1F83">
        <w:rPr>
          <w:sz w:val="28"/>
          <w:szCs w:val="28"/>
        </w:rPr>
        <w:t>D</w:t>
      </w:r>
      <w:r w:rsidRPr="00816DAB">
        <w:rPr>
          <w:sz w:val="28"/>
          <w:szCs w:val="28"/>
        </w:rPr>
        <w:t xml:space="preserve">ecision </w:t>
      </w:r>
      <w:r>
        <w:rPr>
          <w:sz w:val="28"/>
          <w:szCs w:val="28"/>
        </w:rPr>
        <w:t>M</w:t>
      </w:r>
      <w:r w:rsidRPr="00816DAB">
        <w:rPr>
          <w:sz w:val="28"/>
          <w:szCs w:val="28"/>
        </w:rPr>
        <w:t>aking:</w:t>
      </w:r>
      <w:r w:rsidR="008D1F83">
        <w:rPr>
          <w:sz w:val="28"/>
          <w:szCs w:val="28"/>
        </w:rPr>
        <w:t xml:space="preserve"> </w:t>
      </w:r>
      <w:r>
        <w:rPr>
          <w:sz w:val="28"/>
          <w:szCs w:val="28"/>
        </w:rPr>
        <w:t xml:space="preserve">What is the difference between presumptive and final decision-making after good faith efforts? If sole legal decision-making exists, is a good-faith effort to resolve the dispute required? </w:t>
      </w:r>
    </w:p>
    <w:p w14:paraId="7AD9947A" w14:textId="04ABAA27" w:rsidR="00A97B3C" w:rsidRPr="00800574" w:rsidRDefault="00A97B3C" w:rsidP="00A97B3C">
      <w:pPr>
        <w:pStyle w:val="Body"/>
        <w:widowControl w:val="0"/>
        <w:numPr>
          <w:ilvl w:val="0"/>
          <w:numId w:val="16"/>
        </w:numPr>
        <w:spacing w:line="480" w:lineRule="auto"/>
        <w:jc w:val="both"/>
        <w:rPr>
          <w:sz w:val="28"/>
          <w:szCs w:val="28"/>
          <w:u w:val="single"/>
        </w:rPr>
      </w:pPr>
      <w:r w:rsidRPr="00816DAB">
        <w:rPr>
          <w:sz w:val="28"/>
          <w:szCs w:val="28"/>
        </w:rPr>
        <w:t xml:space="preserve">Access to </w:t>
      </w:r>
      <w:r>
        <w:rPr>
          <w:sz w:val="28"/>
          <w:szCs w:val="28"/>
        </w:rPr>
        <w:t>S</w:t>
      </w:r>
      <w:r w:rsidRPr="00816DAB">
        <w:rPr>
          <w:sz w:val="28"/>
          <w:szCs w:val="28"/>
        </w:rPr>
        <w:t xml:space="preserve">chool </w:t>
      </w:r>
      <w:r>
        <w:rPr>
          <w:sz w:val="28"/>
          <w:szCs w:val="28"/>
        </w:rPr>
        <w:t>G</w:t>
      </w:r>
      <w:r w:rsidRPr="00816DAB">
        <w:rPr>
          <w:sz w:val="28"/>
          <w:szCs w:val="28"/>
        </w:rPr>
        <w:t>rounds:</w:t>
      </w:r>
      <w:r w:rsidR="008D1F83">
        <w:rPr>
          <w:sz w:val="28"/>
          <w:szCs w:val="28"/>
        </w:rPr>
        <w:t xml:space="preserve"> </w:t>
      </w:r>
      <w:r>
        <w:rPr>
          <w:sz w:val="28"/>
          <w:szCs w:val="28"/>
        </w:rPr>
        <w:t xml:space="preserve">Should there be a requirement that the parties communicate, or should the parenting plan add some structure? </w:t>
      </w:r>
    </w:p>
    <w:p w14:paraId="0821FD17" w14:textId="0C4C9D1E" w:rsidR="00A97B3C" w:rsidRPr="00AD05C1" w:rsidRDefault="00A97B3C" w:rsidP="00A97B3C">
      <w:pPr>
        <w:pStyle w:val="Body"/>
        <w:widowControl w:val="0"/>
        <w:numPr>
          <w:ilvl w:val="0"/>
          <w:numId w:val="16"/>
        </w:numPr>
        <w:spacing w:line="480" w:lineRule="auto"/>
        <w:jc w:val="both"/>
        <w:rPr>
          <w:sz w:val="28"/>
          <w:szCs w:val="28"/>
          <w:u w:val="single"/>
        </w:rPr>
      </w:pPr>
      <w:r w:rsidRPr="00816DAB">
        <w:rPr>
          <w:sz w:val="28"/>
          <w:szCs w:val="28"/>
        </w:rPr>
        <w:t>Extra-Curricular Activities:</w:t>
      </w:r>
      <w:r>
        <w:rPr>
          <w:sz w:val="28"/>
          <w:szCs w:val="28"/>
        </w:rPr>
        <w:t xml:space="preserve"> Is this just for activities associated with the school, or does the order carry over to non-school outside activities? Is a </w:t>
      </w:r>
      <w:r>
        <w:rPr>
          <w:sz w:val="28"/>
          <w:szCs w:val="28"/>
        </w:rPr>
        <w:lastRenderedPageBreak/>
        <w:t>lunch activity included</w:t>
      </w:r>
      <w:r w:rsidR="008D1F83">
        <w:rPr>
          <w:sz w:val="28"/>
          <w:szCs w:val="28"/>
        </w:rPr>
        <w:t xml:space="preserve">? </w:t>
      </w:r>
      <w:r>
        <w:rPr>
          <w:sz w:val="28"/>
          <w:szCs w:val="28"/>
        </w:rPr>
        <w:t xml:space="preserve">What if one parent signs the child up and interferes with the other parent’s parenting time? The form gives a parent with final or sole authority to only allow the child to participate in activities on their days while denying all activities on the other parent’s day. </w:t>
      </w:r>
    </w:p>
    <w:p w14:paraId="1AF71D12" w14:textId="72343A9F" w:rsidR="00A97B3C" w:rsidRPr="00010C60" w:rsidRDefault="00A97B3C" w:rsidP="00A97B3C">
      <w:pPr>
        <w:pStyle w:val="Body"/>
        <w:widowControl w:val="0"/>
        <w:numPr>
          <w:ilvl w:val="0"/>
          <w:numId w:val="16"/>
        </w:numPr>
        <w:spacing w:line="480" w:lineRule="auto"/>
        <w:jc w:val="both"/>
        <w:rPr>
          <w:sz w:val="28"/>
          <w:szCs w:val="28"/>
          <w:u w:val="single"/>
        </w:rPr>
      </w:pPr>
      <w:r w:rsidRPr="00816DAB">
        <w:rPr>
          <w:sz w:val="28"/>
          <w:szCs w:val="28"/>
        </w:rPr>
        <w:t xml:space="preserve">Access to School </w:t>
      </w:r>
      <w:r>
        <w:rPr>
          <w:sz w:val="28"/>
          <w:szCs w:val="28"/>
        </w:rPr>
        <w:t>R</w:t>
      </w:r>
      <w:r w:rsidRPr="00816DAB">
        <w:rPr>
          <w:sz w:val="28"/>
          <w:szCs w:val="28"/>
        </w:rPr>
        <w:t>ecords:</w:t>
      </w:r>
      <w:r>
        <w:rPr>
          <w:sz w:val="28"/>
          <w:szCs w:val="28"/>
        </w:rPr>
        <w:t xml:space="preserve"> There is a concern that this section can contradict Arizona Revised Statutes </w:t>
      </w:r>
      <w:bookmarkStart w:id="2" w:name="_Hlk131499930"/>
      <w:r>
        <w:rPr>
          <w:sz w:val="28"/>
          <w:szCs w:val="28"/>
        </w:rPr>
        <w:t>§</w:t>
      </w:r>
      <w:bookmarkEnd w:id="2"/>
      <w:r>
        <w:rPr>
          <w:sz w:val="28"/>
          <w:szCs w:val="28"/>
        </w:rPr>
        <w:t xml:space="preserve">15-102 and §15-143; these statutes govern parental access to school records. </w:t>
      </w:r>
    </w:p>
    <w:p w14:paraId="1522FA7B" w14:textId="3A93FE89" w:rsidR="00A97B3C" w:rsidRPr="00010C60" w:rsidRDefault="00A97B3C" w:rsidP="00A97B3C">
      <w:pPr>
        <w:pStyle w:val="Body"/>
        <w:widowControl w:val="0"/>
        <w:numPr>
          <w:ilvl w:val="0"/>
          <w:numId w:val="16"/>
        </w:numPr>
        <w:spacing w:line="480" w:lineRule="auto"/>
        <w:jc w:val="both"/>
        <w:rPr>
          <w:sz w:val="28"/>
          <w:szCs w:val="28"/>
          <w:u w:val="single"/>
        </w:rPr>
      </w:pPr>
      <w:r w:rsidRPr="00816DAB">
        <w:rPr>
          <w:sz w:val="28"/>
          <w:szCs w:val="28"/>
        </w:rPr>
        <w:t>Curriculum and Instructions Disputes:</w:t>
      </w:r>
      <w:r w:rsidR="008D1F83">
        <w:rPr>
          <w:sz w:val="28"/>
          <w:szCs w:val="28"/>
        </w:rPr>
        <w:t xml:space="preserve"> </w:t>
      </w:r>
      <w:r>
        <w:rPr>
          <w:sz w:val="28"/>
          <w:szCs w:val="28"/>
        </w:rPr>
        <w:t>There is a concern that this section may contradict Arizona Revised Statutes §15-102 and §15-143; these statutes govern parental access to school records.</w:t>
      </w:r>
    </w:p>
    <w:p w14:paraId="79F00A56" w14:textId="77777777" w:rsidR="00A97B3C" w:rsidRPr="00291AD1" w:rsidRDefault="00A97B3C" w:rsidP="00A97B3C">
      <w:pPr>
        <w:pStyle w:val="Body"/>
        <w:widowControl w:val="0"/>
        <w:numPr>
          <w:ilvl w:val="0"/>
          <w:numId w:val="16"/>
        </w:numPr>
        <w:spacing w:line="480" w:lineRule="auto"/>
        <w:jc w:val="both"/>
        <w:rPr>
          <w:sz w:val="28"/>
          <w:szCs w:val="28"/>
          <w:u w:val="single"/>
        </w:rPr>
      </w:pPr>
      <w:r w:rsidRPr="00816DAB">
        <w:rPr>
          <w:sz w:val="28"/>
          <w:szCs w:val="28"/>
        </w:rPr>
        <w:t xml:space="preserve">Special Services: </w:t>
      </w:r>
      <w:r>
        <w:rPr>
          <w:sz w:val="28"/>
          <w:szCs w:val="28"/>
        </w:rPr>
        <w:t xml:space="preserve"> One parent should not be able to block services for a child. It can be very detrimental to the child if the services are blocked. </w:t>
      </w:r>
    </w:p>
    <w:p w14:paraId="08C9744A" w14:textId="29C826DC" w:rsidR="00A97B3C" w:rsidRPr="00291AD1" w:rsidRDefault="00A97B3C" w:rsidP="00A97B3C">
      <w:pPr>
        <w:pStyle w:val="Body"/>
        <w:widowControl w:val="0"/>
        <w:numPr>
          <w:ilvl w:val="0"/>
          <w:numId w:val="16"/>
        </w:numPr>
        <w:spacing w:line="480" w:lineRule="auto"/>
        <w:jc w:val="both"/>
        <w:rPr>
          <w:sz w:val="28"/>
          <w:szCs w:val="28"/>
          <w:u w:val="single"/>
        </w:rPr>
      </w:pPr>
      <w:r w:rsidRPr="00816DAB">
        <w:rPr>
          <w:sz w:val="28"/>
          <w:szCs w:val="28"/>
        </w:rPr>
        <w:t xml:space="preserve">School Selection: </w:t>
      </w:r>
      <w:r>
        <w:rPr>
          <w:sz w:val="28"/>
          <w:szCs w:val="28"/>
        </w:rPr>
        <w:t>This paragraph allows a parent to enroll a child in a school to reserve a child’s place at that school. Consideration should be given as to whether this act constitutes a change in legal decision making or is a violation of the parenting plan.</w:t>
      </w:r>
    </w:p>
    <w:p w14:paraId="337EF5DA" w14:textId="77777777" w:rsidR="00A97B3C" w:rsidRPr="009D50F1" w:rsidRDefault="00A97B3C" w:rsidP="00A97B3C">
      <w:pPr>
        <w:pStyle w:val="Body"/>
        <w:widowControl w:val="0"/>
        <w:numPr>
          <w:ilvl w:val="0"/>
          <w:numId w:val="16"/>
        </w:numPr>
        <w:spacing w:line="480" w:lineRule="auto"/>
        <w:jc w:val="both"/>
        <w:rPr>
          <w:rStyle w:val="BodyTextChar"/>
          <w:sz w:val="28"/>
          <w:szCs w:val="28"/>
          <w:u w:val="single"/>
        </w:rPr>
      </w:pPr>
      <w:r w:rsidRPr="00816DAB">
        <w:rPr>
          <w:sz w:val="28"/>
          <w:szCs w:val="28"/>
        </w:rPr>
        <w:t xml:space="preserve">Joint </w:t>
      </w:r>
      <w:r>
        <w:rPr>
          <w:sz w:val="28"/>
          <w:szCs w:val="28"/>
        </w:rPr>
        <w:t>C</w:t>
      </w:r>
      <w:r w:rsidRPr="00816DAB">
        <w:rPr>
          <w:sz w:val="28"/>
          <w:szCs w:val="28"/>
        </w:rPr>
        <w:t xml:space="preserve">ommunication: </w:t>
      </w:r>
      <w:r w:rsidRPr="007B7784">
        <w:rPr>
          <w:sz w:val="28"/>
          <w:szCs w:val="28"/>
        </w:rPr>
        <w:t>Nothing in the</w:t>
      </w:r>
      <w:r>
        <w:rPr>
          <w:sz w:val="28"/>
          <w:szCs w:val="28"/>
        </w:rPr>
        <w:t xml:space="preserve"> proposed</w:t>
      </w:r>
      <w:r w:rsidRPr="007B7784">
        <w:rPr>
          <w:sz w:val="28"/>
          <w:szCs w:val="28"/>
        </w:rPr>
        <w:t xml:space="preserve"> </w:t>
      </w:r>
      <w:r>
        <w:rPr>
          <w:sz w:val="28"/>
          <w:szCs w:val="28"/>
        </w:rPr>
        <w:t xml:space="preserve">education </w:t>
      </w:r>
      <w:r w:rsidRPr="007B7784">
        <w:rPr>
          <w:sz w:val="28"/>
          <w:szCs w:val="28"/>
        </w:rPr>
        <w:t>order</w:t>
      </w:r>
      <w:r>
        <w:rPr>
          <w:sz w:val="28"/>
          <w:szCs w:val="28"/>
        </w:rPr>
        <w:t xml:space="preserve"> addresses communication between the parents and the school. How they are to communicate with the school. Should one parent copy the other? Should the teacher copy one or both parents? </w:t>
      </w:r>
    </w:p>
    <w:p w14:paraId="28AA842A" w14:textId="77777777" w:rsidR="00A97B3C" w:rsidRPr="006F63FD" w:rsidRDefault="00A97B3C" w:rsidP="00A97B3C">
      <w:pPr>
        <w:pStyle w:val="Body"/>
        <w:widowControl w:val="0"/>
        <w:spacing w:line="480" w:lineRule="auto"/>
        <w:ind w:firstLine="0"/>
        <w:jc w:val="center"/>
        <w:rPr>
          <w:rStyle w:val="BodyTextChar"/>
          <w:b/>
          <w:sz w:val="28"/>
          <w:szCs w:val="28"/>
        </w:rPr>
      </w:pPr>
      <w:r w:rsidRPr="006F63FD">
        <w:rPr>
          <w:rStyle w:val="BodyTextChar"/>
          <w:b/>
          <w:sz w:val="28"/>
          <w:szCs w:val="28"/>
        </w:rPr>
        <w:lastRenderedPageBreak/>
        <w:t>CONCLUSION</w:t>
      </w:r>
    </w:p>
    <w:p w14:paraId="309CFC2D" w14:textId="1E651062" w:rsidR="00A97B3C" w:rsidRPr="00471D47" w:rsidRDefault="00A97B3C" w:rsidP="00A97B3C">
      <w:pPr>
        <w:pStyle w:val="Body"/>
        <w:widowControl w:val="0"/>
        <w:tabs>
          <w:tab w:val="left" w:pos="720"/>
        </w:tabs>
        <w:spacing w:line="480" w:lineRule="auto"/>
        <w:ind w:firstLine="0"/>
        <w:jc w:val="both"/>
        <w:rPr>
          <w:spacing w:val="-3"/>
          <w:sz w:val="28"/>
          <w:szCs w:val="28"/>
        </w:rPr>
      </w:pPr>
      <w:r w:rsidRPr="006F63FD">
        <w:rPr>
          <w:sz w:val="28"/>
          <w:szCs w:val="28"/>
        </w:rPr>
        <w:tab/>
      </w:r>
      <w:r>
        <w:rPr>
          <w:sz w:val="28"/>
          <w:szCs w:val="28"/>
        </w:rPr>
        <w:t>Based on the considerations set forth above, t</w:t>
      </w:r>
      <w:r w:rsidRPr="006F63FD">
        <w:rPr>
          <w:sz w:val="28"/>
          <w:szCs w:val="28"/>
        </w:rPr>
        <w:t>he State Bar</w:t>
      </w:r>
      <w:r>
        <w:rPr>
          <w:sz w:val="28"/>
          <w:szCs w:val="28"/>
        </w:rPr>
        <w:t xml:space="preserve"> of Arizona</w:t>
      </w:r>
      <w:r w:rsidRPr="006F63FD">
        <w:rPr>
          <w:sz w:val="28"/>
          <w:szCs w:val="28"/>
        </w:rPr>
        <w:t xml:space="preserve"> respectfully requests that </w:t>
      </w:r>
      <w:r>
        <w:rPr>
          <w:sz w:val="28"/>
          <w:szCs w:val="28"/>
        </w:rPr>
        <w:t xml:space="preserve">the Court continue consideration of this Petition and form a state-wide task force be formed to study and </w:t>
      </w:r>
      <w:r>
        <w:rPr>
          <w:sz w:val="28"/>
          <w:szCs w:val="28"/>
        </w:rPr>
        <w:t>resolve issues</w:t>
      </w:r>
      <w:r>
        <w:rPr>
          <w:sz w:val="28"/>
          <w:szCs w:val="28"/>
        </w:rPr>
        <w:t xml:space="preserve"> with the form proposed in the Petition and if a corresponding rule would resolve such issues. The State Bar also believes that this task force should have adequate state-wide representation of professionals in this area of practice. </w:t>
      </w:r>
    </w:p>
    <w:p w14:paraId="5D02FE20" w14:textId="77777777" w:rsidR="000F7A7F" w:rsidRPr="000F7A7F" w:rsidRDefault="000F7A7F" w:rsidP="000F7C13">
      <w:pPr>
        <w:pStyle w:val="Body"/>
        <w:widowControl w:val="0"/>
        <w:tabs>
          <w:tab w:val="left" w:pos="720"/>
        </w:tabs>
        <w:ind w:firstLine="0"/>
        <w:rPr>
          <w:szCs w:val="26"/>
        </w:rPr>
      </w:pPr>
    </w:p>
    <w:p w14:paraId="56DC022B" w14:textId="293E5FAB" w:rsidR="000C48A9" w:rsidRPr="006F63FD" w:rsidRDefault="006F63FD" w:rsidP="000C48A9">
      <w:pPr>
        <w:pStyle w:val="Body"/>
        <w:widowControl w:val="0"/>
        <w:tabs>
          <w:tab w:val="left" w:pos="720"/>
        </w:tabs>
        <w:ind w:firstLine="0"/>
        <w:rPr>
          <w:sz w:val="28"/>
          <w:szCs w:val="28"/>
        </w:rPr>
      </w:pPr>
      <w:r>
        <w:rPr>
          <w:szCs w:val="26"/>
        </w:rPr>
        <w:t xml:space="preserve">       </w:t>
      </w:r>
      <w:r w:rsidR="008D1F83">
        <w:rPr>
          <w:szCs w:val="26"/>
        </w:rPr>
        <w:tab/>
      </w:r>
      <w:r w:rsidR="008D1F83">
        <w:rPr>
          <w:szCs w:val="26"/>
        </w:rPr>
        <w:tab/>
      </w:r>
      <w:r w:rsidR="008D1F83">
        <w:rPr>
          <w:szCs w:val="26"/>
        </w:rPr>
        <w:tab/>
      </w:r>
      <w:r w:rsidR="000C48A9" w:rsidRPr="006F63FD">
        <w:rPr>
          <w:sz w:val="28"/>
          <w:szCs w:val="28"/>
        </w:rPr>
        <w:t xml:space="preserve">RESPECTFULLY SUBMITTED this </w:t>
      </w:r>
      <w:r w:rsidR="008D1F83">
        <w:rPr>
          <w:sz w:val="28"/>
          <w:szCs w:val="28"/>
        </w:rPr>
        <w:t>27</w:t>
      </w:r>
      <w:r w:rsidR="008D1F83" w:rsidRPr="008D1F83">
        <w:rPr>
          <w:sz w:val="28"/>
          <w:szCs w:val="28"/>
          <w:vertAlign w:val="superscript"/>
        </w:rPr>
        <w:t>th</w:t>
      </w:r>
      <w:r w:rsidR="008D1F83">
        <w:rPr>
          <w:sz w:val="28"/>
          <w:szCs w:val="28"/>
        </w:rPr>
        <w:t xml:space="preserve"> </w:t>
      </w:r>
      <w:r w:rsidR="000C48A9" w:rsidRPr="006F63FD">
        <w:rPr>
          <w:sz w:val="28"/>
          <w:szCs w:val="28"/>
        </w:rPr>
        <w:t>day of</w:t>
      </w:r>
      <w:r w:rsidR="008D1F83">
        <w:rPr>
          <w:sz w:val="28"/>
          <w:szCs w:val="28"/>
        </w:rPr>
        <w:t xml:space="preserve"> </w:t>
      </w:r>
      <w:proofErr w:type="gramStart"/>
      <w:r w:rsidR="008D1F83">
        <w:rPr>
          <w:sz w:val="28"/>
          <w:szCs w:val="28"/>
        </w:rPr>
        <w:t>April,</w:t>
      </w:r>
      <w:proofErr w:type="gramEnd"/>
      <w:r w:rsidR="008D1F83">
        <w:rPr>
          <w:sz w:val="28"/>
          <w:szCs w:val="28"/>
        </w:rPr>
        <w:t xml:space="preserve"> 2023</w:t>
      </w:r>
      <w:r w:rsidR="000C48A9" w:rsidRPr="006F63FD">
        <w:rPr>
          <w:sz w:val="28"/>
          <w:szCs w:val="28"/>
        </w:rPr>
        <w:t>.</w:t>
      </w:r>
    </w:p>
    <w:p w14:paraId="514BFEB7" w14:textId="77777777" w:rsidR="000C48A9" w:rsidRPr="000F7A7F" w:rsidRDefault="000C48A9" w:rsidP="000C48A9">
      <w:pPr>
        <w:pStyle w:val="Body"/>
        <w:widowControl w:val="0"/>
        <w:tabs>
          <w:tab w:val="left" w:pos="720"/>
        </w:tabs>
        <w:ind w:firstLine="0"/>
        <w:rPr>
          <w:szCs w:val="26"/>
        </w:rPr>
      </w:pPr>
    </w:p>
    <w:p w14:paraId="6B779D2D" w14:textId="69957815" w:rsidR="000C48A9" w:rsidRPr="008D1F83" w:rsidRDefault="008D1F83" w:rsidP="000C48A9">
      <w:pPr>
        <w:pStyle w:val="Body"/>
        <w:widowControl w:val="0"/>
        <w:tabs>
          <w:tab w:val="left" w:pos="720"/>
        </w:tabs>
        <w:ind w:firstLine="0"/>
        <w:rPr>
          <w:i/>
          <w:iCs/>
          <w:szCs w:val="26"/>
        </w:rPr>
      </w:pPr>
      <w:r>
        <w:rPr>
          <w:szCs w:val="26"/>
        </w:rPr>
        <w:tab/>
      </w:r>
      <w:r>
        <w:rPr>
          <w:szCs w:val="26"/>
        </w:rPr>
        <w:tab/>
      </w:r>
      <w:r>
        <w:rPr>
          <w:szCs w:val="26"/>
        </w:rPr>
        <w:tab/>
      </w:r>
      <w:r>
        <w:rPr>
          <w:szCs w:val="26"/>
        </w:rPr>
        <w:tab/>
      </w:r>
      <w:r>
        <w:rPr>
          <w:szCs w:val="26"/>
        </w:rPr>
        <w:tab/>
      </w:r>
      <w:r>
        <w:rPr>
          <w:szCs w:val="26"/>
        </w:rPr>
        <w:tab/>
      </w:r>
      <w:r>
        <w:rPr>
          <w:szCs w:val="26"/>
        </w:rPr>
        <w:tab/>
      </w:r>
      <w:r>
        <w:rPr>
          <w:i/>
          <w:iCs/>
          <w:szCs w:val="26"/>
        </w:rPr>
        <w:t>/s/ Lisa M. Panahi</w:t>
      </w:r>
    </w:p>
    <w:p w14:paraId="66D5BA5C" w14:textId="77777777"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14:paraId="305B54BB" w14:textId="77777777"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14:paraId="3ACE66B2" w14:textId="77777777" w:rsidR="000C48A9" w:rsidRPr="000F7A7F" w:rsidRDefault="000C48A9" w:rsidP="000C48A9">
      <w:pPr>
        <w:pStyle w:val="PleadingSignature"/>
        <w:keepNext w:val="0"/>
        <w:keepLines w:val="0"/>
        <w:spacing w:line="240" w:lineRule="auto"/>
        <w:ind w:left="5070"/>
        <w:rPr>
          <w:szCs w:val="26"/>
        </w:rPr>
      </w:pPr>
    </w:p>
    <w:p w14:paraId="1B468F8F" w14:textId="77777777" w:rsidR="000C48A9" w:rsidRPr="006F63FD" w:rsidRDefault="000C48A9" w:rsidP="000C48A9">
      <w:pPr>
        <w:pStyle w:val="PleadingSignature"/>
        <w:keepNext w:val="0"/>
        <w:keepLines w:val="0"/>
        <w:spacing w:line="240" w:lineRule="auto"/>
        <w:ind w:left="5070"/>
        <w:rPr>
          <w:sz w:val="28"/>
          <w:szCs w:val="28"/>
        </w:rPr>
      </w:pPr>
    </w:p>
    <w:p w14:paraId="7CFE3311" w14:textId="77777777" w:rsidR="00C52E56" w:rsidRDefault="00C52E56" w:rsidP="004331B2">
      <w:pPr>
        <w:widowControl w:val="0"/>
        <w:spacing w:line="240" w:lineRule="auto"/>
        <w:ind w:right="4140"/>
        <w:rPr>
          <w:sz w:val="28"/>
          <w:szCs w:val="28"/>
        </w:rPr>
      </w:pPr>
    </w:p>
    <w:p w14:paraId="3EFA1660" w14:textId="77777777" w:rsidR="00C52E56" w:rsidRDefault="00C52E56" w:rsidP="004331B2">
      <w:pPr>
        <w:widowControl w:val="0"/>
        <w:spacing w:line="240" w:lineRule="auto"/>
        <w:ind w:right="4140"/>
        <w:rPr>
          <w:sz w:val="28"/>
          <w:szCs w:val="28"/>
        </w:rPr>
      </w:pPr>
    </w:p>
    <w:p w14:paraId="1B393CD1" w14:textId="77777777"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14:paraId="7DDECC87" w14:textId="77777777"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14:paraId="6759567E" w14:textId="07B3F85A" w:rsidR="000C48A9" w:rsidRPr="00C52E56"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 xml:space="preserve">his </w:t>
      </w:r>
      <w:r w:rsidR="008D1F83">
        <w:rPr>
          <w:sz w:val="28"/>
          <w:szCs w:val="28"/>
        </w:rPr>
        <w:t>27</w:t>
      </w:r>
      <w:r w:rsidR="008D1F83" w:rsidRPr="008D1F83">
        <w:rPr>
          <w:sz w:val="28"/>
          <w:szCs w:val="28"/>
          <w:vertAlign w:val="superscript"/>
        </w:rPr>
        <w:t>th</w:t>
      </w:r>
      <w:r w:rsidR="008D1F83">
        <w:rPr>
          <w:sz w:val="28"/>
          <w:szCs w:val="28"/>
        </w:rPr>
        <w:t xml:space="preserve"> </w:t>
      </w:r>
      <w:r w:rsidR="008D1F83" w:rsidRPr="00C52E56">
        <w:rPr>
          <w:sz w:val="28"/>
          <w:szCs w:val="28"/>
        </w:rPr>
        <w:t>day</w:t>
      </w:r>
      <w:r w:rsidR="000F7A7F" w:rsidRPr="00C52E56">
        <w:rPr>
          <w:sz w:val="28"/>
          <w:szCs w:val="28"/>
        </w:rPr>
        <w:t xml:space="preserve"> of </w:t>
      </w:r>
      <w:r w:rsidR="008D1F83">
        <w:rPr>
          <w:sz w:val="28"/>
          <w:szCs w:val="28"/>
        </w:rPr>
        <w:t xml:space="preserve">April, </w:t>
      </w:r>
      <w:r w:rsidR="00D60D9B">
        <w:rPr>
          <w:sz w:val="28"/>
          <w:szCs w:val="28"/>
        </w:rPr>
        <w:t>20</w:t>
      </w:r>
      <w:r w:rsidR="00954A5E">
        <w:rPr>
          <w:sz w:val="28"/>
          <w:szCs w:val="28"/>
        </w:rPr>
        <w:t>2</w:t>
      </w:r>
      <w:r w:rsidR="00334B42">
        <w:rPr>
          <w:sz w:val="28"/>
          <w:szCs w:val="28"/>
        </w:rPr>
        <w:t>3</w:t>
      </w:r>
      <w:r w:rsidR="000F7A7F" w:rsidRPr="00C52E56">
        <w:rPr>
          <w:sz w:val="28"/>
          <w:szCs w:val="28"/>
        </w:rPr>
        <w:t>.</w:t>
      </w:r>
    </w:p>
    <w:p w14:paraId="69581EED" w14:textId="77777777" w:rsidR="000F7A7F" w:rsidRPr="00C52E56" w:rsidRDefault="000F7A7F" w:rsidP="000C48A9">
      <w:pPr>
        <w:spacing w:line="240" w:lineRule="auto"/>
        <w:ind w:right="4572"/>
        <w:rPr>
          <w:sz w:val="28"/>
          <w:szCs w:val="28"/>
        </w:rPr>
      </w:pPr>
    </w:p>
    <w:p w14:paraId="74A74D4D" w14:textId="2193F7DA" w:rsidR="000C48A9" w:rsidRPr="00C52E56" w:rsidRDefault="000C48A9" w:rsidP="000C48A9">
      <w:pPr>
        <w:spacing w:line="240" w:lineRule="auto"/>
        <w:ind w:right="4572"/>
        <w:rPr>
          <w:sz w:val="28"/>
          <w:szCs w:val="28"/>
        </w:rPr>
      </w:pPr>
      <w:r w:rsidRPr="00C52E56">
        <w:rPr>
          <w:sz w:val="28"/>
          <w:szCs w:val="28"/>
        </w:rPr>
        <w:t xml:space="preserve">by: </w:t>
      </w:r>
      <w:r w:rsidR="008D1F83">
        <w:rPr>
          <w:sz w:val="28"/>
          <w:szCs w:val="28"/>
        </w:rPr>
        <w:t>P Seguin</w:t>
      </w:r>
      <w:r w:rsidRPr="00C52E56">
        <w:rPr>
          <w:sz w:val="28"/>
          <w:szCs w:val="28"/>
        </w:rPr>
        <w:t xml:space="preserve"> </w:t>
      </w:r>
    </w:p>
    <w:p w14:paraId="514D6FB1" w14:textId="77777777" w:rsidR="00494BDF" w:rsidRPr="000F7A7F" w:rsidRDefault="00494BDF" w:rsidP="000C48A9">
      <w:pPr>
        <w:pStyle w:val="Body"/>
        <w:widowControl w:val="0"/>
        <w:ind w:firstLine="0"/>
        <w:jc w:val="both"/>
        <w:rPr>
          <w:szCs w:val="26"/>
        </w:rPr>
      </w:pPr>
    </w:p>
    <w:p w14:paraId="22C2C8B9" w14:textId="77777777" w:rsidR="00933EA1" w:rsidRPr="000F7A7F" w:rsidRDefault="00933EA1" w:rsidP="000F7C13">
      <w:pPr>
        <w:spacing w:line="240" w:lineRule="auto"/>
        <w:rPr>
          <w:strike/>
          <w:sz w:val="26"/>
          <w:szCs w:val="26"/>
        </w:rPr>
      </w:pPr>
    </w:p>
    <w:p w14:paraId="259B1882" w14:textId="77777777" w:rsidR="00933EA1" w:rsidRPr="000F7A7F" w:rsidRDefault="00933EA1" w:rsidP="00933EA1">
      <w:pPr>
        <w:rPr>
          <w:sz w:val="26"/>
          <w:szCs w:val="26"/>
        </w:rPr>
      </w:pPr>
    </w:p>
    <w:p w14:paraId="4A07E8A6" w14:textId="77777777" w:rsidR="00052372" w:rsidRPr="000F7A7F" w:rsidRDefault="00052372" w:rsidP="00933EA1">
      <w:pPr>
        <w:tabs>
          <w:tab w:val="left" w:pos="8145"/>
        </w:tabs>
        <w:rPr>
          <w:sz w:val="26"/>
          <w:szCs w:val="26"/>
        </w:rPr>
      </w:pPr>
    </w:p>
    <w:sectPr w:rsidR="00052372" w:rsidRPr="000F7A7F"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38537" w14:textId="77777777" w:rsidR="00D423FE" w:rsidRDefault="00D423FE">
      <w:r>
        <w:separator/>
      </w:r>
    </w:p>
  </w:endnote>
  <w:endnote w:type="continuationSeparator" w:id="0">
    <w:p w14:paraId="2A5F362C" w14:textId="77777777"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515B4" w14:textId="77777777" w:rsidR="00D423FE" w:rsidRDefault="00D423FE">
      <w:r>
        <w:separator/>
      </w:r>
    </w:p>
  </w:footnote>
  <w:footnote w:type="continuationSeparator" w:id="0">
    <w:p w14:paraId="60AD8263" w14:textId="77777777" w:rsidR="00D423FE" w:rsidRDefault="00D4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760D"/>
    <w:multiLevelType w:val="hybridMultilevel"/>
    <w:tmpl w:val="BC3CBC42"/>
    <w:lvl w:ilvl="0" w:tplc="EE54B8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659CA"/>
    <w:multiLevelType w:val="hybridMultilevel"/>
    <w:tmpl w:val="72D60CF6"/>
    <w:lvl w:ilvl="0" w:tplc="2FA057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8288678">
    <w:abstractNumId w:val="13"/>
  </w:num>
  <w:num w:numId="2" w16cid:durableId="1338851655">
    <w:abstractNumId w:val="14"/>
  </w:num>
  <w:num w:numId="3" w16cid:durableId="1296182094">
    <w:abstractNumId w:val="1"/>
  </w:num>
  <w:num w:numId="4" w16cid:durableId="736973399">
    <w:abstractNumId w:val="6"/>
  </w:num>
  <w:num w:numId="5" w16cid:durableId="1994602185">
    <w:abstractNumId w:val="8"/>
  </w:num>
  <w:num w:numId="6" w16cid:durableId="705905435">
    <w:abstractNumId w:val="9"/>
  </w:num>
  <w:num w:numId="7" w16cid:durableId="1829319839">
    <w:abstractNumId w:val="2"/>
  </w:num>
  <w:num w:numId="8" w16cid:durableId="1136950692">
    <w:abstractNumId w:val="15"/>
  </w:num>
  <w:num w:numId="9" w16cid:durableId="1542329543">
    <w:abstractNumId w:val="10"/>
  </w:num>
  <w:num w:numId="10" w16cid:durableId="451173854">
    <w:abstractNumId w:val="12"/>
  </w:num>
  <w:num w:numId="11" w16cid:durableId="21368526">
    <w:abstractNumId w:val="11"/>
  </w:num>
  <w:num w:numId="12" w16cid:durableId="1141196481">
    <w:abstractNumId w:val="7"/>
  </w:num>
  <w:num w:numId="13" w16cid:durableId="984310016">
    <w:abstractNumId w:val="4"/>
  </w:num>
  <w:num w:numId="14" w16cid:durableId="102000703">
    <w:abstractNumId w:val="5"/>
  </w:num>
  <w:num w:numId="15" w16cid:durableId="972254644">
    <w:abstractNumId w:val="0"/>
  </w:num>
  <w:num w:numId="16" w16cid:durableId="17637226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505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07336"/>
    <w:rsid w:val="00274D6A"/>
    <w:rsid w:val="00334B42"/>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845AE"/>
    <w:rsid w:val="005A21B0"/>
    <w:rsid w:val="005B5161"/>
    <w:rsid w:val="005D6AD4"/>
    <w:rsid w:val="006338C1"/>
    <w:rsid w:val="00636F5E"/>
    <w:rsid w:val="00665CCF"/>
    <w:rsid w:val="006666D1"/>
    <w:rsid w:val="006721EC"/>
    <w:rsid w:val="006766BF"/>
    <w:rsid w:val="00692391"/>
    <w:rsid w:val="006932BA"/>
    <w:rsid w:val="006B4F9A"/>
    <w:rsid w:val="006E4770"/>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4EB3"/>
    <w:rsid w:val="008D1F83"/>
    <w:rsid w:val="00933EA1"/>
    <w:rsid w:val="00951416"/>
    <w:rsid w:val="00954A5E"/>
    <w:rsid w:val="00960D21"/>
    <w:rsid w:val="00981D29"/>
    <w:rsid w:val="00981E11"/>
    <w:rsid w:val="00A1564B"/>
    <w:rsid w:val="00A4249C"/>
    <w:rsid w:val="00A5194F"/>
    <w:rsid w:val="00A871D6"/>
    <w:rsid w:val="00A93A7C"/>
    <w:rsid w:val="00A97B3C"/>
    <w:rsid w:val="00AF282C"/>
    <w:rsid w:val="00AF3FF7"/>
    <w:rsid w:val="00B1491D"/>
    <w:rsid w:val="00B47B7D"/>
    <w:rsid w:val="00C03E0F"/>
    <w:rsid w:val="00C52E56"/>
    <w:rsid w:val="00C5407A"/>
    <w:rsid w:val="00C662B0"/>
    <w:rsid w:val="00C84FD4"/>
    <w:rsid w:val="00C958EE"/>
    <w:rsid w:val="00CD21FB"/>
    <w:rsid w:val="00D423FE"/>
    <w:rsid w:val="00D442E4"/>
    <w:rsid w:val="00D60D9B"/>
    <w:rsid w:val="00D80EDC"/>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2503A-9B6E-4526-B5D7-88469558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8</TotalTime>
  <Pages>4</Pages>
  <Words>702</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2023-04-27T22:28:00Z</dcterms:created>
  <dcterms:modified xsi:type="dcterms:W3CDTF">2023-04-27T22:28:00Z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