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7DF3" w14:textId="0FBD2732"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9C56B8">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4B848BD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36F5E2FE"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1211F7FA"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5662F328" w14:textId="15E974F1"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Paul </w:t>
      </w:r>
      <w:r w:rsidR="009C56B8">
        <w:rPr>
          <w:rFonts w:ascii="Times New Roman" w:eastAsia="Times New Roman" w:hAnsi="Times New Roman" w:cs="Times New Roman"/>
          <w:b/>
          <w:smallCaps/>
          <w:snapToGrid w:val="0"/>
          <w:kern w:val="2"/>
          <w:sz w:val="28"/>
          <w:szCs w:val="28"/>
        </w:rPr>
        <w:t xml:space="preserve">W </w:t>
      </w:r>
      <w:r w:rsidRPr="001E4338">
        <w:rPr>
          <w:rFonts w:ascii="Times New Roman" w:eastAsia="Times New Roman" w:hAnsi="Times New Roman" w:cs="Times New Roman"/>
          <w:b/>
          <w:smallCaps/>
          <w:snapToGrid w:val="0"/>
          <w:kern w:val="2"/>
          <w:sz w:val="28"/>
          <w:szCs w:val="28"/>
        </w:rPr>
        <w:t>Ahler</w:t>
      </w:r>
    </w:p>
    <w:p w14:paraId="2D172E5B"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6D5A3751"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39090B99"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2B0EB916"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  (602) 506-3800</w:t>
      </w:r>
    </w:p>
    <w:p w14:paraId="6EDF45EC" w14:textId="554FE81D"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r w:rsidR="009C56B8">
        <w:rPr>
          <w:rFonts w:ascii="Times New Roman" w:eastAsia="Times New Roman" w:hAnsi="Times New Roman" w:cs="Times New Roman"/>
          <w:b/>
          <w:smallCaps/>
          <w:snapToGrid w:val="0"/>
          <w:kern w:val="2"/>
          <w:sz w:val="28"/>
          <w:szCs w:val="28"/>
        </w:rPr>
        <w:t>005379</w:t>
      </w:r>
      <w:r w:rsidRPr="00603EC7">
        <w:rPr>
          <w:rFonts w:ascii="Times New Roman" w:eastAsia="Times New Roman" w:hAnsi="Times New Roman" w:cs="Times New Roman"/>
          <w:b/>
          <w:smallCaps/>
          <w:snapToGrid w:val="0"/>
          <w:kern w:val="2"/>
          <w:sz w:val="28"/>
          <w:szCs w:val="28"/>
        </w:rPr>
        <w:t xml:space="preserve"> )</w:t>
      </w:r>
    </w:p>
    <w:p w14:paraId="068A7323"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086FB7B2"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40E6E10F"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7454DB88" w14:textId="77777777" w:rsidR="0021555E" w:rsidRPr="00603EC7"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21555E" w:rsidRPr="00603EC7" w14:paraId="0AA6701E" w14:textId="77777777" w:rsidTr="00DE773A">
        <w:tc>
          <w:tcPr>
            <w:tcW w:w="4680" w:type="dxa"/>
            <w:tcBorders>
              <w:top w:val="single" w:sz="6" w:space="0" w:color="FFFFFF"/>
              <w:left w:val="single" w:sz="6" w:space="0" w:color="FFFFFF"/>
              <w:bottom w:val="single" w:sz="7" w:space="0" w:color="000000"/>
              <w:right w:val="single" w:sz="6" w:space="0" w:color="FFFFFF"/>
            </w:tcBorders>
          </w:tcPr>
          <w:p w14:paraId="7676DD80"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491C6352"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611B2950" w14:textId="417FABF0"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sidRPr="00603EC7">
              <w:rPr>
                <w:rFonts w:ascii="Times New Roman" w:eastAsia="Times New Roman" w:hAnsi="Times New Roman" w:cs="Times New Roman"/>
                <w:b/>
                <w:snapToGrid w:val="0"/>
                <w:sz w:val="28"/>
                <w:szCs w:val="28"/>
              </w:rPr>
              <w:t>PETITION TO AMEND</w:t>
            </w:r>
            <w:r w:rsidRPr="001E4338">
              <w:rPr>
                <w:rFonts w:ascii="Times New Roman" w:eastAsia="Times New Roman" w:hAnsi="Times New Roman" w:cs="Times New Roman"/>
                <w:b/>
                <w:snapToGrid w:val="0"/>
                <w:sz w:val="28"/>
                <w:szCs w:val="28"/>
              </w:rPr>
              <w:t xml:space="preserve"> Rule </w:t>
            </w:r>
            <w:r>
              <w:rPr>
                <w:rFonts w:ascii="Times New Roman" w:eastAsia="Times New Roman" w:hAnsi="Times New Roman" w:cs="Times New Roman"/>
                <w:b/>
                <w:snapToGrid w:val="0"/>
                <w:sz w:val="28"/>
                <w:szCs w:val="28"/>
              </w:rPr>
              <w:t>25(e), Arizona Rules of Protective Order Procedure.</w:t>
            </w:r>
          </w:p>
        </w:tc>
        <w:tc>
          <w:tcPr>
            <w:tcW w:w="367" w:type="dxa"/>
            <w:tcBorders>
              <w:top w:val="single" w:sz="6" w:space="0" w:color="FFFFFF"/>
              <w:left w:val="single" w:sz="7" w:space="0" w:color="000000"/>
              <w:bottom w:val="single" w:sz="6" w:space="0" w:color="FFFFFF"/>
              <w:right w:val="single" w:sz="6" w:space="0" w:color="FFFFFF"/>
            </w:tcBorders>
          </w:tcPr>
          <w:p w14:paraId="6A0CCACF"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7CD64DC" w14:textId="185F91F6"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Pr>
                <w:rFonts w:ascii="Times New Roman" w:eastAsia="Times New Roman" w:hAnsi="Times New Roman" w:cs="Times New Roman"/>
                <w:smallCaps/>
                <w:snapToGrid w:val="0"/>
                <w:kern w:val="2"/>
                <w:sz w:val="28"/>
                <w:szCs w:val="28"/>
              </w:rPr>
              <w:t>3</w:t>
            </w:r>
            <w:r w:rsidRPr="001E4338">
              <w:rPr>
                <w:rFonts w:ascii="Times New Roman" w:eastAsia="Times New Roman" w:hAnsi="Times New Roman" w:cs="Times New Roman"/>
                <w:smallCaps/>
                <w:snapToGrid w:val="0"/>
                <w:kern w:val="2"/>
                <w:sz w:val="28"/>
                <w:szCs w:val="28"/>
              </w:rPr>
              <w:t>-00</w:t>
            </w:r>
            <w:r>
              <w:rPr>
                <w:rFonts w:ascii="Times New Roman" w:eastAsia="Times New Roman" w:hAnsi="Times New Roman" w:cs="Times New Roman"/>
                <w:smallCaps/>
                <w:snapToGrid w:val="0"/>
                <w:kern w:val="2"/>
                <w:sz w:val="28"/>
                <w:szCs w:val="28"/>
              </w:rPr>
              <w:t>10</w:t>
            </w:r>
          </w:p>
          <w:p w14:paraId="6DA2F07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1EF0B777"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 Attorney’s</w:t>
            </w:r>
            <w:r>
              <w:rPr>
                <w:rFonts w:ascii="Times New Roman" w:eastAsia="Times New Roman" w:hAnsi="Times New Roman" w:cs="Times New Roman"/>
                <w:smallCaps/>
                <w:snapToGrid w:val="0"/>
                <w:kern w:val="2"/>
                <w:sz w:val="28"/>
                <w:szCs w:val="28"/>
              </w:rPr>
              <w:t xml:space="preserve"> Office</w:t>
            </w:r>
            <w:r w:rsidRPr="00603EC7">
              <w:rPr>
                <w:rFonts w:ascii="Times New Roman" w:eastAsia="Times New Roman" w:hAnsi="Times New Roman" w:cs="Times New Roman"/>
                <w:smallCaps/>
                <w:snapToGrid w:val="0"/>
                <w:kern w:val="2"/>
                <w:sz w:val="28"/>
                <w:szCs w:val="28"/>
              </w:rPr>
              <w:t xml:space="preserve"> Comment in Opposition</w:t>
            </w:r>
            <w:r w:rsidRPr="00603EC7">
              <w:rPr>
                <w:rFonts w:ascii="Times New Roman" w:eastAsia="Times New Roman" w:hAnsi="Times New Roman" w:cs="Times New Roman"/>
                <w:snapToGrid w:val="0"/>
                <w:sz w:val="28"/>
                <w:szCs w:val="28"/>
              </w:rPr>
              <w:t xml:space="preserve"> </w:t>
            </w:r>
          </w:p>
          <w:p w14:paraId="13BB11CC" w14:textId="77777777" w:rsidR="0021555E" w:rsidRPr="00603EC7" w:rsidRDefault="0021555E" w:rsidP="00DE773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F4622F6" w14:textId="77777777" w:rsidR="0021555E" w:rsidRDefault="0021555E">
      <w:pPr>
        <w:rPr>
          <w:rFonts w:ascii="Times New Roman" w:hAnsi="Times New Roman"/>
          <w:sz w:val="28"/>
        </w:rPr>
      </w:pPr>
    </w:p>
    <w:p w14:paraId="332AB38F" w14:textId="55EDC208" w:rsidR="00E73908" w:rsidRPr="00C0700C" w:rsidRDefault="00E73908" w:rsidP="0021555E">
      <w:pPr>
        <w:spacing w:line="360" w:lineRule="auto"/>
        <w:rPr>
          <w:rFonts w:ascii="Times New Roman" w:hAnsi="Times New Roman"/>
          <w:sz w:val="28"/>
        </w:rPr>
      </w:pPr>
      <w:r w:rsidRPr="00C0700C">
        <w:rPr>
          <w:rFonts w:ascii="Times New Roman" w:hAnsi="Times New Roman"/>
          <w:sz w:val="28"/>
        </w:rPr>
        <w:t xml:space="preserve">Petitioner seeks to </w:t>
      </w:r>
      <w:r w:rsidR="00C95598" w:rsidRPr="00C0700C">
        <w:rPr>
          <w:rFonts w:ascii="Times New Roman" w:hAnsi="Times New Roman"/>
          <w:sz w:val="28"/>
        </w:rPr>
        <w:t xml:space="preserve">raise the standard of proof for a court to </w:t>
      </w:r>
      <w:r w:rsidR="007C19EC" w:rsidRPr="00C0700C">
        <w:rPr>
          <w:rFonts w:ascii="Times New Roman" w:hAnsi="Times New Roman"/>
          <w:sz w:val="28"/>
        </w:rPr>
        <w:t xml:space="preserve">grant an </w:t>
      </w:r>
      <w:r w:rsidR="0021555E">
        <w:rPr>
          <w:rFonts w:ascii="Times New Roman" w:hAnsi="Times New Roman"/>
          <w:sz w:val="28"/>
        </w:rPr>
        <w:t>injunction against harassment</w:t>
      </w:r>
      <w:r w:rsidR="007C19EC" w:rsidRPr="00C0700C">
        <w:rPr>
          <w:rFonts w:ascii="Times New Roman" w:hAnsi="Times New Roman"/>
          <w:sz w:val="28"/>
        </w:rPr>
        <w:t xml:space="preserve"> under Rule 25(e), Arizona Rules of Protective Order Procedure</w:t>
      </w:r>
      <w:r w:rsidR="00224A53">
        <w:rPr>
          <w:rFonts w:ascii="Times New Roman" w:hAnsi="Times New Roman"/>
          <w:sz w:val="28"/>
        </w:rPr>
        <w:t>,</w:t>
      </w:r>
      <w:r w:rsidR="007C19EC" w:rsidRPr="00C0700C">
        <w:rPr>
          <w:rFonts w:ascii="Times New Roman" w:hAnsi="Times New Roman"/>
          <w:sz w:val="28"/>
        </w:rPr>
        <w:t xml:space="preserve"> if the court intends to restrict the defendant’s </w:t>
      </w:r>
      <w:r w:rsidR="001233F8">
        <w:rPr>
          <w:rFonts w:ascii="Times New Roman" w:hAnsi="Times New Roman"/>
          <w:sz w:val="28"/>
        </w:rPr>
        <w:t>access to</w:t>
      </w:r>
      <w:r w:rsidR="007C19EC" w:rsidRPr="00C0700C">
        <w:rPr>
          <w:rFonts w:ascii="Times New Roman" w:hAnsi="Times New Roman"/>
          <w:sz w:val="28"/>
        </w:rPr>
        <w:t xml:space="preserve"> firearms under subsection (g) of that Rule.  Petitioner proposes such a change to conform to changes made recently to Arizona’s civil forfeiture laws.</w:t>
      </w:r>
    </w:p>
    <w:p w14:paraId="0BCDF078" w14:textId="768ED720" w:rsidR="007C19EC" w:rsidRPr="00C0700C" w:rsidRDefault="007C19EC" w:rsidP="0021555E">
      <w:pPr>
        <w:spacing w:line="360" w:lineRule="auto"/>
        <w:rPr>
          <w:rFonts w:ascii="Times New Roman" w:hAnsi="Times New Roman"/>
          <w:sz w:val="28"/>
        </w:rPr>
      </w:pPr>
    </w:p>
    <w:p w14:paraId="60DFD4EB" w14:textId="1D611A6B" w:rsidR="007C19EC" w:rsidRPr="00C0700C" w:rsidRDefault="007C19EC" w:rsidP="0021555E">
      <w:pPr>
        <w:spacing w:line="360" w:lineRule="auto"/>
        <w:rPr>
          <w:rFonts w:ascii="Times New Roman" w:hAnsi="Times New Roman"/>
          <w:sz w:val="28"/>
        </w:rPr>
      </w:pPr>
      <w:r w:rsidRPr="00C0700C">
        <w:rPr>
          <w:rFonts w:ascii="Times New Roman" w:hAnsi="Times New Roman"/>
          <w:sz w:val="28"/>
        </w:rPr>
        <w:t xml:space="preserve">In making this proposal, </w:t>
      </w:r>
      <w:r w:rsidR="001233F8">
        <w:rPr>
          <w:rFonts w:ascii="Times New Roman" w:hAnsi="Times New Roman"/>
          <w:sz w:val="28"/>
        </w:rPr>
        <w:t>Petitioner</w:t>
      </w:r>
      <w:r w:rsidRPr="00C0700C">
        <w:rPr>
          <w:rFonts w:ascii="Times New Roman" w:hAnsi="Times New Roman"/>
          <w:sz w:val="28"/>
        </w:rPr>
        <w:t xml:space="preserve"> overlooks one glaring difference between civil forfeiture and the restrictions in Rule 25(g).  Namely, </w:t>
      </w:r>
      <w:r w:rsidR="00224A53">
        <w:rPr>
          <w:rFonts w:ascii="Times New Roman" w:hAnsi="Times New Roman"/>
          <w:sz w:val="28"/>
        </w:rPr>
        <w:t xml:space="preserve">Rule </w:t>
      </w:r>
      <w:r w:rsidRPr="00C0700C">
        <w:rPr>
          <w:rFonts w:ascii="Times New Roman" w:hAnsi="Times New Roman"/>
          <w:sz w:val="28"/>
        </w:rPr>
        <w:t>25(g) does not forfeit firearms in any manner.  Rather, the court only limits a defendant’s access to them for the term of the order.  Moreover, the</w:t>
      </w:r>
      <w:r w:rsidR="00364EB0" w:rsidRPr="00C0700C">
        <w:rPr>
          <w:rFonts w:ascii="Times New Roman" w:hAnsi="Times New Roman"/>
          <w:sz w:val="28"/>
        </w:rPr>
        <w:t xml:space="preserve"> court has discretion to do this based on the facts and circumstances that led to the granting of the order—it is not mandatory.</w:t>
      </w:r>
      <w:r w:rsidR="001233F8">
        <w:rPr>
          <w:rFonts w:ascii="Times New Roman" w:hAnsi="Times New Roman"/>
          <w:sz w:val="28"/>
        </w:rPr>
        <w:t xml:space="preserve">  </w:t>
      </w:r>
    </w:p>
    <w:p w14:paraId="7CF3EA3E" w14:textId="346E4C34" w:rsidR="00364EB0" w:rsidRPr="00C0700C" w:rsidRDefault="00364EB0" w:rsidP="0021555E">
      <w:pPr>
        <w:spacing w:line="360" w:lineRule="auto"/>
        <w:rPr>
          <w:rFonts w:ascii="Times New Roman" w:hAnsi="Times New Roman"/>
          <w:sz w:val="28"/>
        </w:rPr>
      </w:pPr>
    </w:p>
    <w:p w14:paraId="066E2E27" w14:textId="060C2068" w:rsidR="00364EB0" w:rsidRPr="00C0700C" w:rsidRDefault="001233F8" w:rsidP="0021555E">
      <w:pPr>
        <w:spacing w:line="360" w:lineRule="auto"/>
        <w:rPr>
          <w:rFonts w:ascii="Times New Roman" w:hAnsi="Times New Roman"/>
          <w:sz w:val="28"/>
        </w:rPr>
      </w:pPr>
      <w:r>
        <w:rPr>
          <w:rFonts w:ascii="Times New Roman" w:hAnsi="Times New Roman"/>
          <w:sz w:val="28"/>
        </w:rPr>
        <w:t xml:space="preserve">Arizona Revised Statute </w:t>
      </w:r>
      <w:r>
        <w:rPr>
          <w:rFonts w:ascii="Times New Roman" w:hAnsi="Times New Roman" w:cs="Times New Roman"/>
          <w:sz w:val="28"/>
        </w:rPr>
        <w:t>§</w:t>
      </w:r>
      <w:r w:rsidR="00194D71" w:rsidRPr="00C0700C">
        <w:rPr>
          <w:rFonts w:ascii="Times New Roman" w:hAnsi="Times New Roman"/>
          <w:sz w:val="28"/>
        </w:rPr>
        <w:t>12-1809</w:t>
      </w:r>
      <w:r w:rsidR="00DC4530">
        <w:rPr>
          <w:rFonts w:ascii="Times New Roman" w:hAnsi="Times New Roman"/>
          <w:sz w:val="28"/>
        </w:rPr>
        <w:t xml:space="preserve"> governs injunctions where there is not a domestic relationship between the parties.  </w:t>
      </w:r>
      <w:r>
        <w:rPr>
          <w:rFonts w:ascii="Times New Roman" w:hAnsi="Times New Roman"/>
          <w:sz w:val="28"/>
        </w:rPr>
        <w:t>Subsection</w:t>
      </w:r>
      <w:r w:rsidR="00194D71" w:rsidRPr="00C0700C">
        <w:rPr>
          <w:rFonts w:ascii="Times New Roman" w:hAnsi="Times New Roman"/>
          <w:sz w:val="28"/>
        </w:rPr>
        <w:t xml:space="preserve"> (E) contains similar </w:t>
      </w:r>
      <w:r w:rsidR="00194D71" w:rsidRPr="00C0700C">
        <w:rPr>
          <w:rFonts w:ascii="Times New Roman" w:hAnsi="Times New Roman"/>
          <w:sz w:val="28"/>
        </w:rPr>
        <w:lastRenderedPageBreak/>
        <w:t>language to Rule 25(e).  Should the language of the Rule change, it would be in conflict with the language of the statute.</w:t>
      </w:r>
    </w:p>
    <w:p w14:paraId="20C12917" w14:textId="2D522881" w:rsidR="00194D71" w:rsidRPr="00C0700C" w:rsidRDefault="00194D71" w:rsidP="0021555E">
      <w:pPr>
        <w:spacing w:line="360" w:lineRule="auto"/>
        <w:rPr>
          <w:rFonts w:ascii="Times New Roman" w:hAnsi="Times New Roman"/>
          <w:sz w:val="28"/>
        </w:rPr>
      </w:pPr>
    </w:p>
    <w:p w14:paraId="43E8ABD6" w14:textId="7A118E9E" w:rsidR="00194D71" w:rsidRPr="00C0700C" w:rsidRDefault="00194D71" w:rsidP="0021555E">
      <w:pPr>
        <w:spacing w:line="360" w:lineRule="auto"/>
        <w:rPr>
          <w:rFonts w:ascii="Times New Roman" w:hAnsi="Times New Roman"/>
          <w:sz w:val="28"/>
        </w:rPr>
      </w:pPr>
      <w:r w:rsidRPr="00C0700C">
        <w:rPr>
          <w:rFonts w:ascii="Times New Roman" w:hAnsi="Times New Roman"/>
          <w:sz w:val="28"/>
        </w:rPr>
        <w:t xml:space="preserve">Similarly, </w:t>
      </w:r>
      <w:r w:rsidR="00DC4530">
        <w:rPr>
          <w:rFonts w:ascii="Times New Roman" w:hAnsi="Times New Roman"/>
          <w:sz w:val="28"/>
        </w:rPr>
        <w:t xml:space="preserve">if there is a domestic relationship between the parties, Title 13 applies and </w:t>
      </w:r>
      <w:r w:rsidR="001233F8">
        <w:rPr>
          <w:rFonts w:ascii="Times New Roman" w:hAnsi="Times New Roman" w:cs="Times New Roman"/>
          <w:sz w:val="28"/>
        </w:rPr>
        <w:t>§</w:t>
      </w:r>
      <w:r w:rsidRPr="00C0700C">
        <w:rPr>
          <w:rFonts w:ascii="Times New Roman" w:hAnsi="Times New Roman"/>
          <w:sz w:val="28"/>
        </w:rPr>
        <w:t>13-3602</w:t>
      </w:r>
      <w:r w:rsidR="00EE0819" w:rsidRPr="00C0700C">
        <w:rPr>
          <w:rFonts w:ascii="Times New Roman" w:hAnsi="Times New Roman"/>
          <w:sz w:val="28"/>
        </w:rPr>
        <w:t xml:space="preserve"> (G)(4)</w:t>
      </w:r>
      <w:r w:rsidRPr="00C0700C">
        <w:rPr>
          <w:rFonts w:ascii="Times New Roman" w:hAnsi="Times New Roman"/>
          <w:sz w:val="28"/>
        </w:rPr>
        <w:t xml:space="preserve"> contains language similar to </w:t>
      </w:r>
      <w:r w:rsidR="001233F8">
        <w:rPr>
          <w:rFonts w:ascii="Times New Roman" w:hAnsi="Times New Roman"/>
          <w:sz w:val="28"/>
        </w:rPr>
        <w:t xml:space="preserve">current </w:t>
      </w:r>
      <w:r w:rsidRPr="00C0700C">
        <w:rPr>
          <w:rFonts w:ascii="Times New Roman" w:hAnsi="Times New Roman"/>
          <w:sz w:val="28"/>
        </w:rPr>
        <w:t xml:space="preserve">Rule 25(g).  A change to the Rule would result in a conflict between the statutory language and the language in the </w:t>
      </w:r>
      <w:r w:rsidR="005345AF">
        <w:rPr>
          <w:rFonts w:ascii="Times New Roman" w:hAnsi="Times New Roman"/>
          <w:sz w:val="28"/>
        </w:rPr>
        <w:t>R</w:t>
      </w:r>
      <w:r w:rsidRPr="00C0700C">
        <w:rPr>
          <w:rFonts w:ascii="Times New Roman" w:hAnsi="Times New Roman"/>
          <w:sz w:val="28"/>
        </w:rPr>
        <w:t>ule.</w:t>
      </w:r>
      <w:r w:rsidR="00EE0819" w:rsidRPr="00C0700C">
        <w:rPr>
          <w:rFonts w:ascii="Times New Roman" w:hAnsi="Times New Roman"/>
          <w:sz w:val="28"/>
        </w:rPr>
        <w:t xml:space="preserve">  In fact, </w:t>
      </w:r>
      <w:r w:rsidR="005345AF">
        <w:rPr>
          <w:rFonts w:ascii="Times New Roman" w:hAnsi="Times New Roman" w:cs="Times New Roman"/>
          <w:sz w:val="28"/>
        </w:rPr>
        <w:t>§</w:t>
      </w:r>
      <w:r w:rsidR="00EE0819" w:rsidRPr="00C0700C">
        <w:rPr>
          <w:rFonts w:ascii="Times New Roman" w:hAnsi="Times New Roman"/>
          <w:sz w:val="28"/>
        </w:rPr>
        <w:t xml:space="preserve">13-3602(G)(4) actually allows the court to order that a defendant turn his/her firearm(s) over to local law enforcement for the duration of the order of protection, whereas Rule 25(g) says only that a defendant cannot possess, purchase or receive firearms for the duration of the order.  </w:t>
      </w:r>
    </w:p>
    <w:p w14:paraId="33F62471" w14:textId="04E0E0F1" w:rsidR="007C19EC" w:rsidRPr="00C0700C" w:rsidRDefault="007C19EC" w:rsidP="0021555E">
      <w:pPr>
        <w:spacing w:line="360" w:lineRule="auto"/>
        <w:rPr>
          <w:rFonts w:ascii="Times New Roman" w:hAnsi="Times New Roman"/>
          <w:sz w:val="28"/>
        </w:rPr>
      </w:pPr>
    </w:p>
    <w:p w14:paraId="4158A3F2" w14:textId="27E39805" w:rsidR="00EB7325" w:rsidRDefault="00EE0819" w:rsidP="0021555E">
      <w:pPr>
        <w:shd w:val="clear" w:color="auto" w:fill="FFFFFF"/>
        <w:spacing w:line="360" w:lineRule="auto"/>
        <w:textAlignment w:val="baseline"/>
        <w:rPr>
          <w:rFonts w:ascii="Times New Roman" w:eastAsia="Times New Roman" w:hAnsi="Times New Roman" w:cs="Times New Roman"/>
          <w:color w:val="3D3D3D"/>
          <w:sz w:val="28"/>
          <w:szCs w:val="23"/>
          <w:bdr w:val="none" w:sz="0" w:space="0" w:color="auto" w:frame="1"/>
        </w:rPr>
      </w:pPr>
      <w:r w:rsidRPr="00C0700C">
        <w:rPr>
          <w:rFonts w:ascii="Times New Roman" w:hAnsi="Times New Roman"/>
          <w:sz w:val="28"/>
        </w:rPr>
        <w:t>Moreover, regardless of what Arizona statute or rule state</w:t>
      </w:r>
      <w:r w:rsidR="00B1052A" w:rsidRPr="00C0700C">
        <w:rPr>
          <w:rFonts w:ascii="Times New Roman" w:hAnsi="Times New Roman"/>
          <w:sz w:val="28"/>
        </w:rPr>
        <w:t>s</w:t>
      </w:r>
      <w:r w:rsidRPr="00C0700C">
        <w:rPr>
          <w:rFonts w:ascii="Times New Roman" w:hAnsi="Times New Roman"/>
          <w:sz w:val="28"/>
        </w:rPr>
        <w:t xml:space="preserve">, it is still against federal law for an individual to possess or receive a firearm while there is an active </w:t>
      </w:r>
      <w:r w:rsidR="0021555E">
        <w:rPr>
          <w:rFonts w:ascii="Times New Roman" w:hAnsi="Times New Roman"/>
          <w:sz w:val="28"/>
        </w:rPr>
        <w:t xml:space="preserve">injunction or </w:t>
      </w:r>
      <w:r w:rsidRPr="00C0700C">
        <w:rPr>
          <w:rFonts w:ascii="Times New Roman" w:hAnsi="Times New Roman"/>
          <w:sz w:val="28"/>
        </w:rPr>
        <w:t>protective order against them</w:t>
      </w:r>
      <w:r w:rsidR="00DC4530">
        <w:rPr>
          <w:rFonts w:ascii="Times New Roman" w:hAnsi="Times New Roman"/>
          <w:sz w:val="28"/>
        </w:rPr>
        <w:t xml:space="preserve"> if the issuing state met the federal guidelines for such orders</w:t>
      </w:r>
      <w:r w:rsidRPr="00C0700C">
        <w:rPr>
          <w:rFonts w:ascii="Times New Roman" w:hAnsi="Times New Roman"/>
          <w:sz w:val="28"/>
        </w:rPr>
        <w:t xml:space="preserve">.  </w:t>
      </w:r>
      <w:r w:rsidR="00224A53">
        <w:rPr>
          <w:rFonts w:ascii="Times New Roman" w:hAnsi="Times New Roman"/>
          <w:sz w:val="28"/>
        </w:rPr>
        <w:t xml:space="preserve">18 </w:t>
      </w:r>
      <w:r w:rsidRPr="00C0700C">
        <w:rPr>
          <w:rFonts w:ascii="Times New Roman" w:hAnsi="Times New Roman"/>
          <w:sz w:val="28"/>
        </w:rPr>
        <w:t xml:space="preserve">U.S.C. </w:t>
      </w:r>
      <w:r w:rsidRPr="00C0700C">
        <w:rPr>
          <w:rFonts w:ascii="Times New Roman" w:hAnsi="Times New Roman"/>
          <w:color w:val="171E24"/>
          <w:sz w:val="28"/>
          <w:szCs w:val="20"/>
          <w:shd w:val="clear" w:color="auto" w:fill="F8F9F4"/>
        </w:rPr>
        <w:t>922(d)(8) and (g)(8</w:t>
      </w:r>
      <w:r w:rsidR="005345AF">
        <w:rPr>
          <w:rFonts w:ascii="Times New Roman" w:hAnsi="Times New Roman"/>
          <w:color w:val="171E24"/>
          <w:sz w:val="28"/>
          <w:szCs w:val="20"/>
          <w:shd w:val="clear" w:color="auto" w:fill="F8F9F4"/>
        </w:rPr>
        <w:t>)</w:t>
      </w:r>
      <w:r w:rsidR="00D709A4" w:rsidRPr="00C0700C">
        <w:rPr>
          <w:rFonts w:ascii="Times New Roman" w:hAnsi="Times New Roman"/>
          <w:color w:val="171E24"/>
          <w:sz w:val="28"/>
          <w:szCs w:val="20"/>
          <w:shd w:val="clear" w:color="auto" w:fill="F8F9F4"/>
        </w:rPr>
        <w:t xml:space="preserve">.  In fact, the </w:t>
      </w:r>
      <w:r w:rsidR="005345AF">
        <w:rPr>
          <w:rFonts w:ascii="Times New Roman" w:hAnsi="Times New Roman"/>
          <w:color w:val="171E24"/>
          <w:sz w:val="28"/>
          <w:szCs w:val="20"/>
          <w:shd w:val="clear" w:color="auto" w:fill="F8F9F4"/>
        </w:rPr>
        <w:t>language</w:t>
      </w:r>
      <w:r w:rsidR="00D709A4" w:rsidRPr="00C0700C">
        <w:rPr>
          <w:rFonts w:ascii="Times New Roman" w:hAnsi="Times New Roman"/>
          <w:color w:val="171E24"/>
          <w:sz w:val="28"/>
          <w:szCs w:val="20"/>
          <w:shd w:val="clear" w:color="auto" w:fill="F8F9F4"/>
        </w:rPr>
        <w:t xml:space="preserve"> in Arizona</w:t>
      </w:r>
      <w:r w:rsidR="005345AF">
        <w:rPr>
          <w:rFonts w:ascii="Times New Roman" w:hAnsi="Times New Roman"/>
          <w:color w:val="171E24"/>
          <w:sz w:val="28"/>
          <w:szCs w:val="20"/>
          <w:shd w:val="clear" w:color="auto" w:fill="F8F9F4"/>
        </w:rPr>
        <w:t>’s statutes and rule</w:t>
      </w:r>
      <w:r w:rsidR="00D709A4" w:rsidRPr="00C0700C">
        <w:rPr>
          <w:rFonts w:ascii="Times New Roman" w:hAnsi="Times New Roman"/>
          <w:color w:val="171E24"/>
          <w:sz w:val="28"/>
          <w:szCs w:val="20"/>
          <w:shd w:val="clear" w:color="auto" w:fill="F8F9F4"/>
        </w:rPr>
        <w:t xml:space="preserve"> ensure that the requirements of the federal law, passed as part of the Brady Act, are complied with.  </w:t>
      </w:r>
      <w:r w:rsidR="00EB7325" w:rsidRPr="00C0700C">
        <w:rPr>
          <w:rFonts w:ascii="Times New Roman" w:hAnsi="Times New Roman"/>
          <w:color w:val="171E24"/>
          <w:sz w:val="28"/>
          <w:szCs w:val="20"/>
          <w:shd w:val="clear" w:color="auto" w:fill="F8F9F4"/>
        </w:rPr>
        <w:t>Although only a memorandum decision, the Court of Appeals walks through this process in</w:t>
      </w:r>
      <w:r w:rsidR="00C0700C">
        <w:rPr>
          <w:rFonts w:ascii="Times New Roman" w:hAnsi="Times New Roman"/>
          <w:color w:val="171E24"/>
          <w:sz w:val="28"/>
          <w:szCs w:val="20"/>
          <w:shd w:val="clear" w:color="auto" w:fill="F8F9F4"/>
        </w:rPr>
        <w:t xml:space="preserve"> </w:t>
      </w:r>
      <w:r w:rsidR="00D709A4" w:rsidRPr="005345AF">
        <w:rPr>
          <w:rFonts w:ascii="Times New Roman" w:hAnsi="Times New Roman"/>
          <w:i/>
          <w:iCs/>
          <w:color w:val="171E24"/>
          <w:sz w:val="28"/>
          <w:szCs w:val="20"/>
          <w:shd w:val="clear" w:color="auto" w:fill="F8F9F4"/>
        </w:rPr>
        <w:t>Quezada v. Servin</w:t>
      </w:r>
      <w:r w:rsidR="00D709A4" w:rsidRPr="00C0700C">
        <w:rPr>
          <w:rFonts w:ascii="Times New Roman" w:hAnsi="Times New Roman"/>
          <w:color w:val="171E24"/>
          <w:sz w:val="28"/>
          <w:szCs w:val="20"/>
          <w:shd w:val="clear" w:color="auto" w:fill="F8F9F4"/>
        </w:rPr>
        <w:t xml:space="preserve">, </w:t>
      </w:r>
      <w:r w:rsidR="00EB7325" w:rsidRPr="00C0700C">
        <w:rPr>
          <w:rFonts w:ascii="Times New Roman" w:eastAsia="Times New Roman" w:hAnsi="Times New Roman" w:cs="Times New Roman"/>
          <w:color w:val="3D3D3D"/>
          <w:sz w:val="28"/>
          <w:szCs w:val="23"/>
          <w:bdr w:val="none" w:sz="0" w:space="0" w:color="auto" w:frame="1"/>
        </w:rPr>
        <w:t>No. 1 CA-CV 20-0014 FC</w:t>
      </w:r>
      <w:r w:rsidR="00224A53">
        <w:rPr>
          <w:rFonts w:ascii="Times New Roman" w:eastAsia="Times New Roman" w:hAnsi="Times New Roman" w:cs="Times New Roman"/>
          <w:color w:val="3D3D3D"/>
          <w:sz w:val="28"/>
          <w:szCs w:val="23"/>
          <w:bdr w:val="none" w:sz="0" w:space="0" w:color="auto" w:frame="1"/>
        </w:rPr>
        <w:t xml:space="preserve">, 2020 WL 6834323, </w:t>
      </w:r>
      <w:r w:rsidR="00471BC4">
        <w:rPr>
          <w:rFonts w:ascii="Times New Roman" w:eastAsia="Times New Roman" w:hAnsi="Times New Roman" w:cs="Times New Roman"/>
          <w:color w:val="3D3D3D"/>
          <w:sz w:val="28"/>
          <w:szCs w:val="23"/>
          <w:bdr w:val="none" w:sz="0" w:space="0" w:color="auto" w:frame="1"/>
        </w:rPr>
        <w:t>*2, ¶ 8</w:t>
      </w:r>
      <w:r w:rsidR="00C0700C">
        <w:rPr>
          <w:rFonts w:ascii="Times New Roman" w:eastAsia="Times New Roman" w:hAnsi="Times New Roman" w:cs="Times New Roman"/>
          <w:color w:val="3D3D3D"/>
          <w:sz w:val="28"/>
          <w:szCs w:val="23"/>
          <w:bdr w:val="none" w:sz="0" w:space="0" w:color="auto" w:frame="1"/>
        </w:rPr>
        <w:t xml:space="preserve"> (</w:t>
      </w:r>
      <w:r w:rsidR="00471BC4">
        <w:rPr>
          <w:rFonts w:ascii="Times New Roman" w:eastAsia="Times New Roman" w:hAnsi="Times New Roman" w:cs="Times New Roman"/>
          <w:color w:val="3D3D3D"/>
          <w:sz w:val="28"/>
          <w:szCs w:val="23"/>
          <w:bdr w:val="none" w:sz="0" w:space="0" w:color="auto" w:frame="1"/>
        </w:rPr>
        <w:t xml:space="preserve">Ariz. Ct. App. </w:t>
      </w:r>
      <w:r w:rsidR="00C0700C">
        <w:rPr>
          <w:rFonts w:ascii="Times New Roman" w:eastAsia="Times New Roman" w:hAnsi="Times New Roman" w:cs="Times New Roman"/>
          <w:color w:val="3D3D3D"/>
          <w:sz w:val="28"/>
          <w:szCs w:val="23"/>
          <w:bdr w:val="none" w:sz="0" w:space="0" w:color="auto" w:frame="1"/>
        </w:rPr>
        <w:t>Nov</w:t>
      </w:r>
      <w:r w:rsidR="00471BC4">
        <w:rPr>
          <w:rFonts w:ascii="Times New Roman" w:eastAsia="Times New Roman" w:hAnsi="Times New Roman" w:cs="Times New Roman"/>
          <w:color w:val="3D3D3D"/>
          <w:sz w:val="28"/>
          <w:szCs w:val="23"/>
          <w:bdr w:val="none" w:sz="0" w:space="0" w:color="auto" w:frame="1"/>
        </w:rPr>
        <w:t>.</w:t>
      </w:r>
      <w:r w:rsidR="00C0700C">
        <w:rPr>
          <w:rFonts w:ascii="Times New Roman" w:eastAsia="Times New Roman" w:hAnsi="Times New Roman" w:cs="Times New Roman"/>
          <w:color w:val="3D3D3D"/>
          <w:sz w:val="28"/>
          <w:szCs w:val="23"/>
          <w:bdr w:val="none" w:sz="0" w:space="0" w:color="auto" w:frame="1"/>
        </w:rPr>
        <w:t xml:space="preserve"> 19, 2020)</w:t>
      </w:r>
      <w:r w:rsidR="00096E0B">
        <w:rPr>
          <w:rFonts w:ascii="Times New Roman" w:eastAsia="Times New Roman" w:hAnsi="Times New Roman" w:cs="Times New Roman"/>
          <w:color w:val="3D3D3D"/>
          <w:sz w:val="28"/>
          <w:szCs w:val="23"/>
          <w:bdr w:val="none" w:sz="0" w:space="0" w:color="auto" w:frame="1"/>
        </w:rPr>
        <w:t xml:space="preserve"> (</w:t>
      </w:r>
      <w:r w:rsidR="004F0ACB">
        <w:rPr>
          <w:rFonts w:ascii="Times New Roman" w:eastAsia="Times New Roman" w:hAnsi="Times New Roman" w:cs="Times New Roman"/>
          <w:color w:val="3D3D3D"/>
          <w:sz w:val="28"/>
          <w:szCs w:val="23"/>
          <w:bdr w:val="none" w:sz="0" w:space="0" w:color="auto" w:frame="1"/>
        </w:rPr>
        <w:t>Brady prohibition relies upon the trial court finding the person represents a credible threat to the physical safety of the intimate partner or child</w:t>
      </w:r>
      <w:r w:rsidR="00096E0B">
        <w:rPr>
          <w:rFonts w:ascii="Times New Roman" w:eastAsia="Times New Roman" w:hAnsi="Times New Roman" w:cs="Times New Roman"/>
          <w:color w:val="3D3D3D"/>
          <w:sz w:val="28"/>
          <w:szCs w:val="23"/>
          <w:bdr w:val="none" w:sz="0" w:space="0" w:color="auto" w:frame="1"/>
        </w:rPr>
        <w:t>)</w:t>
      </w:r>
      <w:r w:rsidR="00C0700C">
        <w:rPr>
          <w:rFonts w:ascii="Times New Roman" w:eastAsia="Times New Roman" w:hAnsi="Times New Roman" w:cs="Times New Roman"/>
          <w:color w:val="3D3D3D"/>
          <w:sz w:val="28"/>
          <w:szCs w:val="23"/>
          <w:bdr w:val="none" w:sz="0" w:space="0" w:color="auto" w:frame="1"/>
        </w:rPr>
        <w:t xml:space="preserve">, as well as another memorandum decision, </w:t>
      </w:r>
      <w:r w:rsidR="00C0700C" w:rsidRPr="005345AF">
        <w:rPr>
          <w:rFonts w:ascii="Times New Roman" w:eastAsia="Times New Roman" w:hAnsi="Times New Roman" w:cs="Times New Roman"/>
          <w:i/>
          <w:iCs/>
          <w:color w:val="3D3D3D"/>
          <w:sz w:val="28"/>
          <w:szCs w:val="23"/>
          <w:bdr w:val="none" w:sz="0" w:space="0" w:color="auto" w:frame="1"/>
        </w:rPr>
        <w:t>Derrig v. Alexander</w:t>
      </w:r>
      <w:r w:rsidR="00C0700C">
        <w:rPr>
          <w:rFonts w:ascii="Times New Roman" w:eastAsia="Times New Roman" w:hAnsi="Times New Roman" w:cs="Times New Roman"/>
          <w:color w:val="3D3D3D"/>
          <w:sz w:val="28"/>
          <w:szCs w:val="23"/>
          <w:bdr w:val="none" w:sz="0" w:space="0" w:color="auto" w:frame="1"/>
        </w:rPr>
        <w:t>, No. 2 CA-CV 2019-01</w:t>
      </w:r>
      <w:r w:rsidR="00471BC4">
        <w:rPr>
          <w:rFonts w:ascii="Times New Roman" w:eastAsia="Times New Roman" w:hAnsi="Times New Roman" w:cs="Times New Roman"/>
          <w:color w:val="3D3D3D"/>
          <w:sz w:val="28"/>
          <w:szCs w:val="23"/>
          <w:bdr w:val="none" w:sz="0" w:space="0" w:color="auto" w:frame="1"/>
        </w:rPr>
        <w:t>93, 2020 WL 7488178, *</w:t>
      </w:r>
      <w:r w:rsidR="009E0E46">
        <w:rPr>
          <w:rFonts w:ascii="Times New Roman" w:eastAsia="Times New Roman" w:hAnsi="Times New Roman" w:cs="Times New Roman"/>
          <w:color w:val="3D3D3D"/>
          <w:sz w:val="28"/>
          <w:szCs w:val="23"/>
          <w:bdr w:val="none" w:sz="0" w:space="0" w:color="auto" w:frame="1"/>
        </w:rPr>
        <w:t>4</w:t>
      </w:r>
      <w:r w:rsidR="00471BC4">
        <w:rPr>
          <w:rFonts w:ascii="Times New Roman" w:eastAsia="Times New Roman" w:hAnsi="Times New Roman" w:cs="Times New Roman"/>
          <w:color w:val="3D3D3D"/>
          <w:sz w:val="28"/>
          <w:szCs w:val="23"/>
          <w:bdr w:val="none" w:sz="0" w:space="0" w:color="auto" w:frame="1"/>
        </w:rPr>
        <w:t xml:space="preserve"> , ¶</w:t>
      </w:r>
      <w:r w:rsidR="009E0E46">
        <w:rPr>
          <w:rFonts w:ascii="Times New Roman" w:eastAsia="Times New Roman" w:hAnsi="Times New Roman" w:cs="Times New Roman"/>
          <w:color w:val="3D3D3D"/>
          <w:sz w:val="28"/>
          <w:szCs w:val="23"/>
          <w:bdr w:val="none" w:sz="0" w:space="0" w:color="auto" w:frame="1"/>
        </w:rPr>
        <w:t xml:space="preserve"> 20</w:t>
      </w:r>
      <w:r w:rsidR="00C0700C">
        <w:rPr>
          <w:rFonts w:ascii="Times New Roman" w:eastAsia="Times New Roman" w:hAnsi="Times New Roman" w:cs="Times New Roman"/>
          <w:color w:val="3D3D3D"/>
          <w:sz w:val="28"/>
          <w:szCs w:val="23"/>
          <w:bdr w:val="none" w:sz="0" w:space="0" w:color="auto" w:frame="1"/>
        </w:rPr>
        <w:t xml:space="preserve"> (</w:t>
      </w:r>
      <w:r w:rsidR="00471BC4">
        <w:rPr>
          <w:rFonts w:ascii="Times New Roman" w:eastAsia="Times New Roman" w:hAnsi="Times New Roman" w:cs="Times New Roman"/>
          <w:color w:val="3D3D3D"/>
          <w:sz w:val="28"/>
          <w:szCs w:val="23"/>
          <w:bdr w:val="none" w:sz="0" w:space="0" w:color="auto" w:frame="1"/>
        </w:rPr>
        <w:t>Ariz. Ct. App.</w:t>
      </w:r>
      <w:r w:rsidR="00C0700C">
        <w:rPr>
          <w:rFonts w:ascii="Times New Roman" w:eastAsia="Times New Roman" w:hAnsi="Times New Roman" w:cs="Times New Roman"/>
          <w:color w:val="3D3D3D"/>
          <w:sz w:val="28"/>
          <w:szCs w:val="23"/>
          <w:bdr w:val="none" w:sz="0" w:space="0" w:color="auto" w:frame="1"/>
        </w:rPr>
        <w:t xml:space="preserve"> Dec</w:t>
      </w:r>
      <w:r w:rsidR="00471BC4">
        <w:rPr>
          <w:rFonts w:ascii="Times New Roman" w:eastAsia="Times New Roman" w:hAnsi="Times New Roman" w:cs="Times New Roman"/>
          <w:color w:val="3D3D3D"/>
          <w:sz w:val="28"/>
          <w:szCs w:val="23"/>
          <w:bdr w:val="none" w:sz="0" w:space="0" w:color="auto" w:frame="1"/>
        </w:rPr>
        <w:t>.</w:t>
      </w:r>
      <w:r w:rsidR="00C0700C">
        <w:rPr>
          <w:rFonts w:ascii="Times New Roman" w:eastAsia="Times New Roman" w:hAnsi="Times New Roman" w:cs="Times New Roman"/>
          <w:color w:val="3D3D3D"/>
          <w:sz w:val="28"/>
          <w:szCs w:val="23"/>
          <w:bdr w:val="none" w:sz="0" w:space="0" w:color="auto" w:frame="1"/>
        </w:rPr>
        <w:t xml:space="preserve"> 18, 2020)</w:t>
      </w:r>
      <w:r w:rsidR="004F0ACB">
        <w:rPr>
          <w:rFonts w:ascii="Times New Roman" w:eastAsia="Times New Roman" w:hAnsi="Times New Roman" w:cs="Times New Roman"/>
          <w:color w:val="3D3D3D"/>
          <w:sz w:val="28"/>
          <w:szCs w:val="23"/>
          <w:bdr w:val="none" w:sz="0" w:space="0" w:color="auto" w:frame="1"/>
        </w:rPr>
        <w:t xml:space="preserve"> (Brady prohibition proper if the court makes either a credible threat finding or the terms of the order prohibit the “use, attempted use, or threatened use of physical force”)</w:t>
      </w:r>
      <w:r w:rsidR="00C0700C">
        <w:rPr>
          <w:rFonts w:ascii="Times New Roman" w:eastAsia="Times New Roman" w:hAnsi="Times New Roman" w:cs="Times New Roman"/>
          <w:color w:val="3D3D3D"/>
          <w:sz w:val="28"/>
          <w:szCs w:val="23"/>
          <w:bdr w:val="none" w:sz="0" w:space="0" w:color="auto" w:frame="1"/>
        </w:rPr>
        <w:t>.</w:t>
      </w:r>
    </w:p>
    <w:p w14:paraId="20C7F1F2" w14:textId="31999B78" w:rsidR="00C0700C" w:rsidRDefault="00C0700C" w:rsidP="0021555E">
      <w:pPr>
        <w:shd w:val="clear" w:color="auto" w:fill="FFFFFF"/>
        <w:spacing w:line="360" w:lineRule="auto"/>
        <w:textAlignment w:val="baseline"/>
        <w:rPr>
          <w:rFonts w:ascii="Times New Roman" w:eastAsia="Times New Roman" w:hAnsi="Times New Roman" w:cs="Times New Roman"/>
          <w:color w:val="3D3D3D"/>
          <w:sz w:val="28"/>
          <w:szCs w:val="23"/>
          <w:bdr w:val="none" w:sz="0" w:space="0" w:color="auto" w:frame="1"/>
        </w:rPr>
      </w:pPr>
    </w:p>
    <w:p w14:paraId="65EF9D78" w14:textId="7C1F5C14" w:rsidR="00E2502D" w:rsidRDefault="001233F8" w:rsidP="0021555E">
      <w:pPr>
        <w:shd w:val="clear" w:color="auto" w:fill="FFFFFF"/>
        <w:spacing w:after="100" w:afterAutospacing="1" w:line="360" w:lineRule="auto"/>
        <w:rPr>
          <w:rFonts w:ascii="Times New Roman" w:eastAsia="Times New Roman" w:hAnsi="Times New Roman" w:cs="Arial"/>
          <w:color w:val="151515"/>
          <w:sz w:val="28"/>
          <w:szCs w:val="24"/>
        </w:rPr>
      </w:pPr>
      <w:r w:rsidRPr="001233F8">
        <w:rPr>
          <w:rFonts w:ascii="Times New Roman" w:eastAsia="Times New Roman" w:hAnsi="Times New Roman" w:cs="Arial"/>
          <w:color w:val="151515"/>
          <w:sz w:val="28"/>
          <w:szCs w:val="24"/>
        </w:rPr>
        <w:lastRenderedPageBreak/>
        <w:t xml:space="preserve">In short, </w:t>
      </w:r>
      <w:r w:rsidR="005345AF">
        <w:rPr>
          <w:rFonts w:ascii="Times New Roman" w:eastAsia="Times New Roman" w:hAnsi="Times New Roman" w:cs="Arial"/>
          <w:color w:val="151515"/>
          <w:sz w:val="28"/>
          <w:szCs w:val="24"/>
        </w:rPr>
        <w:t xml:space="preserve">in </w:t>
      </w:r>
      <w:r w:rsidRPr="001233F8">
        <w:rPr>
          <w:rFonts w:ascii="Times New Roman" w:eastAsia="Times New Roman" w:hAnsi="Times New Roman" w:cs="Arial"/>
          <w:color w:val="151515"/>
          <w:sz w:val="28"/>
          <w:szCs w:val="24"/>
        </w:rPr>
        <w:t xml:space="preserve">a civil forfeiture </w:t>
      </w:r>
      <w:r w:rsidR="005345AF">
        <w:rPr>
          <w:rFonts w:ascii="Times New Roman" w:eastAsia="Times New Roman" w:hAnsi="Times New Roman" w:cs="Arial"/>
          <w:color w:val="151515"/>
          <w:sz w:val="28"/>
          <w:szCs w:val="24"/>
        </w:rPr>
        <w:t xml:space="preserve">an individual may be deprived </w:t>
      </w:r>
      <w:r w:rsidRPr="001233F8">
        <w:rPr>
          <w:rFonts w:ascii="Times New Roman" w:eastAsia="Times New Roman" w:hAnsi="Times New Roman" w:cs="Arial"/>
          <w:color w:val="151515"/>
          <w:sz w:val="28"/>
          <w:szCs w:val="24"/>
        </w:rPr>
        <w:t>of property permanently</w:t>
      </w:r>
      <w:r w:rsidR="005345AF">
        <w:rPr>
          <w:rFonts w:ascii="Times New Roman" w:eastAsia="Times New Roman" w:hAnsi="Times New Roman" w:cs="Arial"/>
          <w:color w:val="151515"/>
          <w:sz w:val="28"/>
          <w:szCs w:val="24"/>
        </w:rPr>
        <w:t xml:space="preserve"> and our Legislature chose to increase the burden of proof before such a permanent deprivation can occur.  In the context of Rule 25(e) and (g), however, </w:t>
      </w:r>
      <w:r w:rsidRPr="001233F8">
        <w:rPr>
          <w:rFonts w:ascii="Times New Roman" w:eastAsia="Times New Roman" w:hAnsi="Times New Roman" w:cs="Arial"/>
          <w:color w:val="151515"/>
          <w:sz w:val="28"/>
          <w:szCs w:val="24"/>
        </w:rPr>
        <w:t xml:space="preserve"> </w:t>
      </w:r>
      <w:r w:rsidR="005345AF">
        <w:rPr>
          <w:rFonts w:ascii="Times New Roman" w:eastAsia="Times New Roman" w:hAnsi="Times New Roman" w:cs="Arial"/>
          <w:color w:val="151515"/>
          <w:sz w:val="28"/>
          <w:szCs w:val="24"/>
        </w:rPr>
        <w:t>the court is only</w:t>
      </w:r>
      <w:r w:rsidRPr="001233F8">
        <w:rPr>
          <w:rFonts w:ascii="Times New Roman" w:eastAsia="Times New Roman" w:hAnsi="Times New Roman" w:cs="Arial"/>
          <w:color w:val="151515"/>
          <w:sz w:val="28"/>
          <w:szCs w:val="24"/>
        </w:rPr>
        <w:t xml:space="preserve"> temporar</w:t>
      </w:r>
      <w:r w:rsidR="005345AF">
        <w:rPr>
          <w:rFonts w:ascii="Times New Roman" w:eastAsia="Times New Roman" w:hAnsi="Times New Roman" w:cs="Arial"/>
          <w:color w:val="151515"/>
          <w:sz w:val="28"/>
          <w:szCs w:val="24"/>
        </w:rPr>
        <w:t>ily</w:t>
      </w:r>
      <w:r w:rsidRPr="001233F8">
        <w:rPr>
          <w:rFonts w:ascii="Times New Roman" w:eastAsia="Times New Roman" w:hAnsi="Times New Roman" w:cs="Arial"/>
          <w:color w:val="151515"/>
          <w:sz w:val="28"/>
          <w:szCs w:val="24"/>
        </w:rPr>
        <w:t xml:space="preserve"> restricti</w:t>
      </w:r>
      <w:r w:rsidR="005345AF">
        <w:rPr>
          <w:rFonts w:ascii="Times New Roman" w:eastAsia="Times New Roman" w:hAnsi="Times New Roman" w:cs="Arial"/>
          <w:color w:val="151515"/>
          <w:sz w:val="28"/>
          <w:szCs w:val="24"/>
        </w:rPr>
        <w:t>ng</w:t>
      </w:r>
      <w:r w:rsidRPr="001233F8">
        <w:rPr>
          <w:rFonts w:ascii="Times New Roman" w:eastAsia="Times New Roman" w:hAnsi="Times New Roman" w:cs="Arial"/>
          <w:color w:val="151515"/>
          <w:sz w:val="28"/>
          <w:szCs w:val="24"/>
        </w:rPr>
        <w:t xml:space="preserve"> access to a firearm after </w:t>
      </w:r>
      <w:r w:rsidR="005345AF">
        <w:rPr>
          <w:rFonts w:ascii="Times New Roman" w:eastAsia="Times New Roman" w:hAnsi="Times New Roman" w:cs="Arial"/>
          <w:color w:val="151515"/>
          <w:sz w:val="28"/>
          <w:szCs w:val="24"/>
        </w:rPr>
        <w:t>the</w:t>
      </w:r>
      <w:r w:rsidRPr="001233F8">
        <w:rPr>
          <w:rFonts w:ascii="Times New Roman" w:eastAsia="Times New Roman" w:hAnsi="Times New Roman" w:cs="Arial"/>
          <w:color w:val="151515"/>
          <w:sz w:val="28"/>
          <w:szCs w:val="24"/>
        </w:rPr>
        <w:t xml:space="preserve"> court makes specific findings that comply with both Arizona and federal laws.</w:t>
      </w:r>
    </w:p>
    <w:p w14:paraId="767EAA5B" w14:textId="5D160976" w:rsidR="005345AF" w:rsidRDefault="005345AF" w:rsidP="0021555E">
      <w:pPr>
        <w:shd w:val="clear" w:color="auto" w:fill="FFFFFF"/>
        <w:spacing w:after="100" w:afterAutospacing="1" w:line="360" w:lineRule="auto"/>
        <w:rPr>
          <w:rFonts w:ascii="Times New Roman" w:eastAsia="Times New Roman" w:hAnsi="Times New Roman" w:cs="Arial"/>
          <w:color w:val="151515"/>
          <w:sz w:val="28"/>
          <w:szCs w:val="24"/>
        </w:rPr>
      </w:pPr>
      <w:r>
        <w:rPr>
          <w:rFonts w:ascii="Times New Roman" w:eastAsia="Times New Roman" w:hAnsi="Times New Roman" w:cs="Arial"/>
          <w:color w:val="151515"/>
          <w:sz w:val="28"/>
          <w:szCs w:val="24"/>
        </w:rPr>
        <w:t xml:space="preserve">Another important distinction is that the civil forfeiture is unrelated to the safety of another individual.  The property subject to forfeiture is tied to the commission of a criminal act and, unless </w:t>
      </w:r>
      <w:r w:rsidR="00EF5FD8">
        <w:rPr>
          <w:rFonts w:ascii="Times New Roman" w:eastAsia="Times New Roman" w:hAnsi="Times New Roman" w:cs="Arial"/>
          <w:color w:val="151515"/>
          <w:sz w:val="28"/>
          <w:szCs w:val="24"/>
        </w:rPr>
        <w:t xml:space="preserve">it </w:t>
      </w:r>
      <w:r>
        <w:rPr>
          <w:rFonts w:ascii="Times New Roman" w:eastAsia="Times New Roman" w:hAnsi="Times New Roman" w:cs="Arial"/>
          <w:color w:val="151515"/>
          <w:sz w:val="28"/>
          <w:szCs w:val="24"/>
        </w:rPr>
        <w:t xml:space="preserve">also involved a weapon, </w:t>
      </w:r>
      <w:r w:rsidR="00662225">
        <w:rPr>
          <w:rFonts w:ascii="Times New Roman" w:eastAsia="Times New Roman" w:hAnsi="Times New Roman" w:cs="Arial"/>
          <w:color w:val="151515"/>
          <w:sz w:val="28"/>
          <w:szCs w:val="24"/>
        </w:rPr>
        <w:t>has nothing to do with whether a victim or another individual was the possible target of future violence by the defendant.  In the context of an injunction against harassment or order of protection, however, it is the exact opposite.  The firearm restriction has nothing to do with whether the property was tied to the fruits or commission of a crime and has everything to do with the future safety of an individual.</w:t>
      </w:r>
    </w:p>
    <w:p w14:paraId="23B4B86C" w14:textId="575F2D34" w:rsidR="00662225" w:rsidRPr="00E2502D" w:rsidRDefault="00662225" w:rsidP="0021555E">
      <w:pPr>
        <w:shd w:val="clear" w:color="auto" w:fill="FFFFFF"/>
        <w:spacing w:afterAutospacing="1" w:line="360" w:lineRule="auto"/>
        <w:rPr>
          <w:rFonts w:ascii="Times New Roman" w:eastAsia="Times New Roman" w:hAnsi="Times New Roman" w:cs="Times New Roman"/>
          <w:sz w:val="28"/>
          <w:szCs w:val="28"/>
        </w:rPr>
      </w:pPr>
      <w:r w:rsidRPr="00E2502D">
        <w:rPr>
          <w:rFonts w:ascii="Times New Roman" w:eastAsia="Times New Roman" w:hAnsi="Times New Roman" w:cs="Times New Roman"/>
          <w:color w:val="3D3D3D"/>
          <w:sz w:val="28"/>
          <w:szCs w:val="28"/>
          <w:bdr w:val="none" w:sz="0" w:space="0" w:color="auto" w:frame="1"/>
        </w:rPr>
        <w:t>There are reasons that</w:t>
      </w:r>
      <w:r w:rsidR="007C0472">
        <w:rPr>
          <w:rFonts w:ascii="Times New Roman" w:eastAsia="Times New Roman" w:hAnsi="Times New Roman" w:cs="Times New Roman"/>
          <w:color w:val="3D3D3D"/>
          <w:sz w:val="28"/>
          <w:szCs w:val="28"/>
          <w:bdr w:val="none" w:sz="0" w:space="0" w:color="auto" w:frame="1"/>
        </w:rPr>
        <w:t xml:space="preserve"> support</w:t>
      </w:r>
      <w:r w:rsidRPr="00E2502D">
        <w:rPr>
          <w:rFonts w:ascii="Times New Roman" w:eastAsia="Times New Roman" w:hAnsi="Times New Roman" w:cs="Times New Roman"/>
          <w:color w:val="3D3D3D"/>
          <w:sz w:val="28"/>
          <w:szCs w:val="28"/>
          <w:bdr w:val="none" w:sz="0" w:space="0" w:color="auto" w:frame="1"/>
        </w:rPr>
        <w:t xml:space="preserve"> the firearm restriction </w:t>
      </w:r>
      <w:r w:rsidR="006F44DA">
        <w:rPr>
          <w:rFonts w:ascii="Times New Roman" w:eastAsia="Times New Roman" w:hAnsi="Times New Roman" w:cs="Times New Roman"/>
          <w:color w:val="3D3D3D"/>
          <w:sz w:val="28"/>
          <w:szCs w:val="28"/>
          <w:bdr w:val="none" w:sz="0" w:space="0" w:color="auto" w:frame="1"/>
        </w:rPr>
        <w:t>imposed by</w:t>
      </w:r>
      <w:r w:rsidR="006F44DA" w:rsidRPr="00E2502D">
        <w:rPr>
          <w:rFonts w:ascii="Times New Roman" w:eastAsia="Times New Roman" w:hAnsi="Times New Roman" w:cs="Times New Roman"/>
          <w:color w:val="3D3D3D"/>
          <w:sz w:val="28"/>
          <w:szCs w:val="28"/>
          <w:bdr w:val="none" w:sz="0" w:space="0" w:color="auto" w:frame="1"/>
        </w:rPr>
        <w:t xml:space="preserve"> </w:t>
      </w:r>
      <w:r w:rsidRPr="00E2502D">
        <w:rPr>
          <w:rFonts w:ascii="Times New Roman" w:eastAsia="Times New Roman" w:hAnsi="Times New Roman" w:cs="Times New Roman"/>
          <w:color w:val="3D3D3D"/>
          <w:sz w:val="28"/>
          <w:szCs w:val="28"/>
          <w:bdr w:val="none" w:sz="0" w:space="0" w:color="auto" w:frame="1"/>
        </w:rPr>
        <w:t>Arizona and federal law</w:t>
      </w:r>
      <w:r>
        <w:rPr>
          <w:rFonts w:ascii="Times New Roman" w:eastAsia="Times New Roman" w:hAnsi="Times New Roman" w:cs="Times New Roman"/>
          <w:color w:val="3D3D3D"/>
          <w:sz w:val="28"/>
          <w:szCs w:val="28"/>
          <w:bdr w:val="none" w:sz="0" w:space="0" w:color="auto" w:frame="1"/>
        </w:rPr>
        <w:t>s</w:t>
      </w:r>
      <w:r w:rsidRPr="00E2502D">
        <w:rPr>
          <w:rFonts w:ascii="Times New Roman" w:eastAsia="Times New Roman" w:hAnsi="Times New Roman" w:cs="Times New Roman"/>
          <w:color w:val="3D3D3D"/>
          <w:sz w:val="28"/>
          <w:szCs w:val="28"/>
          <w:bdr w:val="none" w:sz="0" w:space="0" w:color="auto" w:frame="1"/>
        </w:rPr>
        <w:t>.  Studies have shown that firearm restrictions</w:t>
      </w:r>
      <w:r>
        <w:rPr>
          <w:rFonts w:ascii="Times New Roman" w:eastAsia="Times New Roman" w:hAnsi="Times New Roman" w:cs="Times New Roman"/>
          <w:color w:val="3D3D3D"/>
          <w:sz w:val="28"/>
          <w:szCs w:val="28"/>
          <w:bdr w:val="none" w:sz="0" w:space="0" w:color="auto" w:frame="1"/>
        </w:rPr>
        <w:t>,</w:t>
      </w:r>
      <w:r w:rsidRPr="00662225">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particularly in domestic violence situations,</w:t>
      </w:r>
      <w:r w:rsidRPr="00E2502D">
        <w:rPr>
          <w:rFonts w:ascii="Times New Roman" w:eastAsia="Times New Roman" w:hAnsi="Times New Roman" w:cs="Times New Roman"/>
          <w:color w:val="3D3D3D"/>
          <w:sz w:val="28"/>
          <w:szCs w:val="28"/>
          <w:bdr w:val="none" w:sz="0" w:space="0" w:color="auto" w:frame="1"/>
        </w:rPr>
        <w:t xml:space="preserve"> reduce future </w:t>
      </w:r>
      <w:r w:rsidRPr="00E2502D">
        <w:rPr>
          <w:rFonts w:ascii="Times New Roman" w:eastAsia="Times New Roman" w:hAnsi="Times New Roman" w:cs="Times New Roman"/>
          <w:sz w:val="28"/>
          <w:szCs w:val="28"/>
          <w:bdr w:val="none" w:sz="0" w:space="0" w:color="auto" w:frame="1"/>
        </w:rPr>
        <w:t>violence</w:t>
      </w:r>
      <w:r>
        <w:rPr>
          <w:rFonts w:ascii="Times New Roman" w:eastAsia="Times New Roman" w:hAnsi="Times New Roman" w:cs="Times New Roman"/>
          <w:sz w:val="28"/>
          <w:szCs w:val="28"/>
          <w:bdr w:val="none" w:sz="0" w:space="0" w:color="auto" w:frame="1"/>
        </w:rPr>
        <w:t xml:space="preserve">, </w:t>
      </w:r>
      <w:r w:rsidRPr="001233F8">
        <w:rPr>
          <w:rFonts w:ascii="Times New Roman" w:hAnsi="Times New Roman" w:cs="Times New Roman"/>
          <w:i/>
          <w:iCs/>
          <w:sz w:val="28"/>
          <w:szCs w:val="28"/>
        </w:rPr>
        <w:t>See</w:t>
      </w:r>
      <w:r>
        <w:rPr>
          <w:rFonts w:ascii="Times New Roman" w:hAnsi="Times New Roman" w:cs="Times New Roman"/>
          <w:sz w:val="28"/>
          <w:szCs w:val="28"/>
        </w:rPr>
        <w:t xml:space="preserve"> </w:t>
      </w:r>
      <w:r w:rsidRPr="00E2502D">
        <w:rPr>
          <w:rFonts w:ascii="Times New Roman" w:hAnsi="Times New Roman" w:cs="Times New Roman"/>
          <w:sz w:val="28"/>
          <w:szCs w:val="28"/>
        </w:rPr>
        <w:t>April M. Zeoli, et al., “Analysis of the Strength of Legal Firearms Restrictions for Perpetrators of Domestic Violence and Their Association with Intimate Partner Homicide,” </w:t>
      </w:r>
      <w:r w:rsidRPr="00E2502D">
        <w:rPr>
          <w:rStyle w:val="Emphasis"/>
          <w:rFonts w:ascii="Times New Roman" w:hAnsi="Times New Roman" w:cs="Times New Roman"/>
          <w:b/>
          <w:bCs/>
          <w:sz w:val="28"/>
          <w:szCs w:val="28"/>
          <w:bdr w:val="none" w:sz="0" w:space="0" w:color="auto" w:frame="1"/>
        </w:rPr>
        <w:t>American Journal of Epidemiology</w:t>
      </w:r>
      <w:r w:rsidRPr="00E2502D">
        <w:rPr>
          <w:rFonts w:ascii="Times New Roman" w:hAnsi="Times New Roman" w:cs="Times New Roman"/>
          <w:sz w:val="28"/>
          <w:szCs w:val="28"/>
        </w:rPr>
        <w:t> 187, no. 11 (2018)</w:t>
      </w:r>
      <w:r>
        <w:rPr>
          <w:rFonts w:ascii="Times New Roman" w:hAnsi="Times New Roman" w:cs="Times New Roman"/>
          <w:sz w:val="28"/>
          <w:szCs w:val="28"/>
        </w:rPr>
        <w:t>;</w:t>
      </w:r>
      <w:r w:rsidRPr="00E2502D">
        <w:rPr>
          <w:rFonts w:ascii="Times New Roman" w:eastAsia="Times New Roman" w:hAnsi="Times New Roman" w:cs="Times New Roman"/>
          <w:sz w:val="28"/>
          <w:szCs w:val="28"/>
        </w:rPr>
        <w:t xml:space="preserve"> The Educational Fund to Stop Gun Violence, “Domestic Violence and Firearm</w:t>
      </w:r>
      <w:r>
        <w:rPr>
          <w:rFonts w:ascii="Times New Roman" w:eastAsia="Times New Roman" w:hAnsi="Times New Roman" w:cs="Times New Roman"/>
          <w:sz w:val="28"/>
          <w:szCs w:val="28"/>
        </w:rPr>
        <w:t>;</w:t>
      </w:r>
      <w:r w:rsidRPr="00E250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and </w:t>
      </w:r>
      <w:r w:rsidRPr="00E2502D">
        <w:rPr>
          <w:rFonts w:ascii="Times New Roman" w:eastAsia="Times New Roman" w:hAnsi="Times New Roman" w:cs="Times New Roman"/>
          <w:sz w:val="28"/>
          <w:szCs w:val="28"/>
        </w:rPr>
        <w:t>Giffords Laws Center to Prevent Gun Violence, “2020 Annual Gun Law Scorecard”.</w:t>
      </w:r>
    </w:p>
    <w:p w14:paraId="4C05406A" w14:textId="2E1AA5E1" w:rsidR="005345AF" w:rsidRPr="001233F8" w:rsidRDefault="00662225" w:rsidP="0021555E">
      <w:pPr>
        <w:shd w:val="clear" w:color="auto" w:fill="FFFFFF"/>
        <w:spacing w:after="100" w:afterAutospacing="1" w:line="360" w:lineRule="auto"/>
        <w:rPr>
          <w:rFonts w:ascii="Times New Roman" w:eastAsia="Times New Roman" w:hAnsi="Times New Roman" w:cs="Arial"/>
          <w:color w:val="151515"/>
          <w:sz w:val="28"/>
          <w:szCs w:val="24"/>
        </w:rPr>
      </w:pPr>
      <w:r>
        <w:rPr>
          <w:rFonts w:ascii="Times New Roman" w:eastAsia="Times New Roman" w:hAnsi="Times New Roman" w:cs="Arial"/>
          <w:color w:val="151515"/>
          <w:sz w:val="28"/>
          <w:szCs w:val="24"/>
        </w:rPr>
        <w:t>The context, public policy, and other factors between civil forfeiture and the temporary restriction to firearm access in the context of Rule 25 are completely different.  It is neither sensible nor appropriate to apply the requirements of one to the other.</w:t>
      </w:r>
    </w:p>
    <w:p w14:paraId="6D59AF18" w14:textId="65AFCC4A" w:rsidR="001233F8" w:rsidRPr="001233F8" w:rsidRDefault="001233F8" w:rsidP="0021555E">
      <w:pPr>
        <w:shd w:val="clear" w:color="auto" w:fill="FFFFFF"/>
        <w:spacing w:after="100" w:afterAutospacing="1" w:line="360" w:lineRule="auto"/>
        <w:rPr>
          <w:rFonts w:ascii="Times New Roman" w:eastAsia="Times New Roman" w:hAnsi="Times New Roman" w:cs="Arial"/>
          <w:color w:val="151515"/>
          <w:sz w:val="28"/>
          <w:szCs w:val="24"/>
        </w:rPr>
      </w:pPr>
      <w:r w:rsidRPr="001233F8">
        <w:rPr>
          <w:rFonts w:ascii="Times New Roman" w:eastAsia="Times New Roman" w:hAnsi="Times New Roman" w:cs="Arial"/>
          <w:color w:val="151515"/>
          <w:sz w:val="28"/>
          <w:szCs w:val="24"/>
        </w:rPr>
        <w:lastRenderedPageBreak/>
        <w:t>For these reasons, Petitioner’s proposals should be denied.</w:t>
      </w:r>
    </w:p>
    <w:p w14:paraId="34EE4540" w14:textId="32691E64" w:rsidR="0021555E" w:rsidRPr="001E4338" w:rsidRDefault="0021555E" w:rsidP="0021555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1E4338">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69762895" wp14:editId="74FFBE5B">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E0D4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PczAEAAHoDAAAOAAAAZHJzL2Uyb0RvYy54bWysU8FuGyEQvVfqPyDu9Tpu49Yrr3OwlV6q&#10;1lLS3Ccs7CIBgxjqtf++A3astL1V2QOaYYbHvMfb9d3RO3HQiSyGTt7M5lLooLC3Yejkz8f7D1+k&#10;oAyhB4dBd/KkSd5t3r9bT7HVCxzR9ToJBgnUTrGTY86xbRpSo/ZAM4w6cNFg8pA5TUPTJ5gY3btm&#10;MZ8vmwlTHxMqTcS7u3NRbiq+MVrlH8aQzsJ1kmfLdU11fS5rs1lDOySIo1WXMeA/pvBgA196hdpB&#10;BvEr2X+gvFUJCU2eKfQNGmOVrhyYzc38LzYPI0RdubA4FK8y0dvBqu+HfRK27+RSigCen+ghJ7DD&#10;mMUWQ2ABMYll0WmK1HL7NuzTJaO4T4X00SQvjLPxiS1QZWBi4lhVPl1V1scsFG9+XM0/f1pJoV5K&#10;zRmhIMVE+atGL0rQSWdD4Q8tHL5R5lu59aWlbAe8t87VN3RBTJ1c3S5uGRnYScZB5tBH5kZhkALc&#10;wBZVOVVEQmf7crrg0Im2LokDsEvYXD1OjzytFA4oc4Ep1K+owBP8cbSMswMaz4dr6dLmQoHW1YSX&#10;6YuEZ9FK9Iz9qWrZlIwfuKJfzFgc9Drn+PUvs/kNAAD//wMAUEsDBBQABgAIAAAAIQBOC+9B3QAA&#10;AAkBAAAPAAAAZHJzL2Rvd25yZXYueG1sTI9BTsMwEEX3SNzBGiR21ImBlKZxKopAYlclcIBJ7CYR&#10;9jiK3SZweoxYwHJmnv68X+wWa9hZT35wJCFdJcA0tU4N1El4f3u5eQDmA5JC40hL+NQeduXlRYG5&#10;cjNV+lyHjsUQ8jlK6EMYc85922uLfuVGTfF2dJPFEMep42rCOYZbw0WSZNziQPFDj6N+6nX7UZ+s&#10;hPmwqSpMzOtXutTNs+B7R/d7Ka+vlsctsKCX8AfDj35UhzI6Ne5EyjMj4TbLREQliE0KLAJ3Yr0G&#10;1vwueFnw/w3KbwAAAP//AwBQSwECLQAUAAYACAAAACEAtoM4kv4AAADhAQAAEwAAAAAAAAAAAAAA&#10;AAAAAAAAW0NvbnRlbnRfVHlwZXNdLnhtbFBLAQItABQABgAIAAAAIQA4/SH/1gAAAJQBAAALAAAA&#10;AAAAAAAAAAAAAC8BAABfcmVscy8ucmVsc1BLAQItABQABgAIAAAAIQAU92PczAEAAHoDAAAOAAAA&#10;AAAAAAAAAAAAAC4CAABkcnMvZTJvRG9jLnhtbFBLAQItABQABgAIAAAAIQBOC+9B3QAAAAkBAAAP&#10;AAAAAAAAAAAAAAAAACYEAABkcnMvZG93bnJldi54bWxQSwUGAAAAAAQABADzAAAAMAUAAAAA&#10;" strokecolor="windowText"/>
            </w:pict>
          </mc:Fallback>
        </mc:AlternateContent>
      </w:r>
      <w:r w:rsidRPr="001E4338">
        <w:rPr>
          <w:rFonts w:ascii="Times New Roman" w:eastAsia="Times New Roman" w:hAnsi="Times New Roman" w:cs="Times New Roman"/>
          <w:snapToGrid w:val="0"/>
          <w:kern w:val="2"/>
          <w:sz w:val="28"/>
          <w:szCs w:val="28"/>
        </w:rPr>
        <w:t xml:space="preserve">Respectfully submitted this  ___ of </w:t>
      </w:r>
      <w:r w:rsidR="006C5F60">
        <w:rPr>
          <w:rFonts w:ascii="Times New Roman" w:eastAsia="Times New Roman" w:hAnsi="Times New Roman" w:cs="Times New Roman"/>
          <w:snapToGrid w:val="0"/>
          <w:kern w:val="2"/>
          <w:sz w:val="28"/>
          <w:szCs w:val="28"/>
        </w:rPr>
        <w:t xml:space="preserve">April, </w:t>
      </w:r>
      <w:r w:rsidRPr="001E4338">
        <w:rPr>
          <w:rFonts w:ascii="Times New Roman" w:eastAsia="Times New Roman" w:hAnsi="Times New Roman" w:cs="Times New Roman"/>
          <w:snapToGrid w:val="0"/>
          <w:kern w:val="2"/>
          <w:sz w:val="28"/>
          <w:szCs w:val="28"/>
        </w:rPr>
        <w:t xml:space="preserve"> 2023.</w:t>
      </w:r>
    </w:p>
    <w:p w14:paraId="33E36CBC" w14:textId="0E17EE56"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0" w:name="_Hlk70936251"/>
      <w:r w:rsidRPr="001E4338">
        <w:rPr>
          <w:rFonts w:ascii="Times New Roman" w:eastAsia="Times New Roman" w:hAnsi="Times New Roman" w:cs="Times New Roman"/>
          <w:smallCaps/>
          <w:snapToGrid w:val="0"/>
          <w:kern w:val="2"/>
          <w:sz w:val="28"/>
          <w:szCs w:val="28"/>
        </w:rPr>
        <w:t xml:space="preserve">Rachel </w:t>
      </w:r>
      <w:r w:rsidR="009C56B8">
        <w:rPr>
          <w:rFonts w:ascii="Times New Roman" w:eastAsia="Times New Roman" w:hAnsi="Times New Roman" w:cs="Times New Roman"/>
          <w:smallCaps/>
          <w:snapToGrid w:val="0"/>
          <w:kern w:val="2"/>
          <w:sz w:val="28"/>
          <w:szCs w:val="28"/>
        </w:rPr>
        <w:t xml:space="preserve">H </w:t>
      </w:r>
      <w:r w:rsidRPr="001E4338">
        <w:rPr>
          <w:rFonts w:ascii="Times New Roman" w:eastAsia="Times New Roman" w:hAnsi="Times New Roman" w:cs="Times New Roman"/>
          <w:smallCaps/>
          <w:snapToGrid w:val="0"/>
          <w:kern w:val="2"/>
          <w:sz w:val="28"/>
          <w:szCs w:val="28"/>
        </w:rPr>
        <w:t>Mitchell</w:t>
      </w:r>
    </w:p>
    <w:p w14:paraId="36CF42E3"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Maricopa County Attorney</w:t>
      </w:r>
    </w:p>
    <w:p w14:paraId="4845C918"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38407443"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1BB90050" w14:textId="77777777"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By ______________</w:t>
      </w:r>
    </w:p>
    <w:p w14:paraId="234DCBF7" w14:textId="71455F35" w:rsidR="0021555E" w:rsidRPr="001E4338" w:rsidRDefault="0021555E" w:rsidP="0021555E">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Paul </w:t>
      </w:r>
      <w:r w:rsidR="009C56B8">
        <w:rPr>
          <w:rFonts w:ascii="Times New Roman" w:eastAsia="Times New Roman" w:hAnsi="Times New Roman" w:cs="Times New Roman"/>
          <w:smallCaps/>
          <w:snapToGrid w:val="0"/>
          <w:kern w:val="2"/>
          <w:sz w:val="28"/>
          <w:szCs w:val="28"/>
        </w:rPr>
        <w:t xml:space="preserve">W </w:t>
      </w:r>
      <w:r w:rsidRPr="001E4338">
        <w:rPr>
          <w:rFonts w:ascii="Times New Roman" w:eastAsia="Times New Roman" w:hAnsi="Times New Roman" w:cs="Times New Roman"/>
          <w:smallCaps/>
          <w:snapToGrid w:val="0"/>
          <w:kern w:val="2"/>
          <w:sz w:val="28"/>
          <w:szCs w:val="28"/>
        </w:rPr>
        <w:t>Ahler</w:t>
      </w:r>
    </w:p>
    <w:p w14:paraId="7A968078" w14:textId="77777777" w:rsidR="0021555E" w:rsidRPr="001E4338" w:rsidRDefault="0021555E" w:rsidP="0021555E">
      <w:pPr>
        <w:spacing w:line="360" w:lineRule="auto"/>
        <w:jc w:val="both"/>
        <w:rPr>
          <w:rFonts w:ascii="Times New Roman" w:hAnsi="Times New Roman"/>
          <w:sz w:val="28"/>
        </w:rPr>
      </w:pPr>
      <w:r w:rsidRPr="001E4338">
        <w:rPr>
          <w:rFonts w:ascii="Times New Roman" w:eastAsia="Times New Roman" w:hAnsi="Times New Roman" w:cs="Times New Roman"/>
          <w:smallCaps/>
          <w:snapToGrid w:val="0"/>
          <w:kern w:val="2"/>
          <w:sz w:val="28"/>
          <w:szCs w:val="28"/>
        </w:rPr>
        <w:t xml:space="preserve">  </w:t>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t xml:space="preserve">  Chief Deputy</w:t>
      </w:r>
      <w:bookmarkEnd w:id="0"/>
    </w:p>
    <w:p w14:paraId="7ACB6F34" w14:textId="77777777" w:rsidR="0021555E" w:rsidRPr="00062514" w:rsidRDefault="0021555E" w:rsidP="0021555E">
      <w:pPr>
        <w:spacing w:line="360" w:lineRule="auto"/>
        <w:jc w:val="both"/>
        <w:rPr>
          <w:rFonts w:ascii="Times New Roman" w:hAnsi="Times New Roman"/>
          <w:sz w:val="28"/>
        </w:rPr>
      </w:pPr>
    </w:p>
    <w:p w14:paraId="6CEE1A2A" w14:textId="728D6538" w:rsidR="00C0700C" w:rsidRPr="001233F8" w:rsidRDefault="00C0700C" w:rsidP="00C0700C">
      <w:pPr>
        <w:shd w:val="clear" w:color="auto" w:fill="FFFFFF"/>
        <w:textAlignment w:val="baseline"/>
        <w:rPr>
          <w:rFonts w:ascii="Times New Roman" w:eastAsia="Times New Roman" w:hAnsi="Times New Roman" w:cs="Times New Roman"/>
          <w:color w:val="3D3D3D"/>
          <w:sz w:val="28"/>
          <w:szCs w:val="23"/>
        </w:rPr>
      </w:pPr>
    </w:p>
    <w:p w14:paraId="42222184" w14:textId="1F97E04F" w:rsidR="007C19EC" w:rsidRPr="001233F8" w:rsidRDefault="007C19EC">
      <w:pPr>
        <w:rPr>
          <w:rFonts w:ascii="Times New Roman" w:hAnsi="Times New Roman"/>
          <w:sz w:val="28"/>
        </w:rPr>
      </w:pPr>
    </w:p>
    <w:sectPr w:rsidR="007C19EC" w:rsidRPr="001233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31F1" w14:textId="77777777" w:rsidR="00246148" w:rsidRDefault="00246148" w:rsidP="006F44DA">
      <w:r>
        <w:separator/>
      </w:r>
    </w:p>
  </w:endnote>
  <w:endnote w:type="continuationSeparator" w:id="0">
    <w:p w14:paraId="58A730BA" w14:textId="77777777" w:rsidR="00246148" w:rsidRDefault="00246148" w:rsidP="006F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C79F" w14:textId="77777777" w:rsidR="00246148" w:rsidRDefault="00246148" w:rsidP="006F44DA">
      <w:r>
        <w:separator/>
      </w:r>
    </w:p>
  </w:footnote>
  <w:footnote w:type="continuationSeparator" w:id="0">
    <w:p w14:paraId="3AE3E098" w14:textId="77777777" w:rsidR="00246148" w:rsidRDefault="00246148" w:rsidP="006F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DCA"/>
    <w:multiLevelType w:val="multilevel"/>
    <w:tmpl w:val="297E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451CB"/>
    <w:multiLevelType w:val="multilevel"/>
    <w:tmpl w:val="4E42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2A614E"/>
    <w:multiLevelType w:val="multilevel"/>
    <w:tmpl w:val="66CA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08"/>
    <w:rsid w:val="00096E0B"/>
    <w:rsid w:val="001233F8"/>
    <w:rsid w:val="00194D71"/>
    <w:rsid w:val="0021555E"/>
    <w:rsid w:val="00224A53"/>
    <w:rsid w:val="00246148"/>
    <w:rsid w:val="00364EB0"/>
    <w:rsid w:val="00395741"/>
    <w:rsid w:val="003B4BE6"/>
    <w:rsid w:val="003D0596"/>
    <w:rsid w:val="00471BC4"/>
    <w:rsid w:val="004C6F06"/>
    <w:rsid w:val="004F0ACB"/>
    <w:rsid w:val="005345AF"/>
    <w:rsid w:val="00550B51"/>
    <w:rsid w:val="00662225"/>
    <w:rsid w:val="006C5F60"/>
    <w:rsid w:val="006E19D6"/>
    <w:rsid w:val="006F44DA"/>
    <w:rsid w:val="007C0472"/>
    <w:rsid w:val="007C19EC"/>
    <w:rsid w:val="008E75C6"/>
    <w:rsid w:val="009C56B8"/>
    <w:rsid w:val="009E0E46"/>
    <w:rsid w:val="00A60DD2"/>
    <w:rsid w:val="00B1052A"/>
    <w:rsid w:val="00BC3D09"/>
    <w:rsid w:val="00C0700C"/>
    <w:rsid w:val="00C95598"/>
    <w:rsid w:val="00D000AE"/>
    <w:rsid w:val="00D709A4"/>
    <w:rsid w:val="00DC4530"/>
    <w:rsid w:val="00E2502D"/>
    <w:rsid w:val="00E73908"/>
    <w:rsid w:val="00EB7325"/>
    <w:rsid w:val="00EE0819"/>
    <w:rsid w:val="00E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BB799"/>
  <w15:chartTrackingRefBased/>
  <w15:docId w15:val="{A5401B3F-D79D-4A03-A2EF-AD717F72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rsid w:val="00E2502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25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9512">
      <w:bodyDiv w:val="1"/>
      <w:marLeft w:val="0"/>
      <w:marRight w:val="0"/>
      <w:marTop w:val="0"/>
      <w:marBottom w:val="0"/>
      <w:divBdr>
        <w:top w:val="none" w:sz="0" w:space="0" w:color="auto"/>
        <w:left w:val="none" w:sz="0" w:space="0" w:color="auto"/>
        <w:bottom w:val="none" w:sz="0" w:space="0" w:color="auto"/>
        <w:right w:val="none" w:sz="0" w:space="0" w:color="auto"/>
      </w:divBdr>
    </w:div>
    <w:div w:id="409694827">
      <w:bodyDiv w:val="1"/>
      <w:marLeft w:val="0"/>
      <w:marRight w:val="0"/>
      <w:marTop w:val="0"/>
      <w:marBottom w:val="0"/>
      <w:divBdr>
        <w:top w:val="none" w:sz="0" w:space="0" w:color="auto"/>
        <w:left w:val="none" w:sz="0" w:space="0" w:color="auto"/>
        <w:bottom w:val="none" w:sz="0" w:space="0" w:color="auto"/>
        <w:right w:val="none" w:sz="0" w:space="0" w:color="auto"/>
      </w:divBdr>
    </w:div>
    <w:div w:id="955404784">
      <w:bodyDiv w:val="1"/>
      <w:marLeft w:val="0"/>
      <w:marRight w:val="0"/>
      <w:marTop w:val="0"/>
      <w:marBottom w:val="0"/>
      <w:divBdr>
        <w:top w:val="none" w:sz="0" w:space="0" w:color="auto"/>
        <w:left w:val="none" w:sz="0" w:space="0" w:color="auto"/>
        <w:bottom w:val="none" w:sz="0" w:space="0" w:color="auto"/>
        <w:right w:val="none" w:sz="0" w:space="0" w:color="auto"/>
      </w:divBdr>
    </w:div>
    <w:div w:id="1495340983">
      <w:bodyDiv w:val="1"/>
      <w:marLeft w:val="0"/>
      <w:marRight w:val="0"/>
      <w:marTop w:val="0"/>
      <w:marBottom w:val="0"/>
      <w:divBdr>
        <w:top w:val="none" w:sz="0" w:space="0" w:color="auto"/>
        <w:left w:val="none" w:sz="0" w:space="0" w:color="auto"/>
        <w:bottom w:val="none" w:sz="0" w:space="0" w:color="auto"/>
        <w:right w:val="none" w:sz="0" w:space="0" w:color="auto"/>
      </w:divBdr>
      <w:divsChild>
        <w:div w:id="1394161094">
          <w:marLeft w:val="0"/>
          <w:marRight w:val="0"/>
          <w:marTop w:val="0"/>
          <w:marBottom w:val="0"/>
          <w:divBdr>
            <w:top w:val="none" w:sz="0" w:space="0" w:color="auto"/>
            <w:left w:val="none" w:sz="0" w:space="0" w:color="auto"/>
            <w:bottom w:val="none" w:sz="0" w:space="0" w:color="auto"/>
            <w:right w:val="none" w:sz="0" w:space="0" w:color="auto"/>
          </w:divBdr>
          <w:divsChild>
            <w:div w:id="1843354973">
              <w:marLeft w:val="0"/>
              <w:marRight w:val="0"/>
              <w:marTop w:val="0"/>
              <w:marBottom w:val="0"/>
              <w:divBdr>
                <w:top w:val="none" w:sz="0" w:space="0" w:color="auto"/>
                <w:left w:val="none" w:sz="0" w:space="0" w:color="auto"/>
                <w:bottom w:val="none" w:sz="0" w:space="0" w:color="auto"/>
                <w:right w:val="none" w:sz="0" w:space="0" w:color="auto"/>
              </w:divBdr>
            </w:div>
          </w:divsChild>
        </w:div>
        <w:div w:id="106657675">
          <w:marLeft w:val="0"/>
          <w:marRight w:val="0"/>
          <w:marTop w:val="0"/>
          <w:marBottom w:val="0"/>
          <w:divBdr>
            <w:top w:val="none" w:sz="0" w:space="0" w:color="auto"/>
            <w:left w:val="none" w:sz="0" w:space="0" w:color="auto"/>
            <w:bottom w:val="none" w:sz="0" w:space="0" w:color="auto"/>
            <w:right w:val="none" w:sz="0" w:space="0" w:color="auto"/>
          </w:divBdr>
        </w:div>
        <w:div w:id="947081307">
          <w:marLeft w:val="0"/>
          <w:marRight w:val="0"/>
          <w:marTop w:val="0"/>
          <w:marBottom w:val="0"/>
          <w:divBdr>
            <w:top w:val="none" w:sz="0" w:space="0" w:color="auto"/>
            <w:left w:val="none" w:sz="0" w:space="0" w:color="auto"/>
            <w:bottom w:val="none" w:sz="0" w:space="0" w:color="auto"/>
            <w:right w:val="none" w:sz="0" w:space="0" w:color="auto"/>
          </w:divBdr>
        </w:div>
      </w:divsChild>
    </w:div>
    <w:div w:id="20428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4</cp:revision>
  <dcterms:created xsi:type="dcterms:W3CDTF">2023-04-18T17:51:00Z</dcterms:created>
  <dcterms:modified xsi:type="dcterms:W3CDTF">2023-04-19T17:42:00Z</dcterms:modified>
</cp:coreProperties>
</file>