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DC7790" w14:paraId="5288ADF7" w14:textId="77777777" w:rsidTr="006F63FD">
        <w:trPr>
          <w:cantSplit/>
          <w:trHeight w:val="1987"/>
        </w:trPr>
        <w:tc>
          <w:tcPr>
            <w:tcW w:w="4836" w:type="dxa"/>
          </w:tcPr>
          <w:p w14:paraId="6E9DB00B" w14:textId="77777777" w:rsidR="00000C35" w:rsidRPr="00DC7790" w:rsidRDefault="00F850BE" w:rsidP="00000C35">
            <w:pPr>
              <w:pStyle w:val="FirmInformation"/>
              <w:spacing w:line="240" w:lineRule="auto"/>
              <w:rPr>
                <w:sz w:val="28"/>
                <w:szCs w:val="28"/>
              </w:rPr>
            </w:pPr>
            <w:bookmarkStart w:id="0" w:name="_zzmpFIXED_CounselTable"/>
            <w:r w:rsidRPr="00DC7790">
              <w:rPr>
                <w:sz w:val="28"/>
                <w:szCs w:val="28"/>
              </w:rPr>
              <w:t>Lisa M. Panahi</w:t>
            </w:r>
            <w:r w:rsidR="00732169" w:rsidRPr="00DC7790">
              <w:rPr>
                <w:sz w:val="28"/>
                <w:szCs w:val="28"/>
              </w:rPr>
              <w:t xml:space="preserve">, </w:t>
            </w:r>
            <w:r w:rsidRPr="00DC7790">
              <w:rPr>
                <w:sz w:val="28"/>
                <w:szCs w:val="28"/>
              </w:rPr>
              <w:t>Bar No. 023421</w:t>
            </w:r>
            <w:r w:rsidR="00732169" w:rsidRPr="00DC7790">
              <w:rPr>
                <w:sz w:val="28"/>
                <w:szCs w:val="28"/>
              </w:rPr>
              <w:br/>
            </w:r>
            <w:r w:rsidR="006F63FD" w:rsidRPr="00DC7790">
              <w:rPr>
                <w:sz w:val="28"/>
                <w:szCs w:val="28"/>
              </w:rPr>
              <w:t>General Counsel</w:t>
            </w:r>
          </w:p>
          <w:p w14:paraId="327788CA" w14:textId="77777777" w:rsidR="00494BDF" w:rsidRPr="00DC7790" w:rsidRDefault="00494BDF" w:rsidP="00000C35">
            <w:pPr>
              <w:pStyle w:val="FirmInformation"/>
              <w:spacing w:line="240" w:lineRule="auto"/>
              <w:rPr>
                <w:sz w:val="28"/>
                <w:szCs w:val="28"/>
              </w:rPr>
            </w:pPr>
            <w:r w:rsidRPr="00DC7790">
              <w:rPr>
                <w:sz w:val="28"/>
                <w:szCs w:val="28"/>
              </w:rPr>
              <w:t>State Bar of Arizona</w:t>
            </w:r>
          </w:p>
          <w:p w14:paraId="2EC76B5A" w14:textId="77777777" w:rsidR="00357F4D" w:rsidRPr="00DC7790" w:rsidRDefault="00357F4D" w:rsidP="00000C35">
            <w:pPr>
              <w:pStyle w:val="FirmInformation"/>
              <w:spacing w:line="240" w:lineRule="auto"/>
              <w:rPr>
                <w:sz w:val="28"/>
                <w:szCs w:val="28"/>
              </w:rPr>
            </w:pPr>
            <w:r w:rsidRPr="00DC7790">
              <w:rPr>
                <w:sz w:val="28"/>
                <w:szCs w:val="28"/>
              </w:rPr>
              <w:t>4201 N. 24th Street, Suite 100</w:t>
            </w:r>
          </w:p>
          <w:p w14:paraId="336E177D" w14:textId="77777777" w:rsidR="00357F4D" w:rsidRPr="00DC7790" w:rsidRDefault="00357F4D" w:rsidP="00000C35">
            <w:pPr>
              <w:pStyle w:val="FirmInformation"/>
              <w:spacing w:line="240" w:lineRule="auto"/>
              <w:rPr>
                <w:sz w:val="28"/>
                <w:szCs w:val="28"/>
              </w:rPr>
            </w:pPr>
            <w:r w:rsidRPr="00DC7790">
              <w:rPr>
                <w:sz w:val="28"/>
                <w:szCs w:val="28"/>
              </w:rPr>
              <w:t>Phoenix, AZ  85016-6288</w:t>
            </w:r>
          </w:p>
          <w:p w14:paraId="07E78AC7" w14:textId="77777777" w:rsidR="006F63FD" w:rsidRDefault="00352347" w:rsidP="00735659">
            <w:pPr>
              <w:pStyle w:val="FirmInformation"/>
              <w:spacing w:line="240" w:lineRule="auto"/>
              <w:rPr>
                <w:sz w:val="28"/>
                <w:szCs w:val="28"/>
              </w:rPr>
            </w:pPr>
            <w:r w:rsidRPr="00DC7790">
              <w:rPr>
                <w:sz w:val="28"/>
                <w:szCs w:val="28"/>
              </w:rPr>
              <w:t>(602) 340-7236</w:t>
            </w:r>
          </w:p>
          <w:p w14:paraId="640B0D9E" w14:textId="77777777" w:rsidR="003E5C39" w:rsidRDefault="003E5C39" w:rsidP="00735659">
            <w:pPr>
              <w:pStyle w:val="FirmInformation"/>
              <w:spacing w:line="240" w:lineRule="auto"/>
              <w:rPr>
                <w:sz w:val="28"/>
                <w:szCs w:val="28"/>
              </w:rPr>
            </w:pPr>
          </w:p>
          <w:p w14:paraId="2187EE4E" w14:textId="58C3A12D" w:rsidR="003E5C39" w:rsidRPr="00DC7790" w:rsidRDefault="003E5C39" w:rsidP="00735659">
            <w:pPr>
              <w:pStyle w:val="FirmInformation"/>
              <w:spacing w:line="240" w:lineRule="auto"/>
              <w:rPr>
                <w:sz w:val="28"/>
                <w:szCs w:val="28"/>
              </w:rPr>
            </w:pPr>
          </w:p>
        </w:tc>
        <w:tc>
          <w:tcPr>
            <w:tcW w:w="4200" w:type="dxa"/>
          </w:tcPr>
          <w:p w14:paraId="76CDDC48" w14:textId="77777777" w:rsidR="00357F4D" w:rsidRPr="00DC7790" w:rsidRDefault="00357F4D" w:rsidP="00000C35">
            <w:pPr>
              <w:ind w:left="113" w:right="113"/>
              <w:rPr>
                <w:sz w:val="28"/>
                <w:szCs w:val="28"/>
              </w:rPr>
            </w:pPr>
          </w:p>
        </w:tc>
      </w:tr>
    </w:tbl>
    <w:bookmarkEnd w:id="0"/>
    <w:p w14:paraId="4E34D89B" w14:textId="6371F29D" w:rsidR="003E5C39" w:rsidRPr="00DC7790" w:rsidRDefault="000F7A7F" w:rsidP="003E5C39">
      <w:pPr>
        <w:pStyle w:val="Court"/>
        <w:spacing w:line="240" w:lineRule="auto"/>
        <w:rPr>
          <w:b/>
          <w:sz w:val="28"/>
          <w:szCs w:val="28"/>
        </w:rPr>
      </w:pPr>
      <w:r w:rsidRPr="00DC7790">
        <w:rPr>
          <w:b/>
          <w:sz w:val="28"/>
          <w:szCs w:val="28"/>
        </w:rPr>
        <w:t>IN THE SUPREME COURT</w:t>
      </w:r>
      <w:r w:rsidRPr="00DC7790">
        <w:rPr>
          <w:b/>
          <w:sz w:val="28"/>
          <w:szCs w:val="28"/>
        </w:rPr>
        <w:br/>
        <w:t>STATE OF ARIZONA</w:t>
      </w:r>
      <w:r w:rsidR="003E5C39">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C7790"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DC7790" w:rsidRDefault="00357F4D" w:rsidP="00E321C5">
            <w:pPr>
              <w:pStyle w:val="Caption"/>
              <w:spacing w:before="240" w:line="260" w:lineRule="exact"/>
              <w:rPr>
                <w:sz w:val="28"/>
                <w:szCs w:val="28"/>
              </w:rPr>
            </w:pPr>
            <w:bookmarkStart w:id="1" w:name="_zzmpFIXED_CaptionTable"/>
            <w:r w:rsidRPr="00DC7790">
              <w:rPr>
                <w:sz w:val="28"/>
                <w:szCs w:val="28"/>
              </w:rPr>
              <w:t>In the Matter of:</w:t>
            </w:r>
          </w:p>
          <w:p w14:paraId="5443EA06" w14:textId="239E41F8" w:rsidR="00357F4D" w:rsidRPr="00DC7790" w:rsidRDefault="00E67511" w:rsidP="00782DD7">
            <w:pPr>
              <w:pStyle w:val="Caption"/>
              <w:spacing w:before="240" w:line="260" w:lineRule="exact"/>
              <w:rPr>
                <w:b/>
                <w:sz w:val="28"/>
                <w:szCs w:val="28"/>
              </w:rPr>
            </w:pPr>
            <w:r w:rsidRPr="00DC7790">
              <w:rPr>
                <w:b/>
                <w:sz w:val="28"/>
                <w:szCs w:val="28"/>
              </w:rPr>
              <w:t xml:space="preserve">PETITION TO </w:t>
            </w:r>
            <w:r w:rsidR="00782DD7" w:rsidRPr="00DC7790">
              <w:rPr>
                <w:b/>
                <w:sz w:val="28"/>
                <w:szCs w:val="28"/>
              </w:rPr>
              <w:t>AMEND E.R. 1.4, RULE 42 OF THE ARIZONA RULES OF SUPREME COURT</w:t>
            </w:r>
            <w:r w:rsidR="00782DD7" w:rsidRPr="00DC7790">
              <w:rPr>
                <w:b/>
                <w:sz w:val="28"/>
                <w:szCs w:val="28"/>
              </w:rPr>
              <w:br/>
            </w:r>
          </w:p>
        </w:tc>
        <w:tc>
          <w:tcPr>
            <w:tcW w:w="4524" w:type="dxa"/>
            <w:tcBorders>
              <w:top w:val="nil"/>
              <w:left w:val="single" w:sz="4" w:space="0" w:color="auto"/>
            </w:tcBorders>
            <w:shd w:val="clear" w:color="auto" w:fill="auto"/>
          </w:tcPr>
          <w:p w14:paraId="4C75C8D6" w14:textId="6A8AD416" w:rsidR="00357F4D" w:rsidRPr="00DC7790" w:rsidRDefault="00357F4D" w:rsidP="00E321C5">
            <w:pPr>
              <w:pStyle w:val="Caption"/>
              <w:tabs>
                <w:tab w:val="left" w:pos="1238"/>
              </w:tabs>
              <w:spacing w:before="240" w:after="240"/>
              <w:ind w:left="259" w:right="115"/>
              <w:rPr>
                <w:sz w:val="28"/>
                <w:szCs w:val="28"/>
              </w:rPr>
            </w:pPr>
            <w:r w:rsidRPr="00DC7790">
              <w:rPr>
                <w:sz w:val="28"/>
                <w:szCs w:val="28"/>
              </w:rPr>
              <w:t>Supreme Court No. R-</w:t>
            </w:r>
            <w:r w:rsidR="008A4EB3" w:rsidRPr="00DC7790">
              <w:rPr>
                <w:sz w:val="28"/>
                <w:szCs w:val="28"/>
              </w:rPr>
              <w:t>2</w:t>
            </w:r>
            <w:r w:rsidR="00782DD7" w:rsidRPr="00DC7790">
              <w:rPr>
                <w:sz w:val="28"/>
                <w:szCs w:val="28"/>
              </w:rPr>
              <w:t>3</w:t>
            </w:r>
            <w:r w:rsidR="00F850BE" w:rsidRPr="00DC7790">
              <w:rPr>
                <w:sz w:val="28"/>
                <w:szCs w:val="28"/>
              </w:rPr>
              <w:t>-</w:t>
            </w:r>
            <w:r w:rsidR="003E5C39">
              <w:rPr>
                <w:sz w:val="28"/>
                <w:szCs w:val="28"/>
              </w:rPr>
              <w:t>0018</w:t>
            </w:r>
          </w:p>
          <w:p w14:paraId="5DA69FB8" w14:textId="24DEAD38" w:rsidR="00357F4D" w:rsidRPr="00DC7790" w:rsidRDefault="00A43C3B" w:rsidP="000F7A7F">
            <w:pPr>
              <w:pStyle w:val="Caption"/>
              <w:tabs>
                <w:tab w:val="left" w:pos="1238"/>
              </w:tabs>
              <w:spacing w:line="260" w:lineRule="exact"/>
              <w:ind w:right="115"/>
              <w:jc w:val="center"/>
              <w:rPr>
                <w:b/>
                <w:sz w:val="28"/>
                <w:szCs w:val="28"/>
              </w:rPr>
            </w:pPr>
            <w:r>
              <w:rPr>
                <w:b/>
                <w:sz w:val="28"/>
                <w:szCs w:val="28"/>
              </w:rPr>
              <w:t xml:space="preserve">AMENDED </w:t>
            </w:r>
            <w:r w:rsidR="00D60D9B" w:rsidRPr="00DC7790">
              <w:rPr>
                <w:b/>
                <w:sz w:val="28"/>
                <w:szCs w:val="28"/>
              </w:rPr>
              <w:t>PETITION</w:t>
            </w:r>
          </w:p>
          <w:p w14:paraId="5C4A37D9" w14:textId="77777777" w:rsidR="00357F4D" w:rsidRPr="00DC7790" w:rsidRDefault="00357F4D" w:rsidP="00E321C5">
            <w:pPr>
              <w:pStyle w:val="DocumentTitle"/>
              <w:rPr>
                <w:sz w:val="28"/>
                <w:szCs w:val="28"/>
              </w:rPr>
            </w:pPr>
          </w:p>
          <w:p w14:paraId="264D7027" w14:textId="77777777" w:rsidR="00357F4D" w:rsidRPr="00DC7790" w:rsidRDefault="00357F4D" w:rsidP="00E321C5">
            <w:pPr>
              <w:pStyle w:val="Caption"/>
              <w:ind w:left="1512" w:right="115" w:hanging="1253"/>
              <w:rPr>
                <w:sz w:val="28"/>
                <w:szCs w:val="28"/>
              </w:rPr>
            </w:pPr>
          </w:p>
        </w:tc>
      </w:tr>
      <w:bookmarkEnd w:id="1"/>
    </w:tbl>
    <w:p w14:paraId="019C0820" w14:textId="1ED2E23F" w:rsidR="004331B2" w:rsidRDefault="004331B2" w:rsidP="006338C1">
      <w:pPr>
        <w:pStyle w:val="Body"/>
        <w:widowControl w:val="0"/>
        <w:ind w:firstLine="720"/>
        <w:jc w:val="both"/>
        <w:rPr>
          <w:sz w:val="28"/>
          <w:szCs w:val="28"/>
        </w:rPr>
      </w:pPr>
    </w:p>
    <w:p w14:paraId="1B3E5059" w14:textId="77777777" w:rsidR="003E5C39" w:rsidRPr="00DC7790" w:rsidRDefault="003E5C39" w:rsidP="006338C1">
      <w:pPr>
        <w:pStyle w:val="Body"/>
        <w:widowControl w:val="0"/>
        <w:ind w:firstLine="720"/>
        <w:jc w:val="both"/>
        <w:rPr>
          <w:sz w:val="28"/>
          <w:szCs w:val="28"/>
        </w:rPr>
      </w:pPr>
    </w:p>
    <w:p w14:paraId="73AC90E7" w14:textId="4DCE7604" w:rsidR="00663592" w:rsidRDefault="00663592" w:rsidP="00782DD7">
      <w:pPr>
        <w:pStyle w:val="Body"/>
        <w:widowControl w:val="0"/>
        <w:spacing w:line="480" w:lineRule="auto"/>
        <w:ind w:firstLine="720"/>
        <w:jc w:val="both"/>
        <w:rPr>
          <w:sz w:val="28"/>
          <w:szCs w:val="28"/>
        </w:rPr>
      </w:pPr>
      <w:r>
        <w:rPr>
          <w:sz w:val="28"/>
          <w:szCs w:val="28"/>
        </w:rPr>
        <w:t xml:space="preserve">The </w:t>
      </w:r>
      <w:r w:rsidRPr="00DC7790">
        <w:rPr>
          <w:sz w:val="28"/>
          <w:szCs w:val="28"/>
        </w:rPr>
        <w:t xml:space="preserve">State Bar of Arizona (the “State Bar”) </w:t>
      </w:r>
      <w:r>
        <w:rPr>
          <w:sz w:val="28"/>
          <w:szCs w:val="28"/>
        </w:rPr>
        <w:t xml:space="preserve">inadvertently omitted </w:t>
      </w:r>
      <w:r w:rsidR="00F716CD">
        <w:rPr>
          <w:sz w:val="28"/>
          <w:szCs w:val="28"/>
        </w:rPr>
        <w:t xml:space="preserve">legal paraprofessionals from its original Petition and therefore submits this Amended Petition to correct the omission. </w:t>
      </w:r>
      <w:r w:rsidR="000B5869">
        <w:rPr>
          <w:sz w:val="28"/>
          <w:szCs w:val="28"/>
        </w:rPr>
        <w:t xml:space="preserve">Although the Rules of Professional Conduct apply to legal paraprofessionals, </w:t>
      </w:r>
      <w:r w:rsidR="00CC1766">
        <w:rPr>
          <w:sz w:val="28"/>
          <w:szCs w:val="28"/>
        </w:rPr>
        <w:t xml:space="preserve">the proposed rule change applies only to legal practitioners in private practice. Therefore, the State Bar decided it would be prudent to ensure that the proposed new ER 1.4(d) be explicit with respect to its application to lawyers and legal paraprofessionals in private practice. </w:t>
      </w:r>
    </w:p>
    <w:p w14:paraId="32ED5D9A" w14:textId="42CE54E7" w:rsidR="00782DD7" w:rsidRPr="00DC7790" w:rsidRDefault="0008003D" w:rsidP="00782DD7">
      <w:pPr>
        <w:pStyle w:val="Body"/>
        <w:widowControl w:val="0"/>
        <w:spacing w:line="480" w:lineRule="auto"/>
        <w:ind w:firstLine="720"/>
        <w:jc w:val="both"/>
        <w:rPr>
          <w:sz w:val="28"/>
          <w:szCs w:val="28"/>
        </w:rPr>
      </w:pPr>
      <w:r w:rsidRPr="00DC7790">
        <w:rPr>
          <w:sz w:val="28"/>
          <w:szCs w:val="28"/>
        </w:rPr>
        <w:t>Pursuant to Rule 28(</w:t>
      </w:r>
      <w:r w:rsidR="005845AE" w:rsidRPr="00DC7790">
        <w:rPr>
          <w:sz w:val="28"/>
          <w:szCs w:val="28"/>
        </w:rPr>
        <w:t>a</w:t>
      </w:r>
      <w:r w:rsidRPr="00DC7790">
        <w:rPr>
          <w:sz w:val="28"/>
          <w:szCs w:val="28"/>
        </w:rPr>
        <w:t xml:space="preserve">) of the Arizona Rules of Supreme Court, the State </w:t>
      </w:r>
      <w:r w:rsidR="00256255" w:rsidRPr="00DC7790">
        <w:rPr>
          <w:sz w:val="28"/>
          <w:szCs w:val="28"/>
        </w:rPr>
        <w:t>Bar</w:t>
      </w:r>
      <w:r w:rsidR="00256255">
        <w:rPr>
          <w:sz w:val="28"/>
          <w:szCs w:val="28"/>
        </w:rPr>
        <w:t xml:space="preserve"> </w:t>
      </w:r>
      <w:r w:rsidR="00256255" w:rsidRPr="00DC7790">
        <w:rPr>
          <w:sz w:val="28"/>
          <w:szCs w:val="28"/>
        </w:rPr>
        <w:t>hereby</w:t>
      </w:r>
      <w:r w:rsidRPr="00DC7790">
        <w:rPr>
          <w:sz w:val="28"/>
          <w:szCs w:val="28"/>
        </w:rPr>
        <w:t xml:space="preserve"> </w:t>
      </w:r>
      <w:r w:rsidR="005845AE" w:rsidRPr="00DC7790">
        <w:rPr>
          <w:sz w:val="28"/>
          <w:szCs w:val="28"/>
        </w:rPr>
        <w:t>petitions the Court to amend</w:t>
      </w:r>
      <w:r w:rsidR="00782DD7" w:rsidRPr="00DC7790">
        <w:rPr>
          <w:sz w:val="28"/>
          <w:szCs w:val="28"/>
        </w:rPr>
        <w:t xml:space="preserve"> Ethical Rule 1.4, Rule 42, of the Arizona Rules of Supreme Court. The purpose of the amendment is to create an affirmative duty </w:t>
      </w:r>
      <w:r w:rsidR="00782DD7" w:rsidRPr="00DC7790">
        <w:rPr>
          <w:sz w:val="28"/>
          <w:szCs w:val="28"/>
        </w:rPr>
        <w:lastRenderedPageBreak/>
        <w:t>for attorneys</w:t>
      </w:r>
      <w:r w:rsidR="00256255">
        <w:rPr>
          <w:sz w:val="28"/>
          <w:szCs w:val="28"/>
        </w:rPr>
        <w:t xml:space="preserve"> and legal paraprofessionals</w:t>
      </w:r>
      <w:r w:rsidR="00782DD7" w:rsidRPr="00DC7790">
        <w:rPr>
          <w:sz w:val="28"/>
          <w:szCs w:val="28"/>
        </w:rPr>
        <w:t xml:space="preserve"> to inform clients if they do not carry professional liability (malpractice) insurance.  </w:t>
      </w:r>
    </w:p>
    <w:p w14:paraId="572CA46D" w14:textId="77777777" w:rsidR="00782DD7" w:rsidRPr="00DC7790" w:rsidRDefault="00782DD7" w:rsidP="00782DD7">
      <w:pPr>
        <w:pStyle w:val="Body"/>
        <w:widowControl w:val="0"/>
        <w:spacing w:line="480" w:lineRule="auto"/>
        <w:ind w:firstLine="720"/>
        <w:jc w:val="both"/>
        <w:rPr>
          <w:rStyle w:val="BodyTextChar"/>
          <w:b/>
          <w:sz w:val="28"/>
          <w:szCs w:val="28"/>
        </w:rPr>
      </w:pPr>
      <w:r w:rsidRPr="00DC7790">
        <w:rPr>
          <w:rStyle w:val="BodyTextChar"/>
          <w:b/>
          <w:sz w:val="28"/>
          <w:szCs w:val="28"/>
        </w:rPr>
        <w:t xml:space="preserve"> Background and Purpose of the Proposed Rule Amendment</w:t>
      </w:r>
    </w:p>
    <w:p w14:paraId="66ACCE60" w14:textId="7E111CD1" w:rsidR="00782DD7" w:rsidRPr="00DC7790" w:rsidRDefault="00782DD7" w:rsidP="00782DD7">
      <w:pPr>
        <w:pStyle w:val="Body"/>
        <w:widowControl w:val="0"/>
        <w:spacing w:line="480" w:lineRule="auto"/>
        <w:ind w:firstLine="0"/>
        <w:jc w:val="both"/>
        <w:rPr>
          <w:bCs/>
          <w:sz w:val="28"/>
          <w:szCs w:val="28"/>
        </w:rPr>
      </w:pPr>
      <w:r w:rsidRPr="00DC7790">
        <w:rPr>
          <w:rStyle w:val="BodyTextChar"/>
          <w:bCs/>
          <w:sz w:val="28"/>
          <w:szCs w:val="28"/>
        </w:rPr>
        <w:tab/>
        <w:t xml:space="preserve">The State Bar’s mission, as defined in Rule 32(a)(2), Ariz. R. S. Ct., is </w:t>
      </w:r>
      <w:r w:rsidRPr="00DC7790">
        <w:rPr>
          <w:bCs/>
          <w:sz w:val="28"/>
          <w:szCs w:val="28"/>
        </w:rPr>
        <w:t>to serve and protect the public with respect to the provision of legal services and access to justice.</w:t>
      </w:r>
      <w:r w:rsidR="00A10318">
        <w:rPr>
          <w:bCs/>
          <w:sz w:val="28"/>
          <w:szCs w:val="28"/>
        </w:rPr>
        <w:t xml:space="preserve"> </w:t>
      </w:r>
      <w:r w:rsidRPr="00DC7790">
        <w:rPr>
          <w:bCs/>
          <w:sz w:val="28"/>
          <w:szCs w:val="28"/>
        </w:rPr>
        <w:t>Consistent with these goals, the State Bar seeks to improve the administration of justice and the competency, ethics, and professionalism of lawyers</w:t>
      </w:r>
      <w:r w:rsidR="00256255">
        <w:rPr>
          <w:bCs/>
          <w:sz w:val="28"/>
          <w:szCs w:val="28"/>
        </w:rPr>
        <w:t xml:space="preserve"> </w:t>
      </w:r>
      <w:r w:rsidR="00256255">
        <w:rPr>
          <w:sz w:val="28"/>
          <w:szCs w:val="28"/>
        </w:rPr>
        <w:t>and legal paraprofessionals</w:t>
      </w:r>
      <w:r w:rsidRPr="00DC7790">
        <w:rPr>
          <w:bCs/>
          <w:sz w:val="28"/>
          <w:szCs w:val="28"/>
        </w:rPr>
        <w:t xml:space="preserve"> practicing in Arizona. Protection of the public necessarily includes making information available to them so that their interaction with members of the legal profession may be conducted with enough information to allow them to make informed choices.  </w:t>
      </w:r>
    </w:p>
    <w:p w14:paraId="0E761E7B" w14:textId="7E63010F"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t>Arizona attorneys</w:t>
      </w:r>
      <w:r w:rsidR="00256255">
        <w:rPr>
          <w:rStyle w:val="BodyTextChar"/>
          <w:bCs/>
          <w:sz w:val="28"/>
          <w:szCs w:val="28"/>
        </w:rPr>
        <w:t xml:space="preserve"> </w:t>
      </w:r>
      <w:r w:rsidR="00256255">
        <w:rPr>
          <w:sz w:val="28"/>
          <w:szCs w:val="28"/>
        </w:rPr>
        <w:t>and legal paraprofessionals</w:t>
      </w:r>
      <w:r w:rsidRPr="00DC7790">
        <w:rPr>
          <w:rStyle w:val="BodyTextChar"/>
          <w:bCs/>
          <w:sz w:val="28"/>
          <w:szCs w:val="28"/>
        </w:rPr>
        <w:t xml:space="preserve"> are not required to have professional liability (malpractice) insurance. Lawyers</w:t>
      </w:r>
      <w:r w:rsidR="00256255">
        <w:rPr>
          <w:rStyle w:val="BodyTextChar"/>
          <w:bCs/>
          <w:sz w:val="28"/>
          <w:szCs w:val="28"/>
        </w:rPr>
        <w:t xml:space="preserve"> </w:t>
      </w:r>
      <w:r w:rsidR="00256255">
        <w:rPr>
          <w:sz w:val="28"/>
          <w:szCs w:val="28"/>
        </w:rPr>
        <w:t>and legal paraprofessionals</w:t>
      </w:r>
      <w:r w:rsidRPr="00DC7790">
        <w:rPr>
          <w:rStyle w:val="BodyTextChar"/>
          <w:bCs/>
          <w:sz w:val="28"/>
          <w:szCs w:val="28"/>
        </w:rPr>
        <w:t xml:space="preserve"> in private practice are required to report annually whether or not they have professional liability insurance, Rule 32(c)(13)(A), Ariz. R. S. Ct.  The attorneys’</w:t>
      </w:r>
      <w:r w:rsidR="00256255">
        <w:rPr>
          <w:rStyle w:val="BodyTextChar"/>
          <w:bCs/>
          <w:sz w:val="28"/>
          <w:szCs w:val="28"/>
        </w:rPr>
        <w:t xml:space="preserve"> </w:t>
      </w:r>
      <w:r w:rsidR="00256255">
        <w:rPr>
          <w:sz w:val="28"/>
          <w:szCs w:val="28"/>
        </w:rPr>
        <w:t>and legal paraprofessionals’</w:t>
      </w:r>
      <w:r w:rsidRPr="00DC7790">
        <w:rPr>
          <w:rStyle w:val="BodyTextChar"/>
          <w:bCs/>
          <w:sz w:val="28"/>
          <w:szCs w:val="28"/>
        </w:rPr>
        <w:t xml:space="preserve"> response is reflected in their State Bar membership record and is available, upon search, to members of the public through the State Bar’s member directory, but that information may not be otherwise available to clients or prospective clients. Members of the public who are unaccustomed to hiring lawyers</w:t>
      </w:r>
      <w:r w:rsidR="00256255">
        <w:rPr>
          <w:rStyle w:val="BodyTextChar"/>
          <w:bCs/>
          <w:sz w:val="28"/>
          <w:szCs w:val="28"/>
        </w:rPr>
        <w:t xml:space="preserve"> </w:t>
      </w:r>
      <w:r w:rsidR="00256255">
        <w:rPr>
          <w:sz w:val="28"/>
          <w:szCs w:val="28"/>
        </w:rPr>
        <w:t>and legal paraprofessionals</w:t>
      </w:r>
      <w:r w:rsidRPr="00DC7790">
        <w:rPr>
          <w:rStyle w:val="BodyTextChar"/>
          <w:bCs/>
          <w:sz w:val="28"/>
          <w:szCs w:val="28"/>
        </w:rPr>
        <w:t xml:space="preserve"> may not think to inquire or appreciate the import </w:t>
      </w:r>
      <w:r w:rsidRPr="00DC7790">
        <w:rPr>
          <w:rStyle w:val="BodyTextChar"/>
          <w:bCs/>
          <w:sz w:val="28"/>
          <w:szCs w:val="28"/>
        </w:rPr>
        <w:lastRenderedPageBreak/>
        <w:t>of such information.</w:t>
      </w:r>
    </w:p>
    <w:p w14:paraId="647C13D9" w14:textId="4CC95D5C"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t>Unfortunately, clients harmed by a lawyer’s</w:t>
      </w:r>
      <w:r w:rsidR="00256255">
        <w:rPr>
          <w:rStyle w:val="BodyTextChar"/>
          <w:bCs/>
          <w:sz w:val="28"/>
          <w:szCs w:val="28"/>
        </w:rPr>
        <w:t xml:space="preserve"> or legal paraprofessional’s</w:t>
      </w:r>
      <w:r w:rsidRPr="00DC7790">
        <w:rPr>
          <w:rStyle w:val="BodyTextChar"/>
          <w:bCs/>
          <w:sz w:val="28"/>
          <w:szCs w:val="28"/>
        </w:rPr>
        <w:t xml:space="preserve"> malpractice may discover far too late that they have little or no recourse, and that they may never be made whole monetarily. A 2022 survey conducted by nationally recognized insurance and risk management specialists, Ames &amp; Gough, Inc., concluded that the severity of legal malpractice claims has increased, with the last several years being “the worst on record for legal malpractice claim payouts.” Conflicts of interest were the most frequently alleged error, with failure to timely file, clerical errors, and general negligence following. Each of these areas for possible claims are ones that are regularly challenges for lawyers.</w:t>
      </w:r>
    </w:p>
    <w:p w14:paraId="07124A65" w14:textId="22740FA8"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t xml:space="preserve">While a large majority of lawyers in private practice in Arizona do have professional liability coverage, members of the State Bar’s Board of Governors Executive Council raised the concern that clients might not know whether or not this level of protection was available to them. The Executive Council asked the Bar’s Program Review Working Group to consider the issue and make recommendations as to what, if any, action should be taken by the Board of Governors or requested via rule change of the Court. After consideration of the </w:t>
      </w:r>
      <w:r w:rsidR="003E5C39" w:rsidRPr="00DC7790">
        <w:rPr>
          <w:rStyle w:val="BodyTextChar"/>
          <w:bCs/>
          <w:sz w:val="28"/>
          <w:szCs w:val="28"/>
        </w:rPr>
        <w:t>issue and</w:t>
      </w:r>
      <w:r w:rsidRPr="00DC7790">
        <w:rPr>
          <w:rStyle w:val="BodyTextChar"/>
          <w:bCs/>
          <w:sz w:val="28"/>
          <w:szCs w:val="28"/>
        </w:rPr>
        <w:t xml:space="preserve"> given that the majority of lawyers in private practice (approximately 80 – 84% based on lawyers reports in 2020 and 2021) report they do have insurance, the Program Review Working Group determined that requiring all lawyers </w:t>
      </w:r>
      <w:r w:rsidR="00EE2F52">
        <w:rPr>
          <w:rStyle w:val="BodyTextChar"/>
          <w:bCs/>
          <w:sz w:val="28"/>
          <w:szCs w:val="28"/>
        </w:rPr>
        <w:t xml:space="preserve">and legal paraprofessionals </w:t>
      </w:r>
      <w:r w:rsidRPr="00DC7790">
        <w:rPr>
          <w:rStyle w:val="BodyTextChar"/>
          <w:bCs/>
          <w:sz w:val="28"/>
          <w:szCs w:val="28"/>
        </w:rPr>
        <w:t xml:space="preserve">to disclose whether </w:t>
      </w:r>
      <w:r w:rsidRPr="00DC7790">
        <w:rPr>
          <w:rStyle w:val="BodyTextChar"/>
          <w:bCs/>
          <w:sz w:val="28"/>
          <w:szCs w:val="28"/>
        </w:rPr>
        <w:lastRenderedPageBreak/>
        <w:t xml:space="preserve">they have professional liability insurance was unnecessary.  </w:t>
      </w:r>
    </w:p>
    <w:p w14:paraId="63BCC102" w14:textId="53300947"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t>The protection of the public was a paramount consideration of the Committee.  So that the public could be made aware of this information, and therefore be protected, the Working Group recommended, and the Board of Governors agreed, that requiring those lawyers</w:t>
      </w:r>
      <w:r w:rsidR="00256255">
        <w:rPr>
          <w:rStyle w:val="BodyTextChar"/>
          <w:bCs/>
          <w:sz w:val="28"/>
          <w:szCs w:val="28"/>
        </w:rPr>
        <w:t xml:space="preserve"> </w:t>
      </w:r>
      <w:r w:rsidR="00256255">
        <w:rPr>
          <w:sz w:val="28"/>
          <w:szCs w:val="28"/>
        </w:rPr>
        <w:t>and legal paraprofessionals</w:t>
      </w:r>
      <w:r w:rsidRPr="00DC7790">
        <w:rPr>
          <w:rStyle w:val="BodyTextChar"/>
          <w:bCs/>
          <w:sz w:val="28"/>
          <w:szCs w:val="28"/>
        </w:rPr>
        <w:t xml:space="preserve"> who do not have professional liability insurance to disclose that to their clients in writing would provide information that clients or prospective clients need to make wise choices in retaining counsel. So that clients may make informed decisions about whether to continue to be represented by a lawyer</w:t>
      </w:r>
      <w:r w:rsidR="00256255">
        <w:rPr>
          <w:rStyle w:val="BodyTextChar"/>
          <w:bCs/>
          <w:sz w:val="28"/>
          <w:szCs w:val="28"/>
        </w:rPr>
        <w:t xml:space="preserve"> or legal paraprofessional</w:t>
      </w:r>
      <w:r w:rsidRPr="00DC7790">
        <w:rPr>
          <w:rStyle w:val="BodyTextChar"/>
          <w:bCs/>
          <w:sz w:val="28"/>
          <w:szCs w:val="28"/>
        </w:rPr>
        <w:t xml:space="preserve"> who, at some time during the representation is no longer insured, the proposed amendment requires the lawyer </w:t>
      </w:r>
      <w:r w:rsidR="00256255">
        <w:rPr>
          <w:rStyle w:val="BodyTextChar"/>
          <w:bCs/>
          <w:sz w:val="28"/>
          <w:szCs w:val="28"/>
        </w:rPr>
        <w:t xml:space="preserve">or legal paraprofessional </w:t>
      </w:r>
      <w:r w:rsidRPr="00DC7790">
        <w:rPr>
          <w:rStyle w:val="BodyTextChar"/>
          <w:bCs/>
          <w:sz w:val="28"/>
          <w:szCs w:val="28"/>
        </w:rPr>
        <w:t xml:space="preserve">to inform the client in writing within thirty (30) days of the date on which the lawyer knows their insurance has been terminated or has lapsed.  </w:t>
      </w:r>
    </w:p>
    <w:p w14:paraId="748B1AD1" w14:textId="25756CE5" w:rsidR="004331B2" w:rsidRDefault="00782DD7" w:rsidP="006766BF">
      <w:pPr>
        <w:pStyle w:val="Body"/>
        <w:widowControl w:val="0"/>
        <w:spacing w:line="480" w:lineRule="auto"/>
        <w:ind w:firstLine="720"/>
        <w:jc w:val="both"/>
        <w:rPr>
          <w:rStyle w:val="BodyTextChar"/>
          <w:bCs/>
          <w:sz w:val="28"/>
          <w:szCs w:val="28"/>
        </w:rPr>
      </w:pPr>
      <w:r w:rsidRPr="00DC7790">
        <w:rPr>
          <w:rStyle w:val="BodyTextChar"/>
          <w:bCs/>
          <w:sz w:val="28"/>
          <w:szCs w:val="28"/>
        </w:rPr>
        <w:t>These requirements would not stand alone but be accompanied by an education campaign by the State Bar to educate the public and members why a lawyer</w:t>
      </w:r>
      <w:r w:rsidR="00256255">
        <w:rPr>
          <w:rStyle w:val="BodyTextChar"/>
          <w:bCs/>
          <w:sz w:val="28"/>
          <w:szCs w:val="28"/>
        </w:rPr>
        <w:t>/legal paraprofessional</w:t>
      </w:r>
      <w:r w:rsidRPr="00DC7790">
        <w:rPr>
          <w:rStyle w:val="BodyTextChar"/>
          <w:bCs/>
          <w:sz w:val="28"/>
          <w:szCs w:val="28"/>
        </w:rPr>
        <w:t xml:space="preserve"> should have professional liability coverage. In this way clients and prospective clients will be able to make an informed choice about the lawyer they choose to hire and continue to be represented by.</w:t>
      </w:r>
    </w:p>
    <w:p w14:paraId="24DF4A56" w14:textId="73748118" w:rsidR="003E5C39" w:rsidRDefault="003E5C39" w:rsidP="006766BF">
      <w:pPr>
        <w:pStyle w:val="Body"/>
        <w:widowControl w:val="0"/>
        <w:spacing w:line="480" w:lineRule="auto"/>
        <w:ind w:firstLine="720"/>
        <w:jc w:val="both"/>
        <w:rPr>
          <w:rStyle w:val="BodyTextChar"/>
          <w:bCs/>
          <w:sz w:val="28"/>
          <w:szCs w:val="28"/>
        </w:rPr>
      </w:pPr>
    </w:p>
    <w:p w14:paraId="49FEFBD7" w14:textId="561046DD" w:rsidR="003E5C39" w:rsidRDefault="003E5C39" w:rsidP="00865DA4">
      <w:pPr>
        <w:pStyle w:val="Body"/>
        <w:widowControl w:val="0"/>
        <w:spacing w:line="480" w:lineRule="auto"/>
        <w:ind w:firstLine="0"/>
        <w:jc w:val="both"/>
        <w:rPr>
          <w:rStyle w:val="BodyTextChar"/>
          <w:bCs/>
          <w:sz w:val="28"/>
          <w:szCs w:val="28"/>
        </w:rPr>
      </w:pPr>
    </w:p>
    <w:p w14:paraId="497B6B5E" w14:textId="77777777" w:rsidR="003E5C39" w:rsidRPr="00DC7790" w:rsidRDefault="003E5C39" w:rsidP="006766BF">
      <w:pPr>
        <w:pStyle w:val="Body"/>
        <w:widowControl w:val="0"/>
        <w:spacing w:line="480" w:lineRule="auto"/>
        <w:ind w:firstLine="720"/>
        <w:jc w:val="both"/>
        <w:rPr>
          <w:rStyle w:val="BodyTextChar"/>
          <w:bCs/>
          <w:sz w:val="28"/>
          <w:szCs w:val="28"/>
        </w:rPr>
      </w:pPr>
    </w:p>
    <w:p w14:paraId="1790BCA3" w14:textId="77777777" w:rsidR="000C48A9" w:rsidRPr="00DC7790" w:rsidRDefault="007A3F0F" w:rsidP="006766BF">
      <w:pPr>
        <w:pStyle w:val="Body"/>
        <w:widowControl w:val="0"/>
        <w:spacing w:line="480" w:lineRule="auto"/>
        <w:ind w:firstLine="0"/>
        <w:jc w:val="center"/>
        <w:rPr>
          <w:rStyle w:val="BodyTextChar"/>
          <w:b/>
          <w:sz w:val="28"/>
          <w:szCs w:val="28"/>
        </w:rPr>
      </w:pPr>
      <w:r w:rsidRPr="00DC7790">
        <w:rPr>
          <w:rStyle w:val="BodyTextChar"/>
          <w:b/>
          <w:sz w:val="28"/>
          <w:szCs w:val="28"/>
        </w:rPr>
        <w:t>CONCLUSION</w:t>
      </w:r>
    </w:p>
    <w:p w14:paraId="1D6B6A97" w14:textId="104EDCC6" w:rsidR="000F7A7F" w:rsidRPr="00DC7790" w:rsidRDefault="000C48A9" w:rsidP="00782DD7">
      <w:pPr>
        <w:pStyle w:val="Body"/>
        <w:widowControl w:val="0"/>
        <w:tabs>
          <w:tab w:val="left" w:pos="720"/>
        </w:tabs>
        <w:spacing w:line="480" w:lineRule="auto"/>
        <w:ind w:firstLine="0"/>
        <w:rPr>
          <w:spacing w:val="-3"/>
          <w:sz w:val="28"/>
          <w:szCs w:val="28"/>
        </w:rPr>
      </w:pPr>
      <w:r w:rsidRPr="00DC7790">
        <w:rPr>
          <w:sz w:val="28"/>
          <w:szCs w:val="28"/>
        </w:rPr>
        <w:tab/>
      </w:r>
      <w:r w:rsidR="000F7C13" w:rsidRPr="00DC7790">
        <w:rPr>
          <w:sz w:val="28"/>
          <w:szCs w:val="28"/>
        </w:rPr>
        <w:t>The State Bar</w:t>
      </w:r>
      <w:r w:rsidR="00735659" w:rsidRPr="00DC7790">
        <w:rPr>
          <w:sz w:val="28"/>
          <w:szCs w:val="28"/>
        </w:rPr>
        <w:t xml:space="preserve"> of Arizona</w:t>
      </w:r>
      <w:r w:rsidR="000F7C13" w:rsidRPr="00DC7790">
        <w:rPr>
          <w:sz w:val="28"/>
          <w:szCs w:val="28"/>
        </w:rPr>
        <w:t xml:space="preserve"> respectfully requests that </w:t>
      </w:r>
      <w:r w:rsidR="00782DD7" w:rsidRPr="00DC7790">
        <w:rPr>
          <w:sz w:val="28"/>
          <w:szCs w:val="28"/>
        </w:rPr>
        <w:t>the Court amend ER 1.4, Rule 42 as detailed in the Appendix.</w:t>
      </w:r>
    </w:p>
    <w:p w14:paraId="3CE4EDDC" w14:textId="59D82213" w:rsidR="000C48A9" w:rsidRDefault="006F63FD" w:rsidP="000C48A9">
      <w:pPr>
        <w:pStyle w:val="Body"/>
        <w:widowControl w:val="0"/>
        <w:tabs>
          <w:tab w:val="left" w:pos="720"/>
        </w:tabs>
        <w:ind w:firstLine="0"/>
        <w:rPr>
          <w:sz w:val="28"/>
          <w:szCs w:val="28"/>
        </w:rPr>
      </w:pPr>
      <w:r w:rsidRPr="00DC7790">
        <w:rPr>
          <w:sz w:val="28"/>
          <w:szCs w:val="28"/>
        </w:rPr>
        <w:t xml:space="preserve">       </w:t>
      </w:r>
      <w:r w:rsidR="000C48A9" w:rsidRPr="00DC7790">
        <w:rPr>
          <w:sz w:val="28"/>
          <w:szCs w:val="28"/>
        </w:rPr>
        <w:t xml:space="preserve">RESPECTFULLY SUBMITTED this </w:t>
      </w:r>
      <w:r w:rsidR="00625DD5">
        <w:rPr>
          <w:sz w:val="28"/>
          <w:szCs w:val="28"/>
        </w:rPr>
        <w:t>17</w:t>
      </w:r>
      <w:r w:rsidR="00625DD5" w:rsidRPr="00625DD5">
        <w:rPr>
          <w:sz w:val="28"/>
          <w:szCs w:val="28"/>
          <w:vertAlign w:val="superscript"/>
        </w:rPr>
        <w:t>th</w:t>
      </w:r>
      <w:r w:rsidR="00625DD5">
        <w:rPr>
          <w:sz w:val="28"/>
          <w:szCs w:val="28"/>
        </w:rPr>
        <w:t xml:space="preserve"> </w:t>
      </w:r>
      <w:r w:rsidR="00625DD5" w:rsidRPr="00DC7790">
        <w:rPr>
          <w:sz w:val="28"/>
          <w:szCs w:val="28"/>
        </w:rPr>
        <w:t>day</w:t>
      </w:r>
      <w:r w:rsidR="000C48A9" w:rsidRPr="00DC7790">
        <w:rPr>
          <w:sz w:val="28"/>
          <w:szCs w:val="28"/>
        </w:rPr>
        <w:t xml:space="preserve"> of</w:t>
      </w:r>
      <w:r w:rsidR="00DC7790" w:rsidRPr="00DC7790">
        <w:rPr>
          <w:sz w:val="28"/>
          <w:szCs w:val="28"/>
        </w:rPr>
        <w:t xml:space="preserve"> </w:t>
      </w:r>
      <w:r w:rsidR="00256255">
        <w:rPr>
          <w:sz w:val="28"/>
          <w:szCs w:val="28"/>
        </w:rPr>
        <w:t>March</w:t>
      </w:r>
      <w:r w:rsidR="00D60D9B" w:rsidRPr="00DC7790">
        <w:rPr>
          <w:sz w:val="28"/>
          <w:szCs w:val="28"/>
        </w:rPr>
        <w:t xml:space="preserve"> 20</w:t>
      </w:r>
      <w:r w:rsidR="005845AE" w:rsidRPr="00DC7790">
        <w:rPr>
          <w:sz w:val="28"/>
          <w:szCs w:val="28"/>
        </w:rPr>
        <w:t>2</w:t>
      </w:r>
      <w:r w:rsidR="00782DD7" w:rsidRPr="00DC7790">
        <w:rPr>
          <w:sz w:val="28"/>
          <w:szCs w:val="28"/>
        </w:rPr>
        <w:t>3</w:t>
      </w:r>
      <w:r w:rsidR="000C48A9" w:rsidRPr="00DC7790">
        <w:rPr>
          <w:sz w:val="28"/>
          <w:szCs w:val="28"/>
        </w:rPr>
        <w:t>.</w:t>
      </w:r>
    </w:p>
    <w:p w14:paraId="682472A6" w14:textId="77777777" w:rsidR="003E5C39" w:rsidRPr="00DC7790" w:rsidRDefault="003E5C39" w:rsidP="000C48A9">
      <w:pPr>
        <w:pStyle w:val="Body"/>
        <w:widowControl w:val="0"/>
        <w:tabs>
          <w:tab w:val="left" w:pos="720"/>
        </w:tabs>
        <w:ind w:firstLine="0"/>
        <w:rPr>
          <w:sz w:val="28"/>
          <w:szCs w:val="28"/>
        </w:rPr>
      </w:pPr>
    </w:p>
    <w:p w14:paraId="6C867847" w14:textId="37CE4092" w:rsidR="000C48A9" w:rsidRPr="00DC7790" w:rsidRDefault="00625DD5" w:rsidP="000C48A9">
      <w:pPr>
        <w:pStyle w:val="Body"/>
        <w:widowControl w:val="0"/>
        <w:tabs>
          <w:tab w:val="left" w:pos="720"/>
        </w:tabs>
        <w:ind w:firstLine="0"/>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t>/s/ Lisa M. Panahi</w:t>
      </w:r>
    </w:p>
    <w:p w14:paraId="7DC132ED" w14:textId="77777777" w:rsidR="000C48A9" w:rsidRPr="00DC7790" w:rsidRDefault="00F850BE" w:rsidP="000C48A9">
      <w:pPr>
        <w:pStyle w:val="PleadingSignature"/>
        <w:keepNext w:val="0"/>
        <w:keepLines w:val="0"/>
        <w:pBdr>
          <w:top w:val="single" w:sz="4" w:space="1" w:color="auto"/>
        </w:pBdr>
        <w:spacing w:line="240" w:lineRule="auto"/>
        <w:ind w:left="5070"/>
        <w:rPr>
          <w:sz w:val="28"/>
          <w:szCs w:val="28"/>
        </w:rPr>
      </w:pPr>
      <w:r w:rsidRPr="00DC7790">
        <w:rPr>
          <w:sz w:val="28"/>
          <w:szCs w:val="28"/>
        </w:rPr>
        <w:t>Lisa M. Panahi</w:t>
      </w:r>
    </w:p>
    <w:p w14:paraId="77CBA71B" w14:textId="594F4C14" w:rsidR="000C48A9" w:rsidRDefault="000C48A9" w:rsidP="000C48A9">
      <w:pPr>
        <w:pStyle w:val="PleadingSignature"/>
        <w:keepNext w:val="0"/>
        <w:keepLines w:val="0"/>
        <w:spacing w:line="240" w:lineRule="auto"/>
        <w:ind w:left="5070"/>
        <w:rPr>
          <w:sz w:val="28"/>
          <w:szCs w:val="28"/>
        </w:rPr>
      </w:pPr>
      <w:r w:rsidRPr="00DC7790">
        <w:rPr>
          <w:sz w:val="28"/>
          <w:szCs w:val="28"/>
        </w:rPr>
        <w:t>General Counsel</w:t>
      </w:r>
    </w:p>
    <w:p w14:paraId="52268C2F" w14:textId="77777777" w:rsidR="003E5C39" w:rsidRPr="00DC7790" w:rsidRDefault="003E5C39" w:rsidP="000C48A9">
      <w:pPr>
        <w:pStyle w:val="PleadingSignature"/>
        <w:keepNext w:val="0"/>
        <w:keepLines w:val="0"/>
        <w:spacing w:line="240" w:lineRule="auto"/>
        <w:ind w:left="5070"/>
        <w:rPr>
          <w:sz w:val="28"/>
          <w:szCs w:val="28"/>
        </w:rPr>
      </w:pPr>
    </w:p>
    <w:p w14:paraId="41DCAE96" w14:textId="77777777" w:rsidR="000C48A9" w:rsidRPr="00DC7790" w:rsidRDefault="000C48A9" w:rsidP="004331B2">
      <w:pPr>
        <w:widowControl w:val="0"/>
        <w:spacing w:line="240" w:lineRule="auto"/>
        <w:ind w:right="4140"/>
        <w:rPr>
          <w:sz w:val="28"/>
          <w:szCs w:val="28"/>
        </w:rPr>
      </w:pPr>
      <w:r w:rsidRPr="00DC7790">
        <w:rPr>
          <w:sz w:val="28"/>
          <w:szCs w:val="28"/>
        </w:rPr>
        <w:t>Electronic copy filed with the</w:t>
      </w:r>
    </w:p>
    <w:p w14:paraId="4A227D25" w14:textId="77777777" w:rsidR="000C48A9" w:rsidRPr="00DC7790" w:rsidRDefault="000C48A9" w:rsidP="004331B2">
      <w:pPr>
        <w:spacing w:line="240" w:lineRule="auto"/>
        <w:ind w:right="4140"/>
        <w:rPr>
          <w:sz w:val="28"/>
          <w:szCs w:val="28"/>
        </w:rPr>
      </w:pPr>
      <w:r w:rsidRPr="00DC7790">
        <w:rPr>
          <w:sz w:val="28"/>
          <w:szCs w:val="28"/>
        </w:rPr>
        <w:t xml:space="preserve">Clerk of the </w:t>
      </w:r>
      <w:r w:rsidR="00692391" w:rsidRPr="00DC7790">
        <w:rPr>
          <w:sz w:val="28"/>
          <w:szCs w:val="28"/>
        </w:rPr>
        <w:t>Supreme Court of Arizona</w:t>
      </w:r>
    </w:p>
    <w:p w14:paraId="2827C750" w14:textId="3937FF9B" w:rsidR="000C48A9" w:rsidRPr="00DC7790" w:rsidRDefault="000C48A9" w:rsidP="00C52E56">
      <w:pPr>
        <w:tabs>
          <w:tab w:val="left" w:pos="4836"/>
        </w:tabs>
        <w:spacing w:line="240" w:lineRule="auto"/>
        <w:ind w:right="3870"/>
        <w:rPr>
          <w:sz w:val="28"/>
          <w:szCs w:val="28"/>
        </w:rPr>
      </w:pPr>
      <w:r w:rsidRPr="00DC7790">
        <w:rPr>
          <w:sz w:val="28"/>
          <w:szCs w:val="28"/>
        </w:rPr>
        <w:t>t</w:t>
      </w:r>
      <w:r w:rsidR="000F7A7F" w:rsidRPr="00DC7790">
        <w:rPr>
          <w:sz w:val="28"/>
          <w:szCs w:val="28"/>
        </w:rPr>
        <w:t xml:space="preserve">his </w:t>
      </w:r>
      <w:r w:rsidR="00625DD5">
        <w:rPr>
          <w:sz w:val="28"/>
          <w:szCs w:val="28"/>
        </w:rPr>
        <w:t>17</w:t>
      </w:r>
      <w:r w:rsidR="00625DD5" w:rsidRPr="00625DD5">
        <w:rPr>
          <w:sz w:val="28"/>
          <w:szCs w:val="28"/>
          <w:vertAlign w:val="superscript"/>
        </w:rPr>
        <w:t>th</w:t>
      </w:r>
      <w:r w:rsidR="00625DD5">
        <w:rPr>
          <w:sz w:val="28"/>
          <w:szCs w:val="28"/>
        </w:rPr>
        <w:t xml:space="preserve"> </w:t>
      </w:r>
      <w:r w:rsidR="00625DD5" w:rsidRPr="00DC7790">
        <w:rPr>
          <w:sz w:val="28"/>
          <w:szCs w:val="28"/>
        </w:rPr>
        <w:t>day</w:t>
      </w:r>
      <w:r w:rsidR="000F7A7F" w:rsidRPr="00DC7790">
        <w:rPr>
          <w:sz w:val="28"/>
          <w:szCs w:val="28"/>
        </w:rPr>
        <w:t xml:space="preserve"> of </w:t>
      </w:r>
      <w:r w:rsidR="00256255">
        <w:rPr>
          <w:sz w:val="28"/>
          <w:szCs w:val="28"/>
        </w:rPr>
        <w:t>March</w:t>
      </w:r>
      <w:r w:rsidR="006F63FD" w:rsidRPr="00DC7790">
        <w:rPr>
          <w:sz w:val="28"/>
          <w:szCs w:val="28"/>
        </w:rPr>
        <w:t xml:space="preserve"> </w:t>
      </w:r>
      <w:r w:rsidR="00D60D9B" w:rsidRPr="00DC7790">
        <w:rPr>
          <w:sz w:val="28"/>
          <w:szCs w:val="28"/>
        </w:rPr>
        <w:t>20</w:t>
      </w:r>
      <w:r w:rsidR="005845AE" w:rsidRPr="00DC7790">
        <w:rPr>
          <w:sz w:val="28"/>
          <w:szCs w:val="28"/>
        </w:rPr>
        <w:t>2</w:t>
      </w:r>
      <w:r w:rsidR="00782DD7" w:rsidRPr="00DC7790">
        <w:rPr>
          <w:sz w:val="28"/>
          <w:szCs w:val="28"/>
        </w:rPr>
        <w:t>3</w:t>
      </w:r>
      <w:r w:rsidR="000F7A7F" w:rsidRPr="00DC7790">
        <w:rPr>
          <w:sz w:val="28"/>
          <w:szCs w:val="28"/>
        </w:rPr>
        <w:t>.</w:t>
      </w:r>
    </w:p>
    <w:p w14:paraId="19161DDC" w14:textId="77777777" w:rsidR="000F7A7F" w:rsidRPr="00DC7790" w:rsidRDefault="000F7A7F" w:rsidP="000C48A9">
      <w:pPr>
        <w:spacing w:line="240" w:lineRule="auto"/>
        <w:ind w:right="4572"/>
        <w:rPr>
          <w:sz w:val="28"/>
          <w:szCs w:val="28"/>
        </w:rPr>
      </w:pPr>
    </w:p>
    <w:p w14:paraId="00843394" w14:textId="5FEE6DBF" w:rsidR="000C48A9" w:rsidRPr="00DC7790" w:rsidRDefault="000C48A9" w:rsidP="000C48A9">
      <w:pPr>
        <w:spacing w:line="240" w:lineRule="auto"/>
        <w:ind w:right="4572"/>
        <w:rPr>
          <w:sz w:val="28"/>
          <w:szCs w:val="28"/>
        </w:rPr>
      </w:pPr>
      <w:r w:rsidRPr="00DC7790">
        <w:rPr>
          <w:sz w:val="28"/>
          <w:szCs w:val="28"/>
        </w:rPr>
        <w:t xml:space="preserve">by: </w:t>
      </w:r>
      <w:r w:rsidR="00625DD5">
        <w:rPr>
          <w:sz w:val="28"/>
          <w:szCs w:val="28"/>
        </w:rPr>
        <w:t>P Seguin</w:t>
      </w:r>
    </w:p>
    <w:p w14:paraId="6ABB6026" w14:textId="77777777" w:rsidR="00494BDF" w:rsidRPr="00DC7790" w:rsidRDefault="00494BDF" w:rsidP="000C48A9">
      <w:pPr>
        <w:pStyle w:val="Body"/>
        <w:widowControl w:val="0"/>
        <w:ind w:firstLine="0"/>
        <w:jc w:val="both"/>
        <w:rPr>
          <w:sz w:val="28"/>
          <w:szCs w:val="28"/>
        </w:rPr>
      </w:pPr>
    </w:p>
    <w:p w14:paraId="3164722A" w14:textId="3C78476F" w:rsidR="00933EA1" w:rsidRPr="00DC7790" w:rsidRDefault="00933EA1" w:rsidP="000F7C13">
      <w:pPr>
        <w:spacing w:line="240" w:lineRule="auto"/>
        <w:rPr>
          <w:strike/>
          <w:sz w:val="28"/>
          <w:szCs w:val="28"/>
        </w:rPr>
      </w:pPr>
    </w:p>
    <w:p w14:paraId="6D594D4E" w14:textId="15F79D54" w:rsidR="00782DD7" w:rsidRPr="00DC7790" w:rsidRDefault="00782DD7" w:rsidP="000F7C13">
      <w:pPr>
        <w:spacing w:line="240" w:lineRule="auto"/>
        <w:rPr>
          <w:strike/>
          <w:sz w:val="28"/>
          <w:szCs w:val="28"/>
        </w:rPr>
      </w:pPr>
    </w:p>
    <w:p w14:paraId="4D57D466" w14:textId="77777777" w:rsidR="003E5C39" w:rsidRDefault="003E5C39" w:rsidP="00782DD7">
      <w:pPr>
        <w:tabs>
          <w:tab w:val="left" w:pos="900"/>
        </w:tabs>
        <w:jc w:val="center"/>
        <w:rPr>
          <w:b/>
          <w:sz w:val="28"/>
          <w:szCs w:val="28"/>
          <w:u w:val="single"/>
        </w:rPr>
      </w:pPr>
    </w:p>
    <w:p w14:paraId="5D3AE464" w14:textId="77777777" w:rsidR="003E5C39" w:rsidRDefault="003E5C39" w:rsidP="00782DD7">
      <w:pPr>
        <w:tabs>
          <w:tab w:val="left" w:pos="900"/>
        </w:tabs>
        <w:jc w:val="center"/>
        <w:rPr>
          <w:b/>
          <w:sz w:val="28"/>
          <w:szCs w:val="28"/>
          <w:u w:val="single"/>
        </w:rPr>
      </w:pPr>
    </w:p>
    <w:p w14:paraId="60B89774" w14:textId="77777777" w:rsidR="003E5C39" w:rsidRDefault="003E5C39" w:rsidP="00782DD7">
      <w:pPr>
        <w:tabs>
          <w:tab w:val="left" w:pos="900"/>
        </w:tabs>
        <w:jc w:val="center"/>
        <w:rPr>
          <w:b/>
          <w:sz w:val="28"/>
          <w:szCs w:val="28"/>
          <w:u w:val="single"/>
        </w:rPr>
      </w:pPr>
    </w:p>
    <w:p w14:paraId="5630AC23" w14:textId="77777777" w:rsidR="003E5C39" w:rsidRDefault="003E5C39" w:rsidP="00782DD7">
      <w:pPr>
        <w:tabs>
          <w:tab w:val="left" w:pos="900"/>
        </w:tabs>
        <w:jc w:val="center"/>
        <w:rPr>
          <w:b/>
          <w:sz w:val="28"/>
          <w:szCs w:val="28"/>
          <w:u w:val="single"/>
        </w:rPr>
      </w:pPr>
    </w:p>
    <w:p w14:paraId="0E6109CE" w14:textId="77777777" w:rsidR="003E5C39" w:rsidRDefault="003E5C39" w:rsidP="00782DD7">
      <w:pPr>
        <w:tabs>
          <w:tab w:val="left" w:pos="900"/>
        </w:tabs>
        <w:jc w:val="center"/>
        <w:rPr>
          <w:b/>
          <w:sz w:val="28"/>
          <w:szCs w:val="28"/>
          <w:u w:val="single"/>
        </w:rPr>
      </w:pPr>
    </w:p>
    <w:p w14:paraId="18C6AEB5" w14:textId="77777777" w:rsidR="003E5C39" w:rsidRDefault="003E5C39" w:rsidP="00782DD7">
      <w:pPr>
        <w:tabs>
          <w:tab w:val="left" w:pos="900"/>
        </w:tabs>
        <w:jc w:val="center"/>
        <w:rPr>
          <w:b/>
          <w:sz w:val="28"/>
          <w:szCs w:val="28"/>
          <w:u w:val="single"/>
        </w:rPr>
      </w:pPr>
    </w:p>
    <w:p w14:paraId="596A6A8A" w14:textId="77777777" w:rsidR="003E5C39" w:rsidRDefault="003E5C39" w:rsidP="00782DD7">
      <w:pPr>
        <w:tabs>
          <w:tab w:val="left" w:pos="900"/>
        </w:tabs>
        <w:jc w:val="center"/>
        <w:rPr>
          <w:b/>
          <w:sz w:val="28"/>
          <w:szCs w:val="28"/>
          <w:u w:val="single"/>
        </w:rPr>
      </w:pPr>
    </w:p>
    <w:p w14:paraId="4DCBA983" w14:textId="77777777" w:rsidR="003E5C39" w:rsidRDefault="003E5C39" w:rsidP="00782DD7">
      <w:pPr>
        <w:tabs>
          <w:tab w:val="left" w:pos="900"/>
        </w:tabs>
        <w:jc w:val="center"/>
        <w:rPr>
          <w:b/>
          <w:sz w:val="28"/>
          <w:szCs w:val="28"/>
          <w:u w:val="single"/>
        </w:rPr>
      </w:pPr>
    </w:p>
    <w:p w14:paraId="467DE619" w14:textId="77777777" w:rsidR="003E5C39" w:rsidRDefault="003E5C39" w:rsidP="00625DD5">
      <w:pPr>
        <w:tabs>
          <w:tab w:val="left" w:pos="900"/>
        </w:tabs>
        <w:rPr>
          <w:b/>
          <w:sz w:val="28"/>
          <w:szCs w:val="28"/>
          <w:u w:val="single"/>
        </w:rPr>
      </w:pPr>
    </w:p>
    <w:p w14:paraId="63CB31CE" w14:textId="7F46497B" w:rsidR="00782DD7" w:rsidRPr="00DC7790" w:rsidRDefault="00782DD7" w:rsidP="00782DD7">
      <w:pPr>
        <w:tabs>
          <w:tab w:val="left" w:pos="900"/>
        </w:tabs>
        <w:jc w:val="center"/>
        <w:rPr>
          <w:bCs/>
          <w:sz w:val="28"/>
          <w:szCs w:val="28"/>
        </w:rPr>
      </w:pPr>
      <w:r w:rsidRPr="00DC7790">
        <w:rPr>
          <w:b/>
          <w:sz w:val="28"/>
          <w:szCs w:val="28"/>
          <w:u w:val="single"/>
        </w:rPr>
        <w:lastRenderedPageBreak/>
        <w:t>APPENDIX</w:t>
      </w:r>
    </w:p>
    <w:p w14:paraId="0542938A" w14:textId="77777777" w:rsidR="00782DD7" w:rsidRPr="00DC7790" w:rsidRDefault="00782DD7" w:rsidP="00782DD7">
      <w:pPr>
        <w:tabs>
          <w:tab w:val="left" w:pos="900"/>
        </w:tabs>
        <w:rPr>
          <w:b/>
          <w:i/>
          <w:iCs/>
          <w:sz w:val="28"/>
          <w:szCs w:val="28"/>
        </w:rPr>
      </w:pPr>
      <w:r w:rsidRPr="00DC7790">
        <w:rPr>
          <w:b/>
          <w:i/>
          <w:iCs/>
          <w:sz w:val="28"/>
          <w:szCs w:val="28"/>
        </w:rPr>
        <w:t xml:space="preserve">(Please note: deletions are reflected by </w:t>
      </w:r>
      <w:r w:rsidRPr="00DC7790">
        <w:rPr>
          <w:b/>
          <w:i/>
          <w:iCs/>
          <w:strike/>
          <w:sz w:val="28"/>
          <w:szCs w:val="28"/>
        </w:rPr>
        <w:t>strikethrough</w:t>
      </w:r>
      <w:r w:rsidRPr="00DC7790">
        <w:rPr>
          <w:b/>
          <w:i/>
          <w:iCs/>
          <w:sz w:val="28"/>
          <w:szCs w:val="28"/>
        </w:rPr>
        <w:t xml:space="preserve"> and additions are reflected by </w:t>
      </w:r>
      <w:r w:rsidRPr="00DC7790">
        <w:rPr>
          <w:b/>
          <w:i/>
          <w:iCs/>
          <w:sz w:val="28"/>
          <w:szCs w:val="28"/>
          <w:u w:val="single"/>
        </w:rPr>
        <w:t>underline</w:t>
      </w:r>
      <w:r w:rsidRPr="00DC7790">
        <w:rPr>
          <w:b/>
          <w:i/>
          <w:iCs/>
          <w:sz w:val="28"/>
          <w:szCs w:val="28"/>
        </w:rPr>
        <w:t>.)</w:t>
      </w:r>
    </w:p>
    <w:p w14:paraId="757C8AD3" w14:textId="14A5F57E" w:rsidR="00933EA1" w:rsidRPr="00DC7790" w:rsidRDefault="00933EA1" w:rsidP="00933EA1">
      <w:pPr>
        <w:rPr>
          <w:sz w:val="28"/>
          <w:szCs w:val="28"/>
        </w:rPr>
      </w:pPr>
    </w:p>
    <w:p w14:paraId="142899AA" w14:textId="77777777" w:rsidR="00782DD7" w:rsidRPr="00DC7790" w:rsidRDefault="00782DD7" w:rsidP="00782DD7">
      <w:pPr>
        <w:pStyle w:val="Title"/>
        <w:spacing w:line="276" w:lineRule="auto"/>
        <w:jc w:val="left"/>
        <w:rPr>
          <w:b w:val="0"/>
          <w:bCs w:val="0"/>
          <w:sz w:val="28"/>
          <w:szCs w:val="28"/>
        </w:rPr>
      </w:pPr>
      <w:r w:rsidRPr="00DC7790">
        <w:rPr>
          <w:b w:val="0"/>
          <w:bCs w:val="0"/>
          <w:sz w:val="28"/>
          <w:szCs w:val="28"/>
        </w:rPr>
        <w:t>ER 1.4.     Communication</w:t>
      </w:r>
    </w:p>
    <w:p w14:paraId="749BD257" w14:textId="77777777" w:rsidR="00782DD7" w:rsidRPr="00DC7790" w:rsidRDefault="00782DD7" w:rsidP="00782DD7">
      <w:pPr>
        <w:pStyle w:val="Title"/>
        <w:spacing w:line="276" w:lineRule="auto"/>
        <w:jc w:val="left"/>
        <w:rPr>
          <w:b w:val="0"/>
          <w:bCs w:val="0"/>
          <w:sz w:val="28"/>
          <w:szCs w:val="28"/>
        </w:rPr>
      </w:pPr>
    </w:p>
    <w:p w14:paraId="710AD8FF" w14:textId="0AAD9A2C" w:rsidR="00782DD7" w:rsidRPr="004604DC" w:rsidRDefault="004604DC" w:rsidP="00782DD7">
      <w:pPr>
        <w:pStyle w:val="Title"/>
        <w:numPr>
          <w:ilvl w:val="0"/>
          <w:numId w:val="15"/>
        </w:numPr>
        <w:spacing w:line="276" w:lineRule="auto"/>
        <w:jc w:val="both"/>
        <w:rPr>
          <w:b w:val="0"/>
          <w:bCs w:val="0"/>
          <w:sz w:val="28"/>
          <w:szCs w:val="28"/>
        </w:rPr>
      </w:pPr>
      <w:r w:rsidRPr="004604DC">
        <w:rPr>
          <w:b w:val="0"/>
          <w:bCs w:val="0"/>
          <w:sz w:val="28"/>
          <w:szCs w:val="28"/>
        </w:rPr>
        <w:t>-</w:t>
      </w:r>
      <w:r>
        <w:rPr>
          <w:b w:val="0"/>
          <w:bCs w:val="0"/>
          <w:sz w:val="28"/>
          <w:szCs w:val="28"/>
        </w:rPr>
        <w:t xml:space="preserve"> </w:t>
      </w:r>
      <w:r w:rsidR="00782DD7" w:rsidRPr="004604DC">
        <w:rPr>
          <w:b w:val="0"/>
          <w:bCs w:val="0"/>
          <w:sz w:val="28"/>
          <w:szCs w:val="28"/>
        </w:rPr>
        <w:t>(c) </w:t>
      </w:r>
      <w:r>
        <w:rPr>
          <w:b w:val="0"/>
          <w:bCs w:val="0"/>
          <w:sz w:val="28"/>
          <w:szCs w:val="28"/>
        </w:rPr>
        <w:t>[No change.]</w:t>
      </w:r>
    </w:p>
    <w:p w14:paraId="48339DE8" w14:textId="77777777" w:rsidR="00782DD7" w:rsidRPr="00DC7790" w:rsidRDefault="00782DD7" w:rsidP="00782DD7">
      <w:pPr>
        <w:pStyle w:val="Title"/>
        <w:spacing w:line="276" w:lineRule="auto"/>
        <w:jc w:val="both"/>
        <w:rPr>
          <w:b w:val="0"/>
          <w:sz w:val="28"/>
          <w:szCs w:val="28"/>
        </w:rPr>
      </w:pPr>
    </w:p>
    <w:p w14:paraId="7F3D9D14" w14:textId="354D66AF" w:rsidR="00782DD7" w:rsidRPr="00DC7790" w:rsidRDefault="00782DD7" w:rsidP="00782DD7">
      <w:pPr>
        <w:pStyle w:val="Title"/>
        <w:spacing w:line="276" w:lineRule="auto"/>
        <w:jc w:val="both"/>
        <w:rPr>
          <w:b w:val="0"/>
          <w:sz w:val="28"/>
          <w:szCs w:val="28"/>
          <w:u w:val="single"/>
        </w:rPr>
      </w:pPr>
      <w:r w:rsidRPr="004604DC">
        <w:rPr>
          <w:b w:val="0"/>
          <w:sz w:val="28"/>
          <w:szCs w:val="28"/>
          <w:u w:val="single"/>
        </w:rPr>
        <w:t>(d) All</w:t>
      </w:r>
      <w:r w:rsidRPr="00DC7790">
        <w:rPr>
          <w:b w:val="0"/>
          <w:sz w:val="28"/>
          <w:szCs w:val="28"/>
          <w:u w:val="single"/>
        </w:rPr>
        <w:t xml:space="preserve"> lawyers</w:t>
      </w:r>
      <w:r w:rsidR="000E3A0B">
        <w:rPr>
          <w:b w:val="0"/>
          <w:sz w:val="28"/>
          <w:szCs w:val="28"/>
          <w:u w:val="single"/>
        </w:rPr>
        <w:t>/legal paraprofessionals</w:t>
      </w:r>
      <w:r w:rsidRPr="00DC7790">
        <w:rPr>
          <w:b w:val="0"/>
          <w:sz w:val="28"/>
          <w:szCs w:val="28"/>
          <w:u w:val="single"/>
        </w:rPr>
        <w:t xml:space="preserve"> in private practice shall inform the client in writing, prior to or at the commencement of the </w:t>
      </w:r>
      <w:r w:rsidR="00EE2F52">
        <w:rPr>
          <w:b w:val="0"/>
          <w:sz w:val="28"/>
          <w:szCs w:val="28"/>
          <w:u w:val="single"/>
        </w:rPr>
        <w:t xml:space="preserve"> representation</w:t>
      </w:r>
      <w:r w:rsidRPr="00DC7790">
        <w:rPr>
          <w:b w:val="0"/>
          <w:sz w:val="28"/>
          <w:szCs w:val="28"/>
          <w:u w:val="single"/>
        </w:rPr>
        <w:t xml:space="preserve">, if they do not have professional liability insurance.  If notice has not been provided at or before the commencement of the </w:t>
      </w:r>
      <w:r w:rsidR="00EE2F52">
        <w:rPr>
          <w:b w:val="0"/>
          <w:sz w:val="28"/>
          <w:szCs w:val="28"/>
          <w:u w:val="single"/>
        </w:rPr>
        <w:t xml:space="preserve"> representation</w:t>
      </w:r>
      <w:r w:rsidRPr="00DC7790">
        <w:rPr>
          <w:b w:val="0"/>
          <w:sz w:val="28"/>
          <w:szCs w:val="28"/>
          <w:u w:val="single"/>
        </w:rPr>
        <w:t>, the lawyer</w:t>
      </w:r>
      <w:r w:rsidR="000E3A0B">
        <w:rPr>
          <w:b w:val="0"/>
          <w:sz w:val="28"/>
          <w:szCs w:val="28"/>
          <w:u w:val="single"/>
        </w:rPr>
        <w:t>/legal paraprofessional</w:t>
      </w:r>
      <w:r w:rsidRPr="00DC7790">
        <w:rPr>
          <w:b w:val="0"/>
          <w:sz w:val="28"/>
          <w:szCs w:val="28"/>
          <w:u w:val="single"/>
        </w:rPr>
        <w:t xml:space="preserve"> shall inform the client in writing within thirty (30) days of the date the lawyer</w:t>
      </w:r>
      <w:r w:rsidR="000E3A0B">
        <w:rPr>
          <w:b w:val="0"/>
          <w:sz w:val="28"/>
          <w:szCs w:val="28"/>
          <w:u w:val="single"/>
        </w:rPr>
        <w:t>/legal paraprofessional</w:t>
      </w:r>
      <w:r w:rsidRPr="00DC7790">
        <w:rPr>
          <w:b w:val="0"/>
          <w:sz w:val="28"/>
          <w:szCs w:val="28"/>
          <w:u w:val="single"/>
        </w:rPr>
        <w:t xml:space="preserve"> knows that the lawyer</w:t>
      </w:r>
      <w:r w:rsidR="000E3A0B">
        <w:rPr>
          <w:b w:val="0"/>
          <w:sz w:val="28"/>
          <w:szCs w:val="28"/>
          <w:u w:val="single"/>
        </w:rPr>
        <w:t>/legal paraprofessional</w:t>
      </w:r>
      <w:r w:rsidRPr="00DC7790">
        <w:rPr>
          <w:b w:val="0"/>
          <w:sz w:val="28"/>
          <w:szCs w:val="28"/>
          <w:u w:val="single"/>
        </w:rPr>
        <w:t xml:space="preserve"> no longer has professional liability insurance during the </w:t>
      </w:r>
      <w:r w:rsidR="00EE2F52">
        <w:rPr>
          <w:b w:val="0"/>
          <w:sz w:val="28"/>
          <w:szCs w:val="28"/>
          <w:u w:val="single"/>
        </w:rPr>
        <w:t xml:space="preserve"> representation</w:t>
      </w:r>
      <w:r w:rsidRPr="00DC7790">
        <w:rPr>
          <w:b w:val="0"/>
          <w:sz w:val="28"/>
          <w:szCs w:val="28"/>
          <w:u w:val="single"/>
        </w:rPr>
        <w:t>.</w:t>
      </w:r>
    </w:p>
    <w:p w14:paraId="3DC7AF33" w14:textId="77777777" w:rsidR="00782DD7" w:rsidRPr="00DC7790" w:rsidRDefault="00782DD7" w:rsidP="00933EA1">
      <w:pPr>
        <w:rPr>
          <w:sz w:val="28"/>
          <w:szCs w:val="28"/>
        </w:rPr>
      </w:pPr>
    </w:p>
    <w:p w14:paraId="45E6AB20" w14:textId="77777777" w:rsidR="00052372" w:rsidRPr="00DC7790" w:rsidRDefault="00052372" w:rsidP="00933EA1">
      <w:pPr>
        <w:tabs>
          <w:tab w:val="left" w:pos="8145"/>
        </w:tabs>
        <w:rPr>
          <w:sz w:val="28"/>
          <w:szCs w:val="28"/>
        </w:rPr>
      </w:pPr>
    </w:p>
    <w:sectPr w:rsidR="00052372" w:rsidRPr="00DC7790" w:rsidSect="00256255">
      <w:headerReference w:type="default" r:id="rId8"/>
      <w:footerReference w:type="even" r:id="rId9"/>
      <w:footerReference w:type="default" r:id="rId10"/>
      <w:pgSz w:w="12240" w:h="15840" w:code="1"/>
      <w:pgMar w:top="0" w:right="1440" w:bottom="108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387C" w14:textId="77777777" w:rsidR="000D481F" w:rsidRDefault="000D481F">
      <w:r>
        <w:separator/>
      </w:r>
    </w:p>
  </w:endnote>
  <w:endnote w:type="continuationSeparator" w:id="0">
    <w:p w14:paraId="45DCF2CF" w14:textId="77777777" w:rsidR="000D481F" w:rsidRDefault="000D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E990" w14:textId="77777777" w:rsidR="000D481F" w:rsidRDefault="000D481F">
      <w:r>
        <w:separator/>
      </w:r>
    </w:p>
  </w:footnote>
  <w:footnote w:type="continuationSeparator" w:id="0">
    <w:p w14:paraId="33DC9F36" w14:textId="77777777" w:rsidR="000D481F" w:rsidRDefault="000D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083CF"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8B32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BFFA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ED50ED7"/>
    <w:multiLevelType w:val="hybridMultilevel"/>
    <w:tmpl w:val="1E282BE4"/>
    <w:lvl w:ilvl="0" w:tplc="A03A676C">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740182">
    <w:abstractNumId w:val="11"/>
  </w:num>
  <w:num w:numId="2" w16cid:durableId="833225573">
    <w:abstractNumId w:val="12"/>
  </w:num>
  <w:num w:numId="3" w16cid:durableId="1495872856">
    <w:abstractNumId w:val="0"/>
  </w:num>
  <w:num w:numId="4" w16cid:durableId="1840197258">
    <w:abstractNumId w:val="4"/>
  </w:num>
  <w:num w:numId="5" w16cid:durableId="90245610">
    <w:abstractNumId w:val="6"/>
  </w:num>
  <w:num w:numId="6" w16cid:durableId="1123572542">
    <w:abstractNumId w:val="7"/>
  </w:num>
  <w:num w:numId="7" w16cid:durableId="1501579497">
    <w:abstractNumId w:val="1"/>
  </w:num>
  <w:num w:numId="8" w16cid:durableId="522089002">
    <w:abstractNumId w:val="14"/>
  </w:num>
  <w:num w:numId="9" w16cid:durableId="165560816">
    <w:abstractNumId w:val="8"/>
  </w:num>
  <w:num w:numId="10" w16cid:durableId="1550921082">
    <w:abstractNumId w:val="10"/>
  </w:num>
  <w:num w:numId="11" w16cid:durableId="38170949">
    <w:abstractNumId w:val="9"/>
  </w:num>
  <w:num w:numId="12" w16cid:durableId="1304963837">
    <w:abstractNumId w:val="5"/>
  </w:num>
  <w:num w:numId="13" w16cid:durableId="755517460">
    <w:abstractNumId w:val="2"/>
  </w:num>
  <w:num w:numId="14" w16cid:durableId="1038773204">
    <w:abstractNumId w:val="3"/>
  </w:num>
  <w:num w:numId="15" w16cid:durableId="718744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B5869"/>
    <w:rsid w:val="000C48A9"/>
    <w:rsid w:val="000D481F"/>
    <w:rsid w:val="000E3A0B"/>
    <w:rsid w:val="000F7A7F"/>
    <w:rsid w:val="000F7C13"/>
    <w:rsid w:val="00135326"/>
    <w:rsid w:val="001A2520"/>
    <w:rsid w:val="001F591C"/>
    <w:rsid w:val="00256255"/>
    <w:rsid w:val="00274D6A"/>
    <w:rsid w:val="00352347"/>
    <w:rsid w:val="003566D6"/>
    <w:rsid w:val="00357F4D"/>
    <w:rsid w:val="003617D1"/>
    <w:rsid w:val="00377199"/>
    <w:rsid w:val="003A28AC"/>
    <w:rsid w:val="003E5C39"/>
    <w:rsid w:val="003F5017"/>
    <w:rsid w:val="00407E2D"/>
    <w:rsid w:val="004331B2"/>
    <w:rsid w:val="00440E4C"/>
    <w:rsid w:val="004604DC"/>
    <w:rsid w:val="00463734"/>
    <w:rsid w:val="00494BDF"/>
    <w:rsid w:val="004C3AE3"/>
    <w:rsid w:val="004D78A5"/>
    <w:rsid w:val="00504E1E"/>
    <w:rsid w:val="00506859"/>
    <w:rsid w:val="00520F93"/>
    <w:rsid w:val="00566856"/>
    <w:rsid w:val="005845AE"/>
    <w:rsid w:val="005A21B0"/>
    <w:rsid w:val="005B5161"/>
    <w:rsid w:val="005D6AD4"/>
    <w:rsid w:val="00625DD5"/>
    <w:rsid w:val="006338C1"/>
    <w:rsid w:val="00636F5E"/>
    <w:rsid w:val="00663592"/>
    <w:rsid w:val="00665CCF"/>
    <w:rsid w:val="006666D1"/>
    <w:rsid w:val="006721EC"/>
    <w:rsid w:val="006766BF"/>
    <w:rsid w:val="00692391"/>
    <w:rsid w:val="006932BA"/>
    <w:rsid w:val="006B4F9A"/>
    <w:rsid w:val="006B75DF"/>
    <w:rsid w:val="006F63FD"/>
    <w:rsid w:val="00732169"/>
    <w:rsid w:val="00735659"/>
    <w:rsid w:val="007427C6"/>
    <w:rsid w:val="007477DE"/>
    <w:rsid w:val="0077110E"/>
    <w:rsid w:val="00782DD7"/>
    <w:rsid w:val="007870CB"/>
    <w:rsid w:val="007A3F0F"/>
    <w:rsid w:val="007D5C49"/>
    <w:rsid w:val="007D73FF"/>
    <w:rsid w:val="007E3CCB"/>
    <w:rsid w:val="008006ED"/>
    <w:rsid w:val="00803FC5"/>
    <w:rsid w:val="00822598"/>
    <w:rsid w:val="008360A1"/>
    <w:rsid w:val="00861563"/>
    <w:rsid w:val="00865DA4"/>
    <w:rsid w:val="00871AAA"/>
    <w:rsid w:val="00876F57"/>
    <w:rsid w:val="00891AAA"/>
    <w:rsid w:val="008A4EB3"/>
    <w:rsid w:val="00933EA1"/>
    <w:rsid w:val="00951416"/>
    <w:rsid w:val="00960D21"/>
    <w:rsid w:val="00981D29"/>
    <w:rsid w:val="00981E11"/>
    <w:rsid w:val="00A058A5"/>
    <w:rsid w:val="00A10318"/>
    <w:rsid w:val="00A1564B"/>
    <w:rsid w:val="00A40845"/>
    <w:rsid w:val="00A43C3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C1766"/>
    <w:rsid w:val="00CD21FB"/>
    <w:rsid w:val="00D423FE"/>
    <w:rsid w:val="00D442E4"/>
    <w:rsid w:val="00D60D9B"/>
    <w:rsid w:val="00D80EDC"/>
    <w:rsid w:val="00DC7790"/>
    <w:rsid w:val="00DF4F15"/>
    <w:rsid w:val="00E047D3"/>
    <w:rsid w:val="00E266B7"/>
    <w:rsid w:val="00E321C5"/>
    <w:rsid w:val="00E5772B"/>
    <w:rsid w:val="00E67511"/>
    <w:rsid w:val="00E81026"/>
    <w:rsid w:val="00E82D0F"/>
    <w:rsid w:val="00E950B5"/>
    <w:rsid w:val="00EE2F52"/>
    <w:rsid w:val="00F05879"/>
    <w:rsid w:val="00F06F5B"/>
    <w:rsid w:val="00F2485D"/>
    <w:rsid w:val="00F33926"/>
    <w:rsid w:val="00F60C61"/>
    <w:rsid w:val="00F64B52"/>
    <w:rsid w:val="00F716CD"/>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uiPriority w:val="10"/>
    <w:qFormat/>
    <w:rsid w:val="00E82D0F"/>
    <w:pPr>
      <w:spacing w:line="240" w:lineRule="auto"/>
      <w:jc w:val="center"/>
    </w:pPr>
    <w:rPr>
      <w:b/>
      <w:bCs/>
      <w:sz w:val="24"/>
      <w:szCs w:val="24"/>
    </w:rPr>
  </w:style>
  <w:style w:type="character" w:customStyle="1" w:styleId="TitleChar">
    <w:name w:val="Title Char"/>
    <w:link w:val="Title"/>
    <w:uiPriority w:val="10"/>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EE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7203-EEDC-4E63-B494-040BFBDD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TotalTime>
  <Pages>6</Pages>
  <Words>1008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2023-03-17T18:36:00Z</dcterms:created>
  <dcterms:modified xsi:type="dcterms:W3CDTF">2023-03-17T18:37:00Z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