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2EB9" w14:textId="77777777" w:rsidR="00695527" w:rsidRDefault="00695527" w:rsidP="00695527">
      <w:pPr>
        <w:spacing w:after="0" w:line="240" w:lineRule="auto"/>
        <w:rPr>
          <w:rFonts w:ascii="Times New Roman" w:hAnsi="Times New Roman" w:cs="Times New Roman"/>
          <w:sz w:val="28"/>
          <w:szCs w:val="28"/>
        </w:rPr>
      </w:pPr>
      <w:r>
        <w:rPr>
          <w:rFonts w:ascii="Times New Roman" w:hAnsi="Times New Roman" w:cs="Times New Roman"/>
          <w:sz w:val="28"/>
          <w:szCs w:val="28"/>
        </w:rPr>
        <w:t>Jerry G. Landau</w:t>
      </w:r>
    </w:p>
    <w:p w14:paraId="78282F9B" w14:textId="1F44647F" w:rsidR="789DF921" w:rsidRDefault="789DF921" w:rsidP="22F46ACD">
      <w:pPr>
        <w:spacing w:after="0" w:line="240" w:lineRule="auto"/>
        <w:rPr>
          <w:rFonts w:ascii="Times New Roman" w:hAnsi="Times New Roman" w:cs="Times New Roman"/>
          <w:sz w:val="28"/>
          <w:szCs w:val="28"/>
        </w:rPr>
      </w:pPr>
      <w:r w:rsidRPr="22F46ACD">
        <w:rPr>
          <w:rFonts w:ascii="Times New Roman" w:hAnsi="Times New Roman" w:cs="Times New Roman"/>
          <w:sz w:val="28"/>
          <w:szCs w:val="28"/>
        </w:rPr>
        <w:t>Special Projects Consultant</w:t>
      </w:r>
    </w:p>
    <w:p w14:paraId="2780E0C3" w14:textId="77777777" w:rsidR="00695527" w:rsidRDefault="00695527" w:rsidP="00695527">
      <w:pPr>
        <w:spacing w:after="0" w:line="240" w:lineRule="auto"/>
        <w:rPr>
          <w:rFonts w:ascii="Times New Roman" w:hAnsi="Times New Roman" w:cs="Times New Roman"/>
          <w:sz w:val="28"/>
          <w:szCs w:val="28"/>
        </w:rPr>
      </w:pPr>
      <w:r>
        <w:rPr>
          <w:rFonts w:ascii="Times New Roman" w:hAnsi="Times New Roman" w:cs="Times New Roman"/>
          <w:sz w:val="28"/>
          <w:szCs w:val="28"/>
        </w:rPr>
        <w:t>Administrative Office of the Courts</w:t>
      </w:r>
    </w:p>
    <w:p w14:paraId="65AD1FA5" w14:textId="75F83DB4" w:rsidR="0077444B" w:rsidRDefault="07D3DAF8" w:rsidP="22F46ACD">
      <w:pPr>
        <w:spacing w:after="0" w:line="240" w:lineRule="auto"/>
        <w:rPr>
          <w:rFonts w:ascii="Times New Roman" w:hAnsi="Times New Roman" w:cs="Times New Roman"/>
          <w:sz w:val="28"/>
          <w:szCs w:val="28"/>
        </w:rPr>
      </w:pPr>
      <w:r w:rsidRPr="22F46ACD">
        <w:rPr>
          <w:rFonts w:ascii="Times New Roman" w:hAnsi="Times New Roman" w:cs="Times New Roman"/>
          <w:sz w:val="28"/>
          <w:szCs w:val="28"/>
        </w:rPr>
        <w:t xml:space="preserve">Chair, Fentanyl and Toxic Evidence Task Force </w:t>
      </w:r>
    </w:p>
    <w:p w14:paraId="163B6053" w14:textId="112D1CA4" w:rsidR="00695527" w:rsidRDefault="00695527" w:rsidP="00695527">
      <w:pPr>
        <w:spacing w:after="0" w:line="240" w:lineRule="auto"/>
        <w:rPr>
          <w:rFonts w:ascii="Times New Roman" w:hAnsi="Times New Roman" w:cs="Times New Roman"/>
          <w:sz w:val="28"/>
          <w:szCs w:val="28"/>
        </w:rPr>
      </w:pPr>
      <w:r>
        <w:rPr>
          <w:rFonts w:ascii="Times New Roman" w:hAnsi="Times New Roman" w:cs="Times New Roman"/>
          <w:sz w:val="28"/>
          <w:szCs w:val="28"/>
        </w:rPr>
        <w:t>1501 W. Washington</w:t>
      </w:r>
    </w:p>
    <w:p w14:paraId="7EEB1CF3" w14:textId="77777777" w:rsidR="00695527" w:rsidRDefault="00695527" w:rsidP="00695527">
      <w:pPr>
        <w:spacing w:after="0" w:line="240" w:lineRule="auto"/>
        <w:rPr>
          <w:rFonts w:ascii="Times New Roman" w:hAnsi="Times New Roman" w:cs="Times New Roman"/>
          <w:sz w:val="28"/>
          <w:szCs w:val="28"/>
        </w:rPr>
      </w:pPr>
      <w:r>
        <w:rPr>
          <w:rFonts w:ascii="Times New Roman" w:hAnsi="Times New Roman" w:cs="Times New Roman"/>
          <w:sz w:val="28"/>
          <w:szCs w:val="28"/>
        </w:rPr>
        <w:t>Phoenix, AZ 85007</w:t>
      </w:r>
    </w:p>
    <w:p w14:paraId="1CC29D73" w14:textId="7EB6C2F8" w:rsidR="00695527" w:rsidRDefault="00695527" w:rsidP="00695527">
      <w:pPr>
        <w:spacing w:after="0" w:line="240" w:lineRule="auto"/>
        <w:rPr>
          <w:rFonts w:ascii="Times New Roman" w:hAnsi="Times New Roman" w:cs="Times New Roman"/>
          <w:sz w:val="28"/>
          <w:szCs w:val="28"/>
        </w:rPr>
      </w:pPr>
      <w:r>
        <w:rPr>
          <w:rFonts w:ascii="Times New Roman" w:hAnsi="Times New Roman" w:cs="Times New Roman"/>
          <w:sz w:val="28"/>
          <w:szCs w:val="28"/>
        </w:rPr>
        <w:t>(602) 452-</w:t>
      </w:r>
      <w:r w:rsidR="14838401" w:rsidRPr="22F46ACD">
        <w:rPr>
          <w:rFonts w:ascii="Times New Roman" w:hAnsi="Times New Roman" w:cs="Times New Roman"/>
          <w:sz w:val="28"/>
          <w:szCs w:val="28"/>
        </w:rPr>
        <w:t>3361</w:t>
      </w:r>
    </w:p>
    <w:p w14:paraId="711F1253" w14:textId="77777777" w:rsidR="00695527" w:rsidRPr="0056260F" w:rsidRDefault="00594A87" w:rsidP="00695527">
      <w:pPr>
        <w:spacing w:after="0" w:line="240" w:lineRule="auto"/>
        <w:rPr>
          <w:rFonts w:ascii="Times New Roman" w:hAnsi="Times New Roman" w:cs="Times New Roman"/>
          <w:sz w:val="28"/>
          <w:szCs w:val="28"/>
        </w:rPr>
      </w:pPr>
      <w:hyperlink r:id="rId10" w:history="1">
        <w:r w:rsidR="00695527" w:rsidRPr="00102170">
          <w:rPr>
            <w:rStyle w:val="Hyperlink"/>
            <w:rFonts w:ascii="Times New Roman" w:hAnsi="Times New Roman" w:cs="Times New Roman"/>
            <w:sz w:val="28"/>
            <w:szCs w:val="28"/>
          </w:rPr>
          <w:t>JLandau@courts.az.gov</w:t>
        </w:r>
      </w:hyperlink>
    </w:p>
    <w:p w14:paraId="500EFA47" w14:textId="77777777" w:rsidR="00695527" w:rsidRDefault="00695527" w:rsidP="00695527">
      <w:pPr>
        <w:spacing w:after="0" w:line="240" w:lineRule="auto"/>
        <w:rPr>
          <w:rFonts w:ascii="Times New Roman" w:hAnsi="Times New Roman" w:cs="Times New Roman"/>
          <w:sz w:val="28"/>
          <w:szCs w:val="28"/>
        </w:rPr>
      </w:pPr>
    </w:p>
    <w:p w14:paraId="69A46702" w14:textId="77777777" w:rsidR="00695527" w:rsidRDefault="00695527" w:rsidP="00695527">
      <w:pPr>
        <w:spacing w:after="0" w:line="240" w:lineRule="auto"/>
        <w:rPr>
          <w:rFonts w:ascii="Times New Roman" w:hAnsi="Times New Roman" w:cs="Times New Roman"/>
          <w:sz w:val="28"/>
          <w:szCs w:val="28"/>
        </w:rPr>
      </w:pPr>
    </w:p>
    <w:p w14:paraId="6310A32C" w14:textId="77777777" w:rsidR="00695527" w:rsidRPr="0056260F" w:rsidRDefault="00695527" w:rsidP="00695527">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IN THE SUPREME COURT</w:t>
      </w:r>
    </w:p>
    <w:p w14:paraId="1050BAF6" w14:textId="77777777" w:rsidR="00695527" w:rsidRDefault="00695527" w:rsidP="00695527">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STATE OF ARIZONA</w:t>
      </w:r>
    </w:p>
    <w:tbl>
      <w:tblPr>
        <w:tblStyle w:val="TableGrid"/>
        <w:tblW w:w="0" w:type="auto"/>
        <w:tblLook w:val="04A0" w:firstRow="1" w:lastRow="0" w:firstColumn="1" w:lastColumn="0" w:noHBand="0" w:noVBand="1"/>
      </w:tblPr>
      <w:tblGrid>
        <w:gridCol w:w="4675"/>
        <w:gridCol w:w="4675"/>
      </w:tblGrid>
      <w:tr w:rsidR="00695527" w14:paraId="381CCF08" w14:textId="77777777" w:rsidTr="006303F1">
        <w:tc>
          <w:tcPr>
            <w:tcW w:w="4675" w:type="dxa"/>
            <w:tcBorders>
              <w:top w:val="nil"/>
              <w:left w:val="nil"/>
            </w:tcBorders>
          </w:tcPr>
          <w:p w14:paraId="04211908" w14:textId="77777777" w:rsidR="00695527" w:rsidRDefault="00695527" w:rsidP="006303F1">
            <w:pPr>
              <w:rPr>
                <w:rFonts w:ascii="Times New Roman" w:hAnsi="Times New Roman" w:cs="Times New Roman"/>
                <w:sz w:val="28"/>
                <w:szCs w:val="28"/>
                <w:u w:val="single"/>
              </w:rPr>
            </w:pPr>
            <w:r>
              <w:rPr>
                <w:rFonts w:ascii="Times New Roman" w:hAnsi="Times New Roman" w:cs="Times New Roman"/>
                <w:sz w:val="28"/>
                <w:szCs w:val="28"/>
              </w:rPr>
              <w:t xml:space="preserve">In the Matter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4C9FB16" w14:textId="77777777" w:rsidR="00695527" w:rsidRPr="0056260F" w:rsidRDefault="00695527" w:rsidP="006303F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3B230CA" w14:textId="77777777" w:rsidR="00695527" w:rsidRPr="00F13C56" w:rsidRDefault="00695527" w:rsidP="006303F1">
            <w:pPr>
              <w:rPr>
                <w:rFonts w:ascii="Times New Roman" w:hAnsi="Times New Roman" w:cs="Times New Roman"/>
                <w:sz w:val="28"/>
                <w:szCs w:val="28"/>
              </w:rPr>
            </w:pPr>
            <w:r w:rsidRPr="00F13C56">
              <w:rPr>
                <w:rFonts w:ascii="Times New Roman" w:hAnsi="Times New Roman" w:cs="Times New Roman"/>
                <w:sz w:val="28"/>
                <w:szCs w:val="28"/>
              </w:rPr>
              <w:t>PETITION TO AMEND RULE</w:t>
            </w:r>
            <w:r>
              <w:rPr>
                <w:rFonts w:ascii="Times New Roman" w:hAnsi="Times New Roman" w:cs="Times New Roman"/>
                <w:sz w:val="28"/>
                <w:szCs w:val="28"/>
              </w:rPr>
              <w:t xml:space="preserve"> 611</w:t>
            </w:r>
            <w:r w:rsidRPr="00F13C56">
              <w:rPr>
                <w:rFonts w:ascii="Times New Roman" w:hAnsi="Times New Roman" w:cs="Times New Roman"/>
                <w:sz w:val="28"/>
                <w:szCs w:val="28"/>
              </w:rPr>
              <w:tab/>
            </w:r>
          </w:p>
          <w:p w14:paraId="76069F41" w14:textId="77777777" w:rsidR="00695527" w:rsidRPr="003371A0" w:rsidRDefault="00695527" w:rsidP="006303F1">
            <w:pPr>
              <w:rPr>
                <w:rFonts w:ascii="Times New Roman" w:hAnsi="Times New Roman" w:cs="Times New Roman"/>
                <w:sz w:val="28"/>
                <w:szCs w:val="28"/>
              </w:rPr>
            </w:pPr>
            <w:r>
              <w:rPr>
                <w:rFonts w:ascii="Times New Roman" w:hAnsi="Times New Roman" w:cs="Times New Roman"/>
                <w:sz w:val="28"/>
                <w:szCs w:val="28"/>
              </w:rPr>
              <w:t xml:space="preserve">ARIZONA </w:t>
            </w:r>
            <w:r w:rsidRPr="3A75C0C5">
              <w:rPr>
                <w:rFonts w:ascii="Times New Roman" w:hAnsi="Times New Roman" w:cs="Times New Roman"/>
                <w:sz w:val="28"/>
                <w:szCs w:val="28"/>
              </w:rPr>
              <w:t>RULE</w:t>
            </w:r>
            <w:r>
              <w:rPr>
                <w:rFonts w:ascii="Times New Roman" w:hAnsi="Times New Roman" w:cs="Times New Roman"/>
                <w:sz w:val="28"/>
                <w:szCs w:val="28"/>
              </w:rPr>
              <w:t>S</w:t>
            </w:r>
            <w:r w:rsidRPr="3A75C0C5">
              <w:rPr>
                <w:rFonts w:ascii="Times New Roman" w:hAnsi="Times New Roman" w:cs="Times New Roman"/>
                <w:sz w:val="28"/>
                <w:szCs w:val="28"/>
              </w:rPr>
              <w:t xml:space="preserve"> OF EVIDENCE </w:t>
            </w:r>
          </w:p>
          <w:p w14:paraId="771873B3" w14:textId="77777777" w:rsidR="00695527" w:rsidRDefault="00695527" w:rsidP="006303F1">
            <w:pPr>
              <w:rPr>
                <w:rFonts w:ascii="Times New Roman" w:hAnsi="Times New Roman" w:cs="Times New Roman"/>
                <w:sz w:val="28"/>
                <w:szCs w:val="28"/>
              </w:rPr>
            </w:pPr>
          </w:p>
        </w:tc>
        <w:tc>
          <w:tcPr>
            <w:tcW w:w="4675" w:type="dxa"/>
            <w:tcBorders>
              <w:top w:val="nil"/>
              <w:bottom w:val="nil"/>
              <w:right w:val="nil"/>
            </w:tcBorders>
          </w:tcPr>
          <w:p w14:paraId="001B9A3C" w14:textId="77777777" w:rsidR="00695527" w:rsidRDefault="00695527" w:rsidP="006303F1">
            <w:pPr>
              <w:rPr>
                <w:rFonts w:ascii="Times New Roman" w:hAnsi="Times New Roman" w:cs="Times New Roman"/>
                <w:sz w:val="28"/>
                <w:szCs w:val="28"/>
                <w:u w:val="single"/>
              </w:rPr>
            </w:pPr>
            <w:r w:rsidRPr="3A75C0C5">
              <w:rPr>
                <w:rFonts w:ascii="Times New Roman" w:hAnsi="Times New Roman" w:cs="Times New Roman"/>
                <w:sz w:val="28"/>
                <w:szCs w:val="28"/>
              </w:rPr>
              <w:t xml:space="preserve">  Supreme Court No. R-23-</w:t>
            </w:r>
            <w:r>
              <w:tab/>
            </w:r>
          </w:p>
          <w:p w14:paraId="3DF89B2E" w14:textId="77777777" w:rsidR="00695527" w:rsidRDefault="00695527" w:rsidP="006303F1">
            <w:pPr>
              <w:rPr>
                <w:rFonts w:ascii="Times New Roman" w:hAnsi="Times New Roman" w:cs="Times New Roman"/>
                <w:sz w:val="28"/>
                <w:szCs w:val="28"/>
                <w:u w:val="single"/>
              </w:rPr>
            </w:pPr>
          </w:p>
          <w:p w14:paraId="05661413" w14:textId="77777777" w:rsidR="00695527" w:rsidRPr="00F13C56" w:rsidRDefault="00695527" w:rsidP="006303F1">
            <w:pPr>
              <w:rPr>
                <w:rFonts w:ascii="Times New Roman" w:hAnsi="Times New Roman" w:cs="Times New Roman"/>
                <w:sz w:val="28"/>
                <w:szCs w:val="28"/>
              </w:rPr>
            </w:pPr>
            <w:r w:rsidRPr="00F13C56">
              <w:rPr>
                <w:rFonts w:ascii="Times New Roman" w:hAnsi="Times New Roman" w:cs="Times New Roman"/>
                <w:sz w:val="28"/>
                <w:szCs w:val="28"/>
              </w:rPr>
              <w:t xml:space="preserve">   RULE 28 PETITION</w:t>
            </w:r>
          </w:p>
        </w:tc>
      </w:tr>
    </w:tbl>
    <w:p w14:paraId="443F2D3D" w14:textId="77777777" w:rsidR="00695527" w:rsidRDefault="00695527" w:rsidP="00695527">
      <w:pPr>
        <w:spacing w:after="0" w:line="240" w:lineRule="auto"/>
        <w:rPr>
          <w:rFonts w:ascii="Times New Roman" w:hAnsi="Times New Roman" w:cs="Times New Roman"/>
          <w:sz w:val="28"/>
          <w:szCs w:val="28"/>
        </w:rPr>
      </w:pPr>
    </w:p>
    <w:p w14:paraId="46B75401" w14:textId="77777777" w:rsidR="00695527" w:rsidRDefault="00695527" w:rsidP="0069552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Pursuant to Rule 28, Rules of the Supreme Court of Arizona, the Task Force </w:t>
      </w:r>
      <w:r w:rsidRPr="004E47A5">
        <w:rPr>
          <w:rFonts w:ascii="Times New Roman" w:hAnsi="Times New Roman" w:cs="Times New Roman"/>
          <w:sz w:val="28"/>
          <w:szCs w:val="28"/>
        </w:rPr>
        <w:t>to Create Guidelines for the Handling of Fentanyl Evidence and Other Toxic Evidence in the Courthouse</w:t>
      </w:r>
      <w:r>
        <w:rPr>
          <w:rFonts w:ascii="Times New Roman" w:hAnsi="Times New Roman" w:cs="Times New Roman"/>
          <w:sz w:val="28"/>
          <w:szCs w:val="28"/>
        </w:rPr>
        <w:t xml:space="preserve"> (“Task Force”) respectfully petitions this Court to amend Rule 611, </w:t>
      </w:r>
      <w:r w:rsidRPr="22F46ACD">
        <w:rPr>
          <w:rFonts w:ascii="Times New Roman" w:hAnsi="Times New Roman" w:cs="Times New Roman"/>
          <w:sz w:val="28"/>
          <w:szCs w:val="28"/>
        </w:rPr>
        <w:t>Rules of Evidence</w:t>
      </w:r>
      <w:r>
        <w:rPr>
          <w:rFonts w:ascii="Times New Roman" w:hAnsi="Times New Roman" w:cs="Times New Roman"/>
          <w:sz w:val="28"/>
          <w:szCs w:val="28"/>
        </w:rPr>
        <w:t xml:space="preserve"> </w:t>
      </w:r>
      <w:r w:rsidRPr="22F46ACD">
        <w:rPr>
          <w:rFonts w:ascii="Times New Roman" w:hAnsi="Times New Roman" w:cs="Times New Roman"/>
          <w:sz w:val="28"/>
          <w:szCs w:val="28"/>
        </w:rPr>
        <w:t>for Courts in the State of Arizona</w:t>
      </w:r>
      <w:r>
        <w:rPr>
          <w:rFonts w:ascii="Times New Roman" w:hAnsi="Times New Roman" w:cs="Times New Roman"/>
          <w:sz w:val="28"/>
          <w:szCs w:val="28"/>
        </w:rPr>
        <w:t>, by adding a new subsection (d) concerning hazardous evidence in the courtroom.</w:t>
      </w:r>
    </w:p>
    <w:p w14:paraId="021E71D9" w14:textId="77777777" w:rsidR="00695527" w:rsidRDefault="00695527" w:rsidP="00695527">
      <w:pPr>
        <w:pStyle w:val="ListParagraph"/>
        <w:numPr>
          <w:ilvl w:val="0"/>
          <w:numId w:val="1"/>
        </w:numPr>
        <w:spacing w:after="0"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Introduction and Background</w:t>
      </w:r>
    </w:p>
    <w:p w14:paraId="6502503F" w14:textId="5C89A459" w:rsidR="00695527" w:rsidRDefault="00695527" w:rsidP="00695527">
      <w:pPr>
        <w:spacing w:after="0" w:line="480" w:lineRule="auto"/>
        <w:ind w:firstLine="720"/>
        <w:jc w:val="both"/>
        <w:rPr>
          <w:rFonts w:ascii="Times New Roman" w:hAnsi="Times New Roman" w:cs="Times New Roman"/>
          <w:sz w:val="28"/>
          <w:szCs w:val="28"/>
        </w:rPr>
      </w:pPr>
      <w:r w:rsidRPr="004846EE">
        <w:rPr>
          <w:rFonts w:ascii="Times New Roman" w:hAnsi="Times New Roman" w:cs="Times New Roman"/>
          <w:sz w:val="28"/>
          <w:szCs w:val="28"/>
        </w:rPr>
        <w:t xml:space="preserve">The Center for Disease Control’s National Institute for Occupational Safety and Health has identified emergency responders and healthcare workers as at-risk groups for exposure to fentanyl and its analogs. Guidance </w:t>
      </w:r>
      <w:r w:rsidR="0EA41ADC" w:rsidRPr="22F46ACD">
        <w:rPr>
          <w:rFonts w:ascii="Times New Roman" w:hAnsi="Times New Roman" w:cs="Times New Roman"/>
          <w:sz w:val="28"/>
          <w:szCs w:val="28"/>
        </w:rPr>
        <w:t>on</w:t>
      </w:r>
      <w:r w:rsidRPr="004846EE">
        <w:rPr>
          <w:rFonts w:ascii="Times New Roman" w:hAnsi="Times New Roman" w:cs="Times New Roman"/>
          <w:sz w:val="28"/>
          <w:szCs w:val="28"/>
        </w:rPr>
        <w:t xml:space="preserve"> standard operating procedures, training, personal protective equipment, and other relevant information </w:t>
      </w:r>
      <w:r w:rsidRPr="004846EE">
        <w:rPr>
          <w:rFonts w:ascii="Times New Roman" w:hAnsi="Times New Roman" w:cs="Times New Roman"/>
          <w:sz w:val="28"/>
          <w:szCs w:val="28"/>
        </w:rPr>
        <w:lastRenderedPageBreak/>
        <w:t xml:space="preserve">for preventing occupational exposure to fentanyl and its analogs has already been developed for these identified groups. </w:t>
      </w:r>
      <w:r w:rsidR="20CF79C4" w:rsidRPr="22F46ACD">
        <w:rPr>
          <w:rFonts w:ascii="Times New Roman" w:hAnsi="Times New Roman" w:cs="Times New Roman"/>
          <w:sz w:val="28"/>
          <w:szCs w:val="28"/>
        </w:rPr>
        <w:t>However,</w:t>
      </w:r>
      <w:r w:rsidRPr="004846EE">
        <w:rPr>
          <w:rFonts w:ascii="Times New Roman" w:hAnsi="Times New Roman" w:cs="Times New Roman"/>
          <w:sz w:val="28"/>
          <w:szCs w:val="28"/>
        </w:rPr>
        <w:t xml:space="preserve"> little guidance</w:t>
      </w:r>
      <w:r w:rsidR="5C483050" w:rsidRPr="22F46ACD">
        <w:rPr>
          <w:rFonts w:ascii="Times New Roman" w:hAnsi="Times New Roman" w:cs="Times New Roman"/>
          <w:sz w:val="28"/>
          <w:szCs w:val="28"/>
        </w:rPr>
        <w:t xml:space="preserve"> has been</w:t>
      </w:r>
      <w:r w:rsidRPr="004846EE">
        <w:rPr>
          <w:rFonts w:ascii="Times New Roman" w:hAnsi="Times New Roman" w:cs="Times New Roman"/>
          <w:sz w:val="28"/>
          <w:szCs w:val="28"/>
        </w:rPr>
        <w:t xml:space="preserve"> issued for court personnel who may have to handle packaged evidence of fentanyl, </w:t>
      </w:r>
      <w:proofErr w:type="spellStart"/>
      <w:r w:rsidRPr="004846EE">
        <w:rPr>
          <w:rFonts w:ascii="Times New Roman" w:hAnsi="Times New Roman" w:cs="Times New Roman"/>
          <w:sz w:val="28"/>
          <w:szCs w:val="28"/>
        </w:rPr>
        <w:t>carfentanil</w:t>
      </w:r>
      <w:proofErr w:type="spellEnd"/>
      <w:r w:rsidRPr="004846EE">
        <w:rPr>
          <w:rFonts w:ascii="Times New Roman" w:hAnsi="Times New Roman" w:cs="Times New Roman"/>
          <w:sz w:val="28"/>
          <w:szCs w:val="28"/>
        </w:rPr>
        <w:t xml:space="preserve">, their analogs, or other toxic evidence. </w:t>
      </w:r>
      <w:r>
        <w:rPr>
          <w:rFonts w:ascii="Times New Roman" w:hAnsi="Times New Roman" w:cs="Times New Roman"/>
          <w:sz w:val="28"/>
          <w:szCs w:val="28"/>
        </w:rPr>
        <w:t xml:space="preserve">For the judicial branch, the “first responders’ are the judges, clerks of court, jurors, parties, witnesses, and the public.  </w:t>
      </w:r>
      <w:r w:rsidRPr="004846EE">
        <w:rPr>
          <w:rFonts w:ascii="Times New Roman" w:hAnsi="Times New Roman" w:cs="Times New Roman"/>
          <w:sz w:val="28"/>
          <w:szCs w:val="28"/>
        </w:rPr>
        <w:t>In 2019, the National Judicial Opioid Task Force released a briefing on the subject stating, “it is important for personnel who work in courthouses and other court-related facilities to accurately understand what this evidence is, what risks it presents, and to understand the policies and precautionary measures adopted by courts.”</w:t>
      </w:r>
    </w:p>
    <w:p w14:paraId="24CD667E" w14:textId="77777777" w:rsidR="00695527" w:rsidRDefault="00695527" w:rsidP="0069552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Established on June 15, 2022, by Administrative Order 2022-62, and extended by Administrative Order 2022-161, the Task Force was asked to create guidelines for handling Fentanyl and other toxic substances when they are presented as evidence in the courthouse. The Task Force members are comprised of court administrators, a clerk of court, the Department of Public Safety crime laboratory director, a county deputy legal advocate director, a county attorney, judicial officers from three different counties, a sheriff, and a legal advisor from a city police department. The policy questions presented to the Task Force were: </w:t>
      </w:r>
    </w:p>
    <w:p w14:paraId="76E1C5F0" w14:textId="77777777" w:rsidR="00695527" w:rsidRPr="00FA4986" w:rsidRDefault="00695527" w:rsidP="00695527">
      <w:pPr>
        <w:pStyle w:val="ListParagraph"/>
        <w:numPr>
          <w:ilvl w:val="1"/>
          <w:numId w:val="10"/>
        </w:numPr>
        <w:spacing w:after="0" w:line="240" w:lineRule="auto"/>
        <w:ind w:left="1080" w:right="720"/>
        <w:jc w:val="both"/>
        <w:rPr>
          <w:rFonts w:ascii="Times New Roman" w:hAnsi="Times New Roman" w:cs="Times New Roman"/>
          <w:sz w:val="28"/>
          <w:szCs w:val="28"/>
        </w:rPr>
      </w:pPr>
      <w:r w:rsidRPr="00FA4986">
        <w:rPr>
          <w:rFonts w:ascii="Times New Roman" w:hAnsi="Times New Roman" w:cs="Times New Roman"/>
          <w:sz w:val="28"/>
          <w:szCs w:val="28"/>
        </w:rPr>
        <w:t xml:space="preserve">Whether these drugs should be inspected and approved by designated court personnel before being allowed into a courthouse. </w:t>
      </w:r>
    </w:p>
    <w:p w14:paraId="4E73840B" w14:textId="77777777" w:rsidR="00695527" w:rsidRPr="00FA4986" w:rsidRDefault="00695527" w:rsidP="00695527">
      <w:pPr>
        <w:pStyle w:val="ListParagraph"/>
        <w:numPr>
          <w:ilvl w:val="1"/>
          <w:numId w:val="10"/>
        </w:numPr>
        <w:spacing w:after="0" w:line="240" w:lineRule="auto"/>
        <w:ind w:left="1080" w:right="720"/>
        <w:jc w:val="both"/>
        <w:rPr>
          <w:rFonts w:ascii="Times New Roman" w:hAnsi="Times New Roman" w:cs="Times New Roman"/>
          <w:sz w:val="28"/>
          <w:szCs w:val="28"/>
        </w:rPr>
      </w:pPr>
      <w:r w:rsidRPr="00FA4986">
        <w:rPr>
          <w:rFonts w:ascii="Times New Roman" w:hAnsi="Times New Roman" w:cs="Times New Roman"/>
          <w:sz w:val="28"/>
          <w:szCs w:val="28"/>
        </w:rPr>
        <w:t xml:space="preserve">Whether these packaged drugs must always remain in the exclusive possession of law enforcement personnel, except by approval of the court, and whether these drugs should be given to, or handled by, </w:t>
      </w:r>
      <w:r w:rsidRPr="00FA4986">
        <w:rPr>
          <w:rFonts w:ascii="Times New Roman" w:hAnsi="Times New Roman" w:cs="Times New Roman"/>
          <w:sz w:val="28"/>
          <w:szCs w:val="28"/>
        </w:rPr>
        <w:lastRenderedPageBreak/>
        <w:t xml:space="preserve">court personnel or others involved in judicial proceedings, including attorneys, witnesses, court clerks, and jurors. </w:t>
      </w:r>
    </w:p>
    <w:p w14:paraId="409D7D93" w14:textId="77777777" w:rsidR="00695527" w:rsidRPr="00FA4986" w:rsidRDefault="00695527" w:rsidP="00695527">
      <w:pPr>
        <w:pStyle w:val="ListParagraph"/>
        <w:numPr>
          <w:ilvl w:val="1"/>
          <w:numId w:val="10"/>
        </w:numPr>
        <w:spacing w:after="0" w:line="240" w:lineRule="auto"/>
        <w:ind w:left="1080" w:right="720"/>
        <w:jc w:val="both"/>
        <w:rPr>
          <w:rFonts w:ascii="Times New Roman" w:hAnsi="Times New Roman" w:cs="Times New Roman"/>
          <w:sz w:val="28"/>
          <w:szCs w:val="28"/>
        </w:rPr>
      </w:pPr>
      <w:r w:rsidRPr="00FA4986">
        <w:rPr>
          <w:rFonts w:ascii="Times New Roman" w:hAnsi="Times New Roman" w:cs="Times New Roman"/>
          <w:sz w:val="28"/>
          <w:szCs w:val="28"/>
        </w:rPr>
        <w:t xml:space="preserve">The protocols that should be adopted for handling of the packaging for these drugs. </w:t>
      </w:r>
    </w:p>
    <w:p w14:paraId="74E75999" w14:textId="77777777" w:rsidR="00695527" w:rsidRPr="00FA4986" w:rsidRDefault="00695527" w:rsidP="00695527">
      <w:pPr>
        <w:pStyle w:val="ListParagraph"/>
        <w:numPr>
          <w:ilvl w:val="1"/>
          <w:numId w:val="10"/>
        </w:numPr>
        <w:spacing w:after="0" w:line="240" w:lineRule="auto"/>
        <w:ind w:left="1080" w:right="720"/>
        <w:jc w:val="both"/>
        <w:rPr>
          <w:rFonts w:ascii="Times New Roman" w:hAnsi="Times New Roman" w:cs="Times New Roman"/>
          <w:sz w:val="28"/>
          <w:szCs w:val="28"/>
        </w:rPr>
      </w:pPr>
      <w:r w:rsidRPr="00FA4986">
        <w:rPr>
          <w:rFonts w:ascii="Times New Roman" w:hAnsi="Times New Roman" w:cs="Times New Roman"/>
          <w:sz w:val="28"/>
          <w:szCs w:val="28"/>
        </w:rPr>
        <w:t xml:space="preserve">Whether these drugs should remain in a courthouse or court-related facility during non-business hours. If court rules pertaining to the handling of exhibits prevent removal from the courthouse, policies on secure and safe storage should be established. </w:t>
      </w:r>
    </w:p>
    <w:p w14:paraId="6A6543AE" w14:textId="77777777" w:rsidR="00695527" w:rsidRPr="00FA4986" w:rsidRDefault="00695527" w:rsidP="00695527">
      <w:pPr>
        <w:pStyle w:val="ListParagraph"/>
        <w:numPr>
          <w:ilvl w:val="1"/>
          <w:numId w:val="10"/>
        </w:numPr>
        <w:spacing w:after="0" w:line="240" w:lineRule="auto"/>
        <w:ind w:left="1080" w:right="720"/>
        <w:jc w:val="both"/>
        <w:rPr>
          <w:rFonts w:ascii="Times New Roman" w:hAnsi="Times New Roman" w:cs="Times New Roman"/>
          <w:sz w:val="28"/>
          <w:szCs w:val="28"/>
        </w:rPr>
      </w:pPr>
      <w:r w:rsidRPr="00FA4986">
        <w:rPr>
          <w:rFonts w:ascii="Times New Roman" w:hAnsi="Times New Roman" w:cs="Times New Roman"/>
          <w:sz w:val="28"/>
          <w:szCs w:val="28"/>
        </w:rPr>
        <w:t xml:space="preserve">Whether courthouse personnel should be trained to address possible exposure to fentanyl and other toxic evidence and to properly identify opioid toxicity; and identify what, if any, training is currently available. </w:t>
      </w:r>
    </w:p>
    <w:p w14:paraId="49E26937" w14:textId="77777777" w:rsidR="00695527" w:rsidRPr="00FA4986" w:rsidRDefault="00695527" w:rsidP="00695527">
      <w:pPr>
        <w:pStyle w:val="ListParagraph"/>
        <w:numPr>
          <w:ilvl w:val="1"/>
          <w:numId w:val="10"/>
        </w:numPr>
        <w:spacing w:after="0" w:line="240" w:lineRule="auto"/>
        <w:ind w:left="1080" w:right="720"/>
        <w:jc w:val="both"/>
        <w:rPr>
          <w:rFonts w:ascii="Times New Roman" w:hAnsi="Times New Roman" w:cs="Times New Roman"/>
          <w:sz w:val="28"/>
          <w:szCs w:val="28"/>
        </w:rPr>
      </w:pPr>
      <w:r w:rsidRPr="00FA4986">
        <w:rPr>
          <w:rFonts w:ascii="Times New Roman" w:hAnsi="Times New Roman" w:cs="Times New Roman"/>
          <w:sz w:val="28"/>
          <w:szCs w:val="28"/>
        </w:rPr>
        <w:t>Whether naloxone should be kept in courthouses and other court-related facilities for emergencies and whether court administration or court security should be trained on the administration of naloxone in the event of opioid toxicity.</w:t>
      </w:r>
    </w:p>
    <w:p w14:paraId="0DEB3841" w14:textId="77777777" w:rsidR="00695527" w:rsidRDefault="00695527" w:rsidP="00695527">
      <w:pPr>
        <w:spacing w:after="0" w:line="240" w:lineRule="auto"/>
        <w:ind w:right="1440"/>
        <w:jc w:val="both"/>
        <w:rPr>
          <w:rFonts w:ascii="Times New Roman" w:hAnsi="Times New Roman" w:cs="Times New Roman"/>
          <w:sz w:val="28"/>
          <w:szCs w:val="28"/>
        </w:rPr>
      </w:pPr>
    </w:p>
    <w:p w14:paraId="13D9BDDA" w14:textId="68E84D3A" w:rsidR="00695527" w:rsidRDefault="00695527" w:rsidP="0069552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Task Force met five times in 2022 to </w:t>
      </w:r>
      <w:r w:rsidRPr="00B71D49">
        <w:rPr>
          <w:rFonts w:ascii="Times New Roman" w:hAnsi="Times New Roman" w:cs="Times New Roman"/>
          <w:sz w:val="28"/>
          <w:szCs w:val="28"/>
        </w:rPr>
        <w:t>consider these issues.</w:t>
      </w:r>
      <w:r>
        <w:rPr>
          <w:rFonts w:ascii="Times New Roman" w:hAnsi="Times New Roman" w:cs="Times New Roman"/>
          <w:sz w:val="28"/>
          <w:szCs w:val="28"/>
        </w:rPr>
        <w:t xml:space="preserve"> This rule petition is particular to question #2</w:t>
      </w:r>
      <w:r w:rsidR="6C018AF2" w:rsidRPr="22F46ACD">
        <w:rPr>
          <w:rFonts w:ascii="Times New Roman" w:hAnsi="Times New Roman" w:cs="Times New Roman"/>
          <w:sz w:val="28"/>
          <w:szCs w:val="28"/>
        </w:rPr>
        <w:t>,</w:t>
      </w:r>
      <w:r>
        <w:rPr>
          <w:rFonts w:ascii="Times New Roman" w:hAnsi="Times New Roman" w:cs="Times New Roman"/>
          <w:sz w:val="28"/>
          <w:szCs w:val="28"/>
        </w:rPr>
        <w:t xml:space="preserve"> above. The purpose is to ensure </w:t>
      </w:r>
      <w:r w:rsidR="58B2B51F" w:rsidRPr="22F46ACD">
        <w:rPr>
          <w:rFonts w:ascii="Times New Roman" w:hAnsi="Times New Roman" w:cs="Times New Roman"/>
          <w:sz w:val="28"/>
          <w:szCs w:val="28"/>
        </w:rPr>
        <w:t>orderly conduct of judicial proceedings by</w:t>
      </w:r>
      <w:r w:rsidR="003E0A8D" w:rsidRPr="22F46ACD">
        <w:rPr>
          <w:rFonts w:ascii="Times New Roman" w:hAnsi="Times New Roman" w:cs="Times New Roman"/>
          <w:sz w:val="28"/>
          <w:szCs w:val="28"/>
        </w:rPr>
        <w:t xml:space="preserve"> </w:t>
      </w:r>
      <w:r w:rsidR="628899BC" w:rsidRPr="22F46ACD">
        <w:rPr>
          <w:rFonts w:ascii="Times New Roman" w:hAnsi="Times New Roman" w:cs="Times New Roman"/>
          <w:sz w:val="28"/>
          <w:szCs w:val="28"/>
        </w:rPr>
        <w:t>protecting</w:t>
      </w:r>
      <w:r>
        <w:rPr>
          <w:rFonts w:ascii="Times New Roman" w:hAnsi="Times New Roman" w:cs="Times New Roman"/>
          <w:sz w:val="28"/>
          <w:szCs w:val="28"/>
        </w:rPr>
        <w:t xml:space="preserve"> court staff, judicial officers, the parties, jurors, and the public from </w:t>
      </w:r>
      <w:r w:rsidRPr="006548AE">
        <w:rPr>
          <w:rFonts w:ascii="Times New Roman" w:hAnsi="Times New Roman" w:cs="Times New Roman"/>
          <w:sz w:val="28"/>
          <w:szCs w:val="28"/>
        </w:rPr>
        <w:t xml:space="preserve">substantial </w:t>
      </w:r>
      <w:r>
        <w:rPr>
          <w:rFonts w:ascii="Times New Roman" w:hAnsi="Times New Roman" w:cs="Times New Roman"/>
          <w:sz w:val="28"/>
          <w:szCs w:val="28"/>
        </w:rPr>
        <w:t>or</w:t>
      </w:r>
      <w:r w:rsidRPr="006548AE">
        <w:rPr>
          <w:rFonts w:ascii="Times New Roman" w:hAnsi="Times New Roman" w:cs="Times New Roman"/>
          <w:sz w:val="28"/>
          <w:szCs w:val="28"/>
        </w:rPr>
        <w:t xml:space="preserve"> serious risk of harm</w:t>
      </w:r>
      <w:r>
        <w:rPr>
          <w:rFonts w:ascii="Times New Roman" w:hAnsi="Times New Roman" w:cs="Times New Roman"/>
          <w:sz w:val="28"/>
          <w:szCs w:val="28"/>
        </w:rPr>
        <w:t xml:space="preserve"> while also preserving the integrity of evidence and the due process of law.  </w:t>
      </w:r>
      <w:r w:rsidRPr="00B71D49">
        <w:rPr>
          <w:rFonts w:ascii="Times New Roman" w:hAnsi="Times New Roman" w:cs="Times New Roman"/>
          <w:sz w:val="28"/>
          <w:szCs w:val="28"/>
        </w:rPr>
        <w:t xml:space="preserve">  </w:t>
      </w:r>
    </w:p>
    <w:p w14:paraId="23551C6E" w14:textId="6EF46FA8" w:rsidR="00695527" w:rsidRDefault="00695527" w:rsidP="00695527">
      <w:pPr>
        <w:spacing w:after="0" w:line="480" w:lineRule="auto"/>
        <w:ind w:firstLine="720"/>
        <w:jc w:val="both"/>
        <w:rPr>
          <w:rFonts w:ascii="Times New Roman" w:hAnsi="Times New Roman" w:cs="Times New Roman"/>
          <w:sz w:val="28"/>
          <w:szCs w:val="28"/>
        </w:rPr>
      </w:pPr>
      <w:r w:rsidRPr="00EC6DD4">
        <w:rPr>
          <w:rFonts w:ascii="Times New Roman" w:hAnsi="Times New Roman" w:cs="Times New Roman"/>
          <w:sz w:val="28"/>
          <w:szCs w:val="28"/>
        </w:rPr>
        <w:t xml:space="preserve">The rule </w:t>
      </w:r>
      <w:r w:rsidR="00981491" w:rsidRPr="22F46ACD">
        <w:rPr>
          <w:rFonts w:ascii="Times New Roman" w:hAnsi="Times New Roman" w:cs="Times New Roman"/>
          <w:sz w:val="28"/>
          <w:szCs w:val="28"/>
        </w:rPr>
        <w:t>change</w:t>
      </w:r>
      <w:r w:rsidR="659AF48E" w:rsidRPr="22F46ACD">
        <w:rPr>
          <w:rFonts w:ascii="Times New Roman" w:hAnsi="Times New Roman" w:cs="Times New Roman"/>
          <w:sz w:val="28"/>
          <w:szCs w:val="28"/>
        </w:rPr>
        <w:t>s</w:t>
      </w:r>
      <w:r w:rsidRPr="00EC6DD4">
        <w:rPr>
          <w:rFonts w:ascii="Times New Roman" w:hAnsi="Times New Roman" w:cs="Times New Roman"/>
          <w:sz w:val="28"/>
          <w:szCs w:val="28"/>
        </w:rPr>
        <w:t xml:space="preserve"> sought in this petition are the product of significant study, deliberation, drafting, and revision by the Task Force</w:t>
      </w:r>
      <w:r>
        <w:rPr>
          <w:rFonts w:ascii="Times New Roman" w:hAnsi="Times New Roman" w:cs="Times New Roman"/>
          <w:sz w:val="28"/>
          <w:szCs w:val="28"/>
        </w:rPr>
        <w:t>.  In addition, the Task Force heard from Court Security Directors, the Arizona High Intensity Drug Trask Force</w:t>
      </w:r>
      <w:r w:rsidR="2DB6D823" w:rsidRPr="22F46ACD">
        <w:rPr>
          <w:rFonts w:ascii="Times New Roman" w:hAnsi="Times New Roman" w:cs="Times New Roman"/>
          <w:sz w:val="28"/>
          <w:szCs w:val="28"/>
        </w:rPr>
        <w:t>,</w:t>
      </w:r>
      <w:r>
        <w:rPr>
          <w:rFonts w:ascii="Times New Roman" w:hAnsi="Times New Roman" w:cs="Times New Roman"/>
          <w:sz w:val="28"/>
          <w:szCs w:val="28"/>
        </w:rPr>
        <w:t xml:space="preserve"> and the Administrative Office of the Courts specialist who is coordinating the implementation of digital evidence protocols. The Task Force also received various materials relevant to its discussions. </w:t>
      </w:r>
      <w:r w:rsidRPr="00B71D49">
        <w:rPr>
          <w:rFonts w:ascii="Times New Roman" w:hAnsi="Times New Roman" w:cs="Times New Roman"/>
          <w:sz w:val="28"/>
          <w:szCs w:val="28"/>
        </w:rPr>
        <w:t xml:space="preserve">All meeting information and materials can be found on the Task Force’s website: </w:t>
      </w:r>
      <w:hyperlink r:id="rId11">
        <w:r w:rsidR="00B71D49" w:rsidRPr="22F46ACD">
          <w:rPr>
            <w:rStyle w:val="Hyperlink"/>
            <w:rFonts w:ascii="Times New Roman" w:hAnsi="Times New Roman" w:cs="Times New Roman"/>
            <w:sz w:val="28"/>
            <w:szCs w:val="28"/>
          </w:rPr>
          <w:t xml:space="preserve">Fentanyl and Toxic Evidence Task Force </w:t>
        </w:r>
        <w:r w:rsidR="00B71D49" w:rsidRPr="22F46ACD">
          <w:rPr>
            <w:rStyle w:val="Hyperlink"/>
            <w:rFonts w:ascii="Times New Roman" w:hAnsi="Times New Roman" w:cs="Times New Roman"/>
            <w:sz w:val="28"/>
            <w:szCs w:val="28"/>
          </w:rPr>
          <w:lastRenderedPageBreak/>
          <w:t>(azcourts.gov)</w:t>
        </w:r>
      </w:hyperlink>
      <w:r w:rsidR="009D29B2" w:rsidRPr="22F46ACD">
        <w:rPr>
          <w:rFonts w:ascii="Times New Roman" w:hAnsi="Times New Roman" w:cs="Times New Roman"/>
          <w:sz w:val="28"/>
          <w:szCs w:val="28"/>
        </w:rPr>
        <w:t>.</w:t>
      </w:r>
      <w:r w:rsidRPr="00B71D49">
        <w:rPr>
          <w:rFonts w:ascii="Times New Roman" w:hAnsi="Times New Roman" w:cs="Times New Roman"/>
          <w:sz w:val="28"/>
          <w:szCs w:val="28"/>
        </w:rPr>
        <w:t xml:space="preserve"> Two draft rule amendment options</w:t>
      </w:r>
      <w:r>
        <w:rPr>
          <w:rFonts w:ascii="Times New Roman" w:hAnsi="Times New Roman" w:cs="Times New Roman"/>
          <w:sz w:val="28"/>
          <w:szCs w:val="28"/>
        </w:rPr>
        <w:t xml:space="preserve"> based upon these discussions were presented to the Task Force, and then to the Superior Court Presiding Judges and the Arizona Judicial Council. </w:t>
      </w:r>
      <w:r w:rsidR="2D5CA5C1" w:rsidRPr="22F46ACD">
        <w:rPr>
          <w:rFonts w:ascii="Times New Roman" w:hAnsi="Times New Roman" w:cs="Times New Roman"/>
          <w:i/>
          <w:iCs/>
          <w:sz w:val="28"/>
          <w:szCs w:val="28"/>
        </w:rPr>
        <w:t>Appendix A</w:t>
      </w:r>
      <w:r w:rsidR="2D5CA5C1" w:rsidRPr="22F46ACD">
        <w:rPr>
          <w:rFonts w:ascii="Times New Roman" w:hAnsi="Times New Roman" w:cs="Times New Roman"/>
          <w:sz w:val="28"/>
          <w:szCs w:val="28"/>
        </w:rPr>
        <w:t xml:space="preserve"> to this petition is t</w:t>
      </w:r>
      <w:r w:rsidR="00FF7BA4" w:rsidRPr="22F46ACD">
        <w:rPr>
          <w:rFonts w:ascii="Times New Roman" w:hAnsi="Times New Roman" w:cs="Times New Roman"/>
          <w:sz w:val="28"/>
          <w:szCs w:val="28"/>
        </w:rPr>
        <w:t>he</w:t>
      </w:r>
      <w:r>
        <w:rPr>
          <w:rFonts w:ascii="Times New Roman" w:hAnsi="Times New Roman" w:cs="Times New Roman"/>
          <w:sz w:val="28"/>
          <w:szCs w:val="28"/>
        </w:rPr>
        <w:t xml:space="preserve"> option approved by all three bodies. </w:t>
      </w:r>
    </w:p>
    <w:p w14:paraId="13305F56" w14:textId="77777777" w:rsidR="00695527" w:rsidRDefault="00695527" w:rsidP="0069552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 is noted that a minority of the Task Force </w:t>
      </w:r>
      <w:proofErr w:type="gramStart"/>
      <w:r>
        <w:rPr>
          <w:rFonts w:ascii="Times New Roman" w:hAnsi="Times New Roman" w:cs="Times New Roman"/>
          <w:sz w:val="28"/>
          <w:szCs w:val="28"/>
        </w:rPr>
        <w:t>was of the opinion that</w:t>
      </w:r>
      <w:proofErr w:type="gramEnd"/>
      <w:r>
        <w:rPr>
          <w:rFonts w:ascii="Times New Roman" w:hAnsi="Times New Roman" w:cs="Times New Roman"/>
          <w:sz w:val="28"/>
          <w:szCs w:val="28"/>
        </w:rPr>
        <w:t xml:space="preserve"> a rule to prescribe the handling of hazardous evidence was not necessary and any requirement could be prescribed by Administrative Order. </w:t>
      </w:r>
      <w:proofErr w:type="gramStart"/>
      <w:r>
        <w:rPr>
          <w:rFonts w:ascii="Times New Roman" w:hAnsi="Times New Roman" w:cs="Times New Roman"/>
          <w:sz w:val="28"/>
          <w:szCs w:val="28"/>
        </w:rPr>
        <w:t>A majority of</w:t>
      </w:r>
      <w:proofErr w:type="gramEnd"/>
      <w:r>
        <w:rPr>
          <w:rFonts w:ascii="Times New Roman" w:hAnsi="Times New Roman" w:cs="Times New Roman"/>
          <w:sz w:val="28"/>
          <w:szCs w:val="28"/>
        </w:rPr>
        <w:t xml:space="preserve"> the Task Force rejected that proposal as did the Superior Court Presiding Judges and the Arizona Judicial Council.</w:t>
      </w:r>
    </w:p>
    <w:p w14:paraId="41C622A2" w14:textId="40D8B7ED" w:rsidR="00695527" w:rsidRDefault="00695527" w:rsidP="0069552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discussed was whether a proposed rule should be limited to Fentanyl and </w:t>
      </w:r>
      <w:proofErr w:type="spellStart"/>
      <w:r>
        <w:rPr>
          <w:rFonts w:ascii="Times New Roman" w:hAnsi="Times New Roman" w:cs="Times New Roman"/>
          <w:sz w:val="28"/>
          <w:szCs w:val="28"/>
        </w:rPr>
        <w:t>Carfentanil</w:t>
      </w:r>
      <w:proofErr w:type="spellEnd"/>
      <w:r>
        <w:rPr>
          <w:rFonts w:ascii="Times New Roman" w:hAnsi="Times New Roman" w:cs="Times New Roman"/>
          <w:sz w:val="28"/>
          <w:szCs w:val="28"/>
        </w:rPr>
        <w:t xml:space="preserve">, cover other substances that could be absorbed or injected into the body, or should include other hazardous materials. Ultimately, based upon comments received during the various discussions, the Task Force </w:t>
      </w:r>
      <w:r w:rsidR="00FF7971" w:rsidRPr="22F46ACD">
        <w:rPr>
          <w:rFonts w:ascii="Times New Roman" w:hAnsi="Times New Roman" w:cs="Times New Roman"/>
          <w:sz w:val="28"/>
          <w:szCs w:val="28"/>
        </w:rPr>
        <w:t>recommend</w:t>
      </w:r>
      <w:r w:rsidR="626EC5E9" w:rsidRPr="22F46ACD">
        <w:rPr>
          <w:rFonts w:ascii="Times New Roman" w:hAnsi="Times New Roman" w:cs="Times New Roman"/>
          <w:sz w:val="28"/>
          <w:szCs w:val="28"/>
        </w:rPr>
        <w:t>s</w:t>
      </w:r>
      <w:r>
        <w:rPr>
          <w:rFonts w:ascii="Times New Roman" w:hAnsi="Times New Roman" w:cs="Times New Roman"/>
          <w:sz w:val="28"/>
          <w:szCs w:val="28"/>
        </w:rPr>
        <w:t xml:space="preserve"> that </w:t>
      </w: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protect persons of the public, parties, and court staff, the proposed rule should include other hazardous materials.</w:t>
      </w:r>
    </w:p>
    <w:p w14:paraId="692B8A20" w14:textId="3F278170" w:rsidR="00695527" w:rsidRPr="00727B95" w:rsidRDefault="00695527" w:rsidP="0069552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Task Force discussed whether </w:t>
      </w:r>
      <w:r w:rsidR="5C082F85" w:rsidRPr="22F46ACD">
        <w:rPr>
          <w:rFonts w:ascii="Times New Roman" w:hAnsi="Times New Roman" w:cs="Times New Roman"/>
          <w:sz w:val="28"/>
          <w:szCs w:val="28"/>
        </w:rPr>
        <w:t xml:space="preserve">the scope of </w:t>
      </w:r>
      <w:r w:rsidR="008F505C" w:rsidRPr="22F46ACD">
        <w:rPr>
          <w:rFonts w:ascii="Times New Roman" w:hAnsi="Times New Roman" w:cs="Times New Roman"/>
          <w:sz w:val="28"/>
          <w:szCs w:val="28"/>
        </w:rPr>
        <w:t xml:space="preserve">a </w:t>
      </w:r>
      <w:r>
        <w:rPr>
          <w:rFonts w:ascii="Times New Roman" w:hAnsi="Times New Roman" w:cs="Times New Roman"/>
          <w:sz w:val="28"/>
          <w:szCs w:val="28"/>
        </w:rPr>
        <w:t xml:space="preserve">proposed court rule should </w:t>
      </w:r>
      <w:r w:rsidR="4E15BC8E" w:rsidRPr="22F46ACD">
        <w:rPr>
          <w:rFonts w:ascii="Times New Roman" w:hAnsi="Times New Roman" w:cs="Times New Roman"/>
          <w:sz w:val="28"/>
          <w:szCs w:val="28"/>
        </w:rPr>
        <w:t>be limited to</w:t>
      </w:r>
      <w:r>
        <w:rPr>
          <w:rFonts w:ascii="Times New Roman" w:hAnsi="Times New Roman" w:cs="Times New Roman"/>
          <w:sz w:val="28"/>
          <w:szCs w:val="28"/>
        </w:rPr>
        <w:t xml:space="preserve"> the courtroom during the pendency of a case or should also </w:t>
      </w:r>
      <w:proofErr w:type="gramStart"/>
      <w:r w:rsidR="7DB33F1B" w:rsidRPr="22F46ACD">
        <w:rPr>
          <w:rFonts w:ascii="Times New Roman" w:hAnsi="Times New Roman" w:cs="Times New Roman"/>
          <w:sz w:val="28"/>
          <w:szCs w:val="28"/>
        </w:rPr>
        <w:t>apply</w:t>
      </w:r>
      <w:r w:rsidR="00F87C3B" w:rsidRPr="22F46ACD">
        <w:rPr>
          <w:rFonts w:ascii="Times New Roman" w:hAnsi="Times New Roman" w:cs="Times New Roman"/>
          <w:sz w:val="28"/>
          <w:szCs w:val="28"/>
        </w:rPr>
        <w:t xml:space="preserve"> to </w:t>
      </w:r>
      <w:r>
        <w:rPr>
          <w:rFonts w:ascii="Times New Roman" w:hAnsi="Times New Roman" w:cs="Times New Roman"/>
          <w:sz w:val="28"/>
          <w:szCs w:val="28"/>
        </w:rPr>
        <w:t>the entire courthouse at all times</w:t>
      </w:r>
      <w:proofErr w:type="gramEnd"/>
      <w:r>
        <w:rPr>
          <w:rFonts w:ascii="Times New Roman" w:hAnsi="Times New Roman" w:cs="Times New Roman"/>
          <w:sz w:val="28"/>
          <w:szCs w:val="28"/>
        </w:rPr>
        <w:t>. This petition</w:t>
      </w:r>
      <w:r w:rsidR="6429860F" w:rsidRPr="22F46ACD">
        <w:rPr>
          <w:rFonts w:ascii="Times New Roman" w:hAnsi="Times New Roman" w:cs="Times New Roman"/>
          <w:sz w:val="28"/>
          <w:szCs w:val="28"/>
        </w:rPr>
        <w:t>,</w:t>
      </w:r>
      <w:r w:rsidR="00D05CBF" w:rsidRPr="22F46ACD">
        <w:rPr>
          <w:rFonts w:ascii="Times New Roman" w:hAnsi="Times New Roman" w:cs="Times New Roman"/>
          <w:sz w:val="28"/>
          <w:szCs w:val="28"/>
        </w:rPr>
        <w:t xml:space="preserve"> </w:t>
      </w:r>
      <w:r w:rsidR="00297D04" w:rsidRPr="22F46ACD">
        <w:rPr>
          <w:rFonts w:ascii="Times New Roman" w:hAnsi="Times New Roman" w:cs="Times New Roman"/>
          <w:sz w:val="28"/>
          <w:szCs w:val="28"/>
        </w:rPr>
        <w:t>re</w:t>
      </w:r>
      <w:r w:rsidR="3DBEFEFE" w:rsidRPr="22F46ACD">
        <w:rPr>
          <w:rFonts w:ascii="Times New Roman" w:hAnsi="Times New Roman" w:cs="Times New Roman"/>
          <w:sz w:val="28"/>
          <w:szCs w:val="28"/>
        </w:rPr>
        <w:t>flecting</w:t>
      </w:r>
      <w:r>
        <w:rPr>
          <w:rFonts w:ascii="Times New Roman" w:hAnsi="Times New Roman" w:cs="Times New Roman"/>
          <w:sz w:val="28"/>
          <w:szCs w:val="28"/>
        </w:rPr>
        <w:t xml:space="preserve"> the product of these discussions, </w:t>
      </w:r>
      <w:r w:rsidR="00297D04" w:rsidRPr="22F46ACD">
        <w:rPr>
          <w:rFonts w:ascii="Times New Roman" w:hAnsi="Times New Roman" w:cs="Times New Roman"/>
          <w:sz w:val="28"/>
          <w:szCs w:val="28"/>
        </w:rPr>
        <w:t>limit</w:t>
      </w:r>
      <w:r w:rsidR="11D41B09" w:rsidRPr="22F46ACD">
        <w:rPr>
          <w:rFonts w:ascii="Times New Roman" w:hAnsi="Times New Roman" w:cs="Times New Roman"/>
          <w:sz w:val="28"/>
          <w:szCs w:val="28"/>
        </w:rPr>
        <w:t>s</w:t>
      </w:r>
      <w:r w:rsidR="00297D04" w:rsidRPr="22F46ACD">
        <w:rPr>
          <w:rFonts w:ascii="Times New Roman" w:hAnsi="Times New Roman" w:cs="Times New Roman"/>
          <w:sz w:val="28"/>
          <w:szCs w:val="28"/>
        </w:rPr>
        <w:t xml:space="preserve"> </w:t>
      </w:r>
      <w:r w:rsidR="16D2E3FF" w:rsidRPr="22F46ACD">
        <w:rPr>
          <w:rFonts w:ascii="Times New Roman" w:hAnsi="Times New Roman" w:cs="Times New Roman"/>
          <w:sz w:val="28"/>
          <w:szCs w:val="28"/>
        </w:rPr>
        <w:t>the rule’s application</w:t>
      </w:r>
      <w:r>
        <w:rPr>
          <w:rFonts w:ascii="Times New Roman" w:hAnsi="Times New Roman" w:cs="Times New Roman"/>
          <w:sz w:val="28"/>
          <w:szCs w:val="28"/>
        </w:rPr>
        <w:t xml:space="preserve"> to the courtroom. </w:t>
      </w:r>
      <w:r w:rsidR="6B958D50" w:rsidRPr="22F46ACD">
        <w:rPr>
          <w:rFonts w:ascii="Times New Roman" w:hAnsi="Times New Roman" w:cs="Times New Roman"/>
          <w:sz w:val="28"/>
          <w:szCs w:val="28"/>
        </w:rPr>
        <w:t>T</w:t>
      </w:r>
      <w:r w:rsidR="00297D04" w:rsidRPr="22F46ACD">
        <w:rPr>
          <w:rFonts w:ascii="Times New Roman" w:hAnsi="Times New Roman" w:cs="Times New Roman"/>
          <w:sz w:val="28"/>
          <w:szCs w:val="28"/>
        </w:rPr>
        <w:t>he Task Force</w:t>
      </w:r>
      <w:r w:rsidR="3E72134F" w:rsidRPr="22F46ACD">
        <w:rPr>
          <w:rFonts w:ascii="Times New Roman" w:hAnsi="Times New Roman" w:cs="Times New Roman"/>
          <w:sz w:val="28"/>
          <w:szCs w:val="28"/>
        </w:rPr>
        <w:t xml:space="preserve">’s </w:t>
      </w:r>
      <w:r>
        <w:rPr>
          <w:rFonts w:ascii="Times New Roman" w:hAnsi="Times New Roman" w:cs="Times New Roman"/>
          <w:sz w:val="28"/>
          <w:szCs w:val="28"/>
        </w:rPr>
        <w:t xml:space="preserve">position </w:t>
      </w:r>
      <w:r w:rsidR="3E72134F" w:rsidRPr="22F46ACD">
        <w:rPr>
          <w:rFonts w:ascii="Times New Roman" w:hAnsi="Times New Roman" w:cs="Times New Roman"/>
          <w:sz w:val="28"/>
          <w:szCs w:val="28"/>
        </w:rPr>
        <w:t>is</w:t>
      </w:r>
      <w:r w:rsidR="00297D04" w:rsidRPr="22F46ACD">
        <w:rPr>
          <w:rFonts w:ascii="Times New Roman" w:hAnsi="Times New Roman" w:cs="Times New Roman"/>
          <w:sz w:val="28"/>
          <w:szCs w:val="28"/>
        </w:rPr>
        <w:t xml:space="preserve"> </w:t>
      </w:r>
      <w:r>
        <w:rPr>
          <w:rFonts w:ascii="Times New Roman" w:hAnsi="Times New Roman" w:cs="Times New Roman"/>
          <w:sz w:val="28"/>
          <w:szCs w:val="28"/>
        </w:rPr>
        <w:t xml:space="preserve">that a court rule should </w:t>
      </w:r>
      <w:r w:rsidR="56E4202D" w:rsidRPr="22F46ACD">
        <w:rPr>
          <w:rFonts w:ascii="Times New Roman" w:hAnsi="Times New Roman" w:cs="Times New Roman"/>
          <w:sz w:val="28"/>
          <w:szCs w:val="28"/>
        </w:rPr>
        <w:t>govern</w:t>
      </w:r>
      <w:r>
        <w:rPr>
          <w:rFonts w:ascii="Times New Roman" w:hAnsi="Times New Roman" w:cs="Times New Roman"/>
          <w:sz w:val="28"/>
          <w:szCs w:val="28"/>
        </w:rPr>
        <w:t xml:space="preserve"> court </w:t>
      </w:r>
      <w:r w:rsidR="00C25EB5" w:rsidRPr="22F46ACD">
        <w:rPr>
          <w:rFonts w:ascii="Times New Roman" w:hAnsi="Times New Roman" w:cs="Times New Roman"/>
          <w:sz w:val="28"/>
          <w:szCs w:val="28"/>
        </w:rPr>
        <w:t>case</w:t>
      </w:r>
      <w:r w:rsidR="2ED940D5" w:rsidRPr="22F46ACD">
        <w:rPr>
          <w:rFonts w:ascii="Times New Roman" w:hAnsi="Times New Roman" w:cs="Times New Roman"/>
          <w:sz w:val="28"/>
          <w:szCs w:val="28"/>
        </w:rPr>
        <w:t>s</w:t>
      </w:r>
      <w:r>
        <w:rPr>
          <w:rFonts w:ascii="Times New Roman" w:hAnsi="Times New Roman" w:cs="Times New Roman"/>
          <w:sz w:val="28"/>
          <w:szCs w:val="28"/>
        </w:rPr>
        <w:t xml:space="preserve"> and proceedings</w:t>
      </w:r>
      <w:r w:rsidR="7177F192" w:rsidRPr="22F46ACD">
        <w:rPr>
          <w:rFonts w:ascii="Times New Roman" w:hAnsi="Times New Roman" w:cs="Times New Roman"/>
          <w:sz w:val="28"/>
          <w:szCs w:val="28"/>
        </w:rPr>
        <w:t xml:space="preserve"> leaving other </w:t>
      </w:r>
      <w:r>
        <w:rPr>
          <w:rFonts w:ascii="Times New Roman" w:hAnsi="Times New Roman" w:cs="Times New Roman"/>
          <w:sz w:val="28"/>
          <w:szCs w:val="28"/>
        </w:rPr>
        <w:lastRenderedPageBreak/>
        <w:t xml:space="preserve">courthouse </w:t>
      </w:r>
      <w:r w:rsidR="690BCE09" w:rsidRPr="22F46ACD">
        <w:rPr>
          <w:rFonts w:ascii="Times New Roman" w:hAnsi="Times New Roman" w:cs="Times New Roman"/>
          <w:sz w:val="28"/>
          <w:szCs w:val="28"/>
        </w:rPr>
        <w:t>procedures to be addressed</w:t>
      </w:r>
      <w:r>
        <w:rPr>
          <w:rFonts w:ascii="Times New Roman" w:hAnsi="Times New Roman" w:cs="Times New Roman"/>
          <w:sz w:val="28"/>
          <w:szCs w:val="28"/>
        </w:rPr>
        <w:t xml:space="preserve"> by Administrative Order</w:t>
      </w:r>
      <w:r w:rsidR="145EB2D3" w:rsidRPr="22F46ACD">
        <w:rPr>
          <w:rFonts w:ascii="Times New Roman" w:hAnsi="Times New Roman" w:cs="Times New Roman"/>
          <w:sz w:val="28"/>
          <w:szCs w:val="28"/>
        </w:rPr>
        <w:t>, the Code of Judicial Administrations,</w:t>
      </w:r>
      <w:r>
        <w:rPr>
          <w:rFonts w:ascii="Times New Roman" w:hAnsi="Times New Roman" w:cs="Times New Roman"/>
          <w:sz w:val="28"/>
          <w:szCs w:val="28"/>
        </w:rPr>
        <w:t xml:space="preserve"> or other mechanisms.</w:t>
      </w:r>
    </w:p>
    <w:p w14:paraId="465ECF55" w14:textId="77777777" w:rsidR="00695527" w:rsidRPr="006153BB" w:rsidRDefault="00695527" w:rsidP="00695527">
      <w:pPr>
        <w:pStyle w:val="ListParagraph"/>
        <w:numPr>
          <w:ilvl w:val="0"/>
          <w:numId w:val="1"/>
        </w:numPr>
        <w:spacing w:after="0"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Intentions</w:t>
      </w:r>
      <w:r w:rsidRPr="3A75C0C5">
        <w:rPr>
          <w:rFonts w:ascii="Times New Roman" w:hAnsi="Times New Roman" w:cs="Times New Roman"/>
          <w:b/>
          <w:bCs/>
          <w:sz w:val="28"/>
          <w:szCs w:val="28"/>
        </w:rPr>
        <w:t xml:space="preserve"> of the Proposed Rule Amendment</w:t>
      </w:r>
      <w:r w:rsidRPr="3A75C0C5">
        <w:rPr>
          <w:rFonts w:ascii="Times New Roman" w:hAnsi="Times New Roman" w:cs="Times New Roman"/>
          <w:sz w:val="28"/>
          <w:szCs w:val="28"/>
        </w:rPr>
        <w:t>.</w:t>
      </w:r>
    </w:p>
    <w:p w14:paraId="3E44C453" w14:textId="77777777" w:rsidR="00695527" w:rsidRDefault="00695527" w:rsidP="00695527">
      <w:pPr>
        <w:pStyle w:val="ListParagraph"/>
        <w:numPr>
          <w:ilvl w:val="0"/>
          <w:numId w:val="2"/>
        </w:numPr>
        <w:spacing w:after="0" w:line="480" w:lineRule="auto"/>
        <w:ind w:left="1440" w:hanging="720"/>
        <w:jc w:val="both"/>
        <w:rPr>
          <w:rFonts w:ascii="Times New Roman" w:hAnsi="Times New Roman" w:cs="Times New Roman"/>
          <w:b/>
          <w:bCs/>
          <w:sz w:val="28"/>
          <w:szCs w:val="28"/>
        </w:rPr>
      </w:pPr>
      <w:r w:rsidRPr="3A75C0C5">
        <w:rPr>
          <w:rFonts w:ascii="Times New Roman" w:hAnsi="Times New Roman" w:cs="Times New Roman"/>
          <w:b/>
          <w:bCs/>
          <w:sz w:val="28"/>
          <w:szCs w:val="28"/>
        </w:rPr>
        <w:t>To define</w:t>
      </w:r>
      <w:r>
        <w:rPr>
          <w:rFonts w:ascii="Times New Roman" w:hAnsi="Times New Roman" w:cs="Times New Roman"/>
          <w:b/>
          <w:bCs/>
          <w:sz w:val="28"/>
          <w:szCs w:val="28"/>
        </w:rPr>
        <w:t xml:space="preserve"> and protect</w:t>
      </w:r>
      <w:r w:rsidRPr="3A75C0C5">
        <w:rPr>
          <w:rFonts w:ascii="Times New Roman" w:hAnsi="Times New Roman" w:cs="Times New Roman"/>
          <w:b/>
          <w:bCs/>
          <w:sz w:val="28"/>
          <w:szCs w:val="28"/>
        </w:rPr>
        <w:t>.</w:t>
      </w:r>
      <w:r w:rsidRPr="3A75C0C5">
        <w:rPr>
          <w:rFonts w:ascii="Times New Roman" w:hAnsi="Times New Roman" w:cs="Times New Roman"/>
          <w:sz w:val="28"/>
          <w:szCs w:val="28"/>
        </w:rPr>
        <w:t xml:space="preserve">     </w:t>
      </w:r>
    </w:p>
    <w:p w14:paraId="6F2C72D3" w14:textId="0E1ED201" w:rsidR="00695527" w:rsidRDefault="00695527" w:rsidP="00695527">
      <w:pPr>
        <w:spacing w:after="0" w:line="480" w:lineRule="auto"/>
        <w:ind w:firstLine="720"/>
        <w:jc w:val="both"/>
        <w:rPr>
          <w:rStyle w:val="normaltextrun"/>
          <w:color w:val="000000" w:themeColor="text1"/>
          <w:sz w:val="28"/>
          <w:szCs w:val="28"/>
          <w:u w:val="single"/>
        </w:rPr>
      </w:pPr>
      <w:r w:rsidRPr="3A75C0C5">
        <w:rPr>
          <w:rFonts w:ascii="Times New Roman" w:hAnsi="Times New Roman" w:cs="Times New Roman"/>
          <w:sz w:val="28"/>
          <w:szCs w:val="28"/>
        </w:rPr>
        <w:t xml:space="preserve">The proposed </w:t>
      </w:r>
      <w:r w:rsidR="32D30C61" w:rsidRPr="22F46ACD">
        <w:rPr>
          <w:rFonts w:ascii="Times New Roman" w:hAnsi="Times New Roman" w:cs="Times New Roman"/>
          <w:sz w:val="28"/>
          <w:szCs w:val="28"/>
        </w:rPr>
        <w:t>addition of subsection (d) to</w:t>
      </w:r>
      <w:r w:rsidR="00295B51" w:rsidRPr="22F46ACD">
        <w:rPr>
          <w:rFonts w:ascii="Times New Roman" w:hAnsi="Times New Roman" w:cs="Times New Roman"/>
          <w:sz w:val="28"/>
          <w:szCs w:val="28"/>
        </w:rPr>
        <w:t xml:space="preserve"> </w:t>
      </w:r>
      <w:r w:rsidRPr="3A75C0C5">
        <w:rPr>
          <w:rFonts w:ascii="Times New Roman" w:hAnsi="Times New Roman" w:cs="Times New Roman"/>
          <w:sz w:val="28"/>
          <w:szCs w:val="28"/>
        </w:rPr>
        <w:t>Rule 611</w:t>
      </w:r>
      <w:r w:rsidR="009B193E" w:rsidRPr="22F46ACD">
        <w:rPr>
          <w:rFonts w:ascii="Times New Roman" w:hAnsi="Times New Roman" w:cs="Times New Roman"/>
          <w:sz w:val="28"/>
          <w:szCs w:val="28"/>
        </w:rPr>
        <w:t xml:space="preserve"> </w:t>
      </w:r>
      <w:r w:rsidR="7A94BD93" w:rsidRPr="22F46ACD">
        <w:rPr>
          <w:rFonts w:ascii="Times New Roman" w:hAnsi="Times New Roman" w:cs="Times New Roman"/>
          <w:sz w:val="28"/>
          <w:szCs w:val="28"/>
        </w:rPr>
        <w:t>provides a uniform, statewide definition of</w:t>
      </w:r>
      <w:r>
        <w:rPr>
          <w:rFonts w:ascii="Times New Roman" w:hAnsi="Times New Roman" w:cs="Times New Roman"/>
          <w:sz w:val="28"/>
          <w:szCs w:val="28"/>
        </w:rPr>
        <w:t xml:space="preserve"> hazardous evidence and </w:t>
      </w:r>
      <w:r w:rsidR="09FC2728" w:rsidRPr="22F46ACD">
        <w:rPr>
          <w:rFonts w:ascii="Times New Roman" w:hAnsi="Times New Roman" w:cs="Times New Roman"/>
          <w:sz w:val="28"/>
          <w:szCs w:val="28"/>
        </w:rPr>
        <w:t xml:space="preserve">explicitly states </w:t>
      </w:r>
      <w:r w:rsidR="3E9FAD5A" w:rsidRPr="22F46ACD">
        <w:rPr>
          <w:rFonts w:ascii="Times New Roman" w:hAnsi="Times New Roman" w:cs="Times New Roman"/>
          <w:sz w:val="28"/>
          <w:szCs w:val="28"/>
        </w:rPr>
        <w:t>the court</w:t>
      </w:r>
      <w:r w:rsidR="29C4797A" w:rsidRPr="22F46ACD">
        <w:rPr>
          <w:rFonts w:ascii="Times New Roman" w:hAnsi="Times New Roman" w:cs="Times New Roman"/>
          <w:sz w:val="28"/>
          <w:szCs w:val="28"/>
        </w:rPr>
        <w:t>’s</w:t>
      </w:r>
      <w:r w:rsidR="3E9FAD5A" w:rsidRPr="22F46ACD">
        <w:rPr>
          <w:rFonts w:ascii="Times New Roman" w:hAnsi="Times New Roman" w:cs="Times New Roman"/>
          <w:sz w:val="28"/>
          <w:szCs w:val="28"/>
        </w:rPr>
        <w:t xml:space="preserve"> </w:t>
      </w:r>
      <w:r>
        <w:rPr>
          <w:rFonts w:ascii="Times New Roman" w:hAnsi="Times New Roman" w:cs="Times New Roman"/>
          <w:sz w:val="28"/>
          <w:szCs w:val="28"/>
        </w:rPr>
        <w:t xml:space="preserve">the responsibility to protect all persons from harm when hazardous evidence </w:t>
      </w:r>
      <w:r w:rsidR="04C712C8" w:rsidRPr="22F46ACD">
        <w:rPr>
          <w:rFonts w:ascii="Times New Roman" w:hAnsi="Times New Roman" w:cs="Times New Roman"/>
          <w:sz w:val="28"/>
          <w:szCs w:val="28"/>
        </w:rPr>
        <w:t>(</w:t>
      </w:r>
      <w:proofErr w:type="gramStart"/>
      <w:r w:rsidR="04C712C8" w:rsidRPr="22F46ACD">
        <w:rPr>
          <w:rFonts w:ascii="Times New Roman" w:hAnsi="Times New Roman" w:cs="Times New Roman"/>
          <w:sz w:val="28"/>
          <w:szCs w:val="28"/>
        </w:rPr>
        <w:t>i.e.</w:t>
      </w:r>
      <w:proofErr w:type="gramEnd"/>
      <w:r w:rsidR="04C712C8" w:rsidRPr="22F46ACD">
        <w:rPr>
          <w:rFonts w:ascii="Times New Roman" w:hAnsi="Times New Roman" w:cs="Times New Roman"/>
          <w:sz w:val="28"/>
          <w:szCs w:val="28"/>
        </w:rPr>
        <w:t xml:space="preserve"> Fentanyl/</w:t>
      </w:r>
      <w:proofErr w:type="spellStart"/>
      <w:r w:rsidR="04C712C8" w:rsidRPr="22F46ACD">
        <w:rPr>
          <w:rFonts w:ascii="Times New Roman" w:hAnsi="Times New Roman" w:cs="Times New Roman"/>
          <w:sz w:val="28"/>
          <w:szCs w:val="28"/>
        </w:rPr>
        <w:t>Carfentanyl</w:t>
      </w:r>
      <w:proofErr w:type="spellEnd"/>
      <w:r w:rsidR="04C712C8" w:rsidRPr="22F46ACD">
        <w:rPr>
          <w:rFonts w:ascii="Times New Roman" w:hAnsi="Times New Roman" w:cs="Times New Roman"/>
          <w:sz w:val="28"/>
          <w:szCs w:val="28"/>
        </w:rPr>
        <w:t>, explosives, etc.)</w:t>
      </w:r>
      <w:r w:rsidR="006D488F" w:rsidRPr="22F46ACD">
        <w:rPr>
          <w:rFonts w:ascii="Times New Roman" w:hAnsi="Times New Roman" w:cs="Times New Roman"/>
          <w:sz w:val="28"/>
          <w:szCs w:val="28"/>
        </w:rPr>
        <w:t xml:space="preserve"> is </w:t>
      </w:r>
      <w:r w:rsidR="07CBA326" w:rsidRPr="22F46ACD">
        <w:rPr>
          <w:rFonts w:ascii="Times New Roman" w:hAnsi="Times New Roman" w:cs="Times New Roman"/>
          <w:sz w:val="28"/>
          <w:szCs w:val="28"/>
        </w:rPr>
        <w:t xml:space="preserve">present in </w:t>
      </w:r>
      <w:r>
        <w:rPr>
          <w:rFonts w:ascii="Times New Roman" w:hAnsi="Times New Roman" w:cs="Times New Roman"/>
          <w:sz w:val="28"/>
          <w:szCs w:val="28"/>
        </w:rPr>
        <w:t xml:space="preserve">a courtroom, </w:t>
      </w:r>
      <w:r w:rsidR="0024535B" w:rsidRPr="22F46ACD">
        <w:rPr>
          <w:rFonts w:ascii="Times New Roman" w:hAnsi="Times New Roman" w:cs="Times New Roman"/>
          <w:sz w:val="28"/>
          <w:szCs w:val="28"/>
        </w:rPr>
        <w:t>whi</w:t>
      </w:r>
      <w:r w:rsidR="2FA6DDBC" w:rsidRPr="22F46ACD">
        <w:rPr>
          <w:rFonts w:ascii="Times New Roman" w:hAnsi="Times New Roman" w:cs="Times New Roman"/>
          <w:sz w:val="28"/>
          <w:szCs w:val="28"/>
        </w:rPr>
        <w:t>ch also safeguards</w:t>
      </w:r>
      <w:r>
        <w:rPr>
          <w:rFonts w:ascii="Times New Roman" w:hAnsi="Times New Roman" w:cs="Times New Roman"/>
          <w:sz w:val="28"/>
          <w:szCs w:val="28"/>
        </w:rPr>
        <w:t xml:space="preserve"> the rights of the parties and victims</w:t>
      </w:r>
      <w:r w:rsidRPr="00B30888">
        <w:rPr>
          <w:rFonts w:ascii="Times New Roman" w:hAnsi="Times New Roman" w:cs="Times New Roman"/>
          <w:sz w:val="28"/>
          <w:szCs w:val="28"/>
        </w:rPr>
        <w:t xml:space="preserve">. </w:t>
      </w:r>
      <w:r w:rsidR="001C58B8" w:rsidRPr="22F46ACD">
        <w:rPr>
          <w:rFonts w:ascii="Times New Roman" w:hAnsi="Times New Roman" w:cs="Times New Roman"/>
          <w:sz w:val="28"/>
          <w:szCs w:val="28"/>
        </w:rPr>
        <w:t xml:space="preserve">“Hazardous Evidence” is defined </w:t>
      </w:r>
      <w:r w:rsidR="3D254295" w:rsidRPr="22F46ACD">
        <w:rPr>
          <w:rFonts w:ascii="Times New Roman" w:hAnsi="Times New Roman" w:cs="Times New Roman"/>
          <w:sz w:val="28"/>
          <w:szCs w:val="28"/>
        </w:rPr>
        <w:t>as any physical evidence that a party seeks to bring into the courtroom that may create a substantial and serious risk of harm if ingested or absorbed, or if otherwise determined by the court to create a substantial and serious risk of harm.</w:t>
      </w:r>
    </w:p>
    <w:p w14:paraId="173DFE38" w14:textId="3CC62A49" w:rsidR="00695527" w:rsidRPr="000158F5" w:rsidRDefault="00695527" w:rsidP="00695527">
      <w:pPr>
        <w:pStyle w:val="ListParagraph"/>
        <w:numPr>
          <w:ilvl w:val="0"/>
          <w:numId w:val="2"/>
        </w:numPr>
        <w:spacing w:after="0" w:line="480" w:lineRule="auto"/>
        <w:ind w:left="1440" w:hanging="720"/>
        <w:jc w:val="both"/>
        <w:rPr>
          <w:rFonts w:ascii="Times New Roman" w:hAnsi="Times New Roman" w:cs="Times New Roman"/>
          <w:b/>
          <w:bCs/>
          <w:sz w:val="28"/>
          <w:szCs w:val="28"/>
        </w:rPr>
      </w:pPr>
      <w:r w:rsidRPr="3A75C0C5">
        <w:rPr>
          <w:rFonts w:ascii="Times New Roman" w:hAnsi="Times New Roman" w:cs="Times New Roman"/>
          <w:b/>
          <w:bCs/>
          <w:sz w:val="28"/>
          <w:szCs w:val="28"/>
        </w:rPr>
        <w:t xml:space="preserve">To direct that hazardous evidence </w:t>
      </w:r>
      <w:proofErr w:type="gramStart"/>
      <w:r w:rsidRPr="3A75C0C5">
        <w:rPr>
          <w:rFonts w:ascii="Times New Roman" w:hAnsi="Times New Roman" w:cs="Times New Roman"/>
          <w:b/>
          <w:bCs/>
          <w:sz w:val="28"/>
          <w:szCs w:val="28"/>
        </w:rPr>
        <w:t>not be</w:t>
      </w:r>
      <w:proofErr w:type="gramEnd"/>
      <w:r w:rsidRPr="3A75C0C5">
        <w:rPr>
          <w:rFonts w:ascii="Times New Roman" w:hAnsi="Times New Roman" w:cs="Times New Roman"/>
          <w:b/>
          <w:bCs/>
          <w:sz w:val="28"/>
          <w:szCs w:val="28"/>
        </w:rPr>
        <w:t xml:space="preserve"> brought into a courtroom without a court order.</w:t>
      </w:r>
    </w:p>
    <w:p w14:paraId="404E5DAC" w14:textId="31ED41E1" w:rsidR="00695527" w:rsidRDefault="00695527" w:rsidP="0069552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Rule 611(d)(1), in essence</w:t>
      </w:r>
      <w:r w:rsidR="75556827" w:rsidRPr="22F46ACD">
        <w:rPr>
          <w:rFonts w:ascii="Times New Roman" w:hAnsi="Times New Roman" w:cs="Times New Roman"/>
          <w:sz w:val="28"/>
          <w:szCs w:val="28"/>
        </w:rPr>
        <w:t>,</w:t>
      </w:r>
      <w:r>
        <w:rPr>
          <w:rFonts w:ascii="Times New Roman" w:hAnsi="Times New Roman" w:cs="Times New Roman"/>
          <w:sz w:val="28"/>
          <w:szCs w:val="28"/>
        </w:rPr>
        <w:t xml:space="preserve"> presumes that hazardous evidence will not be brought into the courtroom unless a court order has been issued.  The proposed </w:t>
      </w:r>
      <w:r w:rsidR="1E561D7E" w:rsidRPr="22F46ACD">
        <w:rPr>
          <w:rFonts w:ascii="Times New Roman" w:hAnsi="Times New Roman" w:cs="Times New Roman"/>
          <w:sz w:val="28"/>
          <w:szCs w:val="28"/>
        </w:rPr>
        <w:t>subsection (d), paragraph (1),</w:t>
      </w:r>
      <w:r>
        <w:rPr>
          <w:rFonts w:ascii="Times New Roman" w:hAnsi="Times New Roman" w:cs="Times New Roman"/>
          <w:sz w:val="28"/>
          <w:szCs w:val="28"/>
        </w:rPr>
        <w:t xml:space="preserve"> considers the rights of the parties and the sufficiency and effectiveness of digital evidence </w:t>
      </w:r>
      <w:r w:rsidR="1DE7AAEB" w:rsidRPr="22F46ACD">
        <w:rPr>
          <w:rFonts w:ascii="Times New Roman" w:hAnsi="Times New Roman" w:cs="Times New Roman"/>
          <w:sz w:val="28"/>
          <w:szCs w:val="28"/>
        </w:rPr>
        <w:t>in lieu of</w:t>
      </w:r>
      <w:r>
        <w:rPr>
          <w:rFonts w:ascii="Times New Roman" w:hAnsi="Times New Roman" w:cs="Times New Roman"/>
          <w:sz w:val="28"/>
          <w:szCs w:val="28"/>
        </w:rPr>
        <w:t xml:space="preserve"> the physical evidence.  </w:t>
      </w:r>
    </w:p>
    <w:p w14:paraId="75AB099F" w14:textId="77777777" w:rsidR="00312687" w:rsidRDefault="00312687" w:rsidP="00312687">
      <w:pPr>
        <w:spacing w:after="0" w:line="480" w:lineRule="auto"/>
        <w:jc w:val="both"/>
        <w:rPr>
          <w:rFonts w:ascii="Times New Roman" w:hAnsi="Times New Roman" w:cs="Times New Roman"/>
          <w:sz w:val="28"/>
          <w:szCs w:val="28"/>
        </w:rPr>
      </w:pPr>
    </w:p>
    <w:p w14:paraId="4DBF99E4" w14:textId="77777777" w:rsidR="00312687" w:rsidRDefault="00312687" w:rsidP="00312687">
      <w:pPr>
        <w:spacing w:after="0" w:line="480" w:lineRule="auto"/>
        <w:jc w:val="both"/>
        <w:rPr>
          <w:rFonts w:ascii="Times New Roman" w:hAnsi="Times New Roman" w:cs="Times New Roman"/>
          <w:sz w:val="28"/>
          <w:szCs w:val="28"/>
        </w:rPr>
      </w:pPr>
    </w:p>
    <w:p w14:paraId="196C5339" w14:textId="2B218CEF" w:rsidR="00695527" w:rsidRDefault="001D430B" w:rsidP="00695527">
      <w:pPr>
        <w:pStyle w:val="ListParagraph"/>
        <w:numPr>
          <w:ilvl w:val="0"/>
          <w:numId w:val="2"/>
        </w:numPr>
        <w:spacing w:after="0" w:line="480" w:lineRule="auto"/>
        <w:ind w:left="1440" w:hanging="720"/>
        <w:jc w:val="both"/>
        <w:rPr>
          <w:rFonts w:ascii="Times New Roman" w:hAnsi="Times New Roman" w:cs="Times New Roman"/>
          <w:b/>
          <w:bCs/>
          <w:sz w:val="28"/>
          <w:szCs w:val="28"/>
        </w:rPr>
      </w:pPr>
      <w:r>
        <w:rPr>
          <w:rFonts w:ascii="Times New Roman" w:hAnsi="Times New Roman" w:cs="Times New Roman"/>
          <w:b/>
          <w:bCs/>
          <w:sz w:val="28"/>
          <w:szCs w:val="28"/>
        </w:rPr>
        <w:lastRenderedPageBreak/>
        <w:t>To</w:t>
      </w:r>
      <w:r w:rsidR="007A2FC4">
        <w:rPr>
          <w:rFonts w:ascii="Times New Roman" w:hAnsi="Times New Roman" w:cs="Times New Roman"/>
          <w:b/>
          <w:bCs/>
          <w:sz w:val="28"/>
          <w:szCs w:val="28"/>
        </w:rPr>
        <w:t xml:space="preserve"> </w:t>
      </w:r>
      <w:r w:rsidR="00156802">
        <w:rPr>
          <w:rFonts w:ascii="Times New Roman" w:hAnsi="Times New Roman" w:cs="Times New Roman"/>
          <w:b/>
          <w:bCs/>
          <w:sz w:val="28"/>
          <w:szCs w:val="28"/>
        </w:rPr>
        <w:t>protect jurors</w:t>
      </w:r>
    </w:p>
    <w:p w14:paraId="4585E886" w14:textId="25445884" w:rsidR="00E43EBA" w:rsidRDefault="00F76595" w:rsidP="000F6846">
      <w:pPr>
        <w:spacing w:after="0" w:line="480" w:lineRule="auto"/>
        <w:ind w:firstLine="720"/>
        <w:jc w:val="both"/>
        <w:rPr>
          <w:rFonts w:ascii="Times New Roman" w:hAnsi="Times New Roman" w:cs="Times New Roman"/>
          <w:sz w:val="28"/>
          <w:szCs w:val="28"/>
        </w:rPr>
      </w:pPr>
      <w:proofErr w:type="gramStart"/>
      <w:r w:rsidRPr="22F46ACD">
        <w:rPr>
          <w:rFonts w:ascii="Times New Roman" w:hAnsi="Times New Roman" w:cs="Times New Roman"/>
          <w:sz w:val="28"/>
          <w:szCs w:val="28"/>
        </w:rPr>
        <w:t>In an effort to</w:t>
      </w:r>
      <w:proofErr w:type="gramEnd"/>
      <w:r w:rsidRPr="22F46ACD">
        <w:rPr>
          <w:rFonts w:ascii="Times New Roman" w:hAnsi="Times New Roman" w:cs="Times New Roman"/>
          <w:sz w:val="28"/>
          <w:szCs w:val="28"/>
        </w:rPr>
        <w:t xml:space="preserve"> </w:t>
      </w:r>
      <w:r w:rsidR="00372618" w:rsidRPr="22F46ACD">
        <w:rPr>
          <w:rFonts w:ascii="Times New Roman" w:hAnsi="Times New Roman" w:cs="Times New Roman"/>
          <w:sz w:val="28"/>
          <w:szCs w:val="28"/>
        </w:rPr>
        <w:t xml:space="preserve">protect jurors and others who might </w:t>
      </w:r>
      <w:r w:rsidR="350D2805" w:rsidRPr="22F46ACD">
        <w:rPr>
          <w:rFonts w:ascii="Times New Roman" w:hAnsi="Times New Roman" w:cs="Times New Roman"/>
          <w:sz w:val="28"/>
          <w:szCs w:val="28"/>
        </w:rPr>
        <w:t xml:space="preserve">come into physical contact with </w:t>
      </w:r>
      <w:r w:rsidR="00372618" w:rsidRPr="22F46ACD">
        <w:rPr>
          <w:rFonts w:ascii="Times New Roman" w:hAnsi="Times New Roman" w:cs="Times New Roman"/>
          <w:sz w:val="28"/>
          <w:szCs w:val="28"/>
        </w:rPr>
        <w:t xml:space="preserve">the </w:t>
      </w:r>
      <w:r w:rsidR="00787121" w:rsidRPr="22F46ACD">
        <w:rPr>
          <w:rFonts w:ascii="Times New Roman" w:hAnsi="Times New Roman" w:cs="Times New Roman"/>
          <w:sz w:val="28"/>
          <w:szCs w:val="28"/>
        </w:rPr>
        <w:t>hazardous</w:t>
      </w:r>
      <w:r w:rsidR="00372618" w:rsidRPr="22F46ACD">
        <w:rPr>
          <w:rFonts w:ascii="Times New Roman" w:hAnsi="Times New Roman" w:cs="Times New Roman"/>
          <w:sz w:val="28"/>
          <w:szCs w:val="28"/>
        </w:rPr>
        <w:t xml:space="preserve"> </w:t>
      </w:r>
      <w:r w:rsidR="00D415B2" w:rsidRPr="22F46ACD">
        <w:rPr>
          <w:rFonts w:ascii="Times New Roman" w:hAnsi="Times New Roman" w:cs="Times New Roman"/>
          <w:sz w:val="28"/>
          <w:szCs w:val="28"/>
        </w:rPr>
        <w:t>evidence,</w:t>
      </w:r>
      <w:r w:rsidR="003653E9" w:rsidRPr="22F46ACD">
        <w:rPr>
          <w:rFonts w:ascii="Times New Roman" w:hAnsi="Times New Roman" w:cs="Times New Roman"/>
          <w:sz w:val="28"/>
          <w:szCs w:val="28"/>
        </w:rPr>
        <w:t xml:space="preserve"> </w:t>
      </w:r>
      <w:r w:rsidR="50743A8E" w:rsidRPr="22F46ACD">
        <w:rPr>
          <w:rFonts w:ascii="Times New Roman" w:hAnsi="Times New Roman" w:cs="Times New Roman"/>
          <w:sz w:val="28"/>
          <w:szCs w:val="28"/>
        </w:rPr>
        <w:t xml:space="preserve">the proposed </w:t>
      </w:r>
      <w:r w:rsidR="451E46F8" w:rsidRPr="22F46ACD">
        <w:rPr>
          <w:rFonts w:ascii="Times New Roman" w:hAnsi="Times New Roman" w:cs="Times New Roman"/>
          <w:sz w:val="28"/>
          <w:szCs w:val="28"/>
        </w:rPr>
        <w:t xml:space="preserve">subsection </w:t>
      </w:r>
      <w:r w:rsidR="00A95F85" w:rsidRPr="22F46ACD">
        <w:rPr>
          <w:rFonts w:ascii="Times New Roman" w:hAnsi="Times New Roman" w:cs="Times New Roman"/>
          <w:sz w:val="28"/>
          <w:szCs w:val="28"/>
        </w:rPr>
        <w:t>(d)</w:t>
      </w:r>
      <w:r w:rsidR="408E3BC2" w:rsidRPr="22F46ACD">
        <w:rPr>
          <w:rFonts w:ascii="Times New Roman" w:hAnsi="Times New Roman" w:cs="Times New Roman"/>
          <w:sz w:val="28"/>
          <w:szCs w:val="28"/>
        </w:rPr>
        <w:t xml:space="preserve">, paragraph </w:t>
      </w:r>
      <w:r w:rsidR="00A95F85" w:rsidRPr="22F46ACD">
        <w:rPr>
          <w:rFonts w:ascii="Times New Roman" w:hAnsi="Times New Roman" w:cs="Times New Roman"/>
          <w:sz w:val="28"/>
          <w:szCs w:val="28"/>
        </w:rPr>
        <w:t>(2)</w:t>
      </w:r>
      <w:r w:rsidR="0FA9B738" w:rsidRPr="22F46ACD">
        <w:rPr>
          <w:rFonts w:ascii="Times New Roman" w:hAnsi="Times New Roman" w:cs="Times New Roman"/>
          <w:sz w:val="28"/>
          <w:szCs w:val="28"/>
        </w:rPr>
        <w:t>,</w:t>
      </w:r>
      <w:r w:rsidR="00A95F85" w:rsidRPr="22F46ACD">
        <w:rPr>
          <w:rFonts w:ascii="Times New Roman" w:hAnsi="Times New Roman" w:cs="Times New Roman"/>
          <w:sz w:val="28"/>
          <w:szCs w:val="28"/>
        </w:rPr>
        <w:t xml:space="preserve"> of </w:t>
      </w:r>
      <w:r w:rsidR="74F84643" w:rsidRPr="22F46ACD">
        <w:rPr>
          <w:rFonts w:ascii="Times New Roman" w:hAnsi="Times New Roman" w:cs="Times New Roman"/>
          <w:sz w:val="28"/>
          <w:szCs w:val="28"/>
        </w:rPr>
        <w:t>Rule 611</w:t>
      </w:r>
      <w:r w:rsidR="00250DCC" w:rsidRPr="22F46ACD">
        <w:rPr>
          <w:rFonts w:ascii="Times New Roman" w:hAnsi="Times New Roman" w:cs="Times New Roman"/>
          <w:sz w:val="28"/>
          <w:szCs w:val="28"/>
        </w:rPr>
        <w:t xml:space="preserve"> </w:t>
      </w:r>
      <w:r w:rsidR="00D415B2" w:rsidRPr="22F46ACD">
        <w:rPr>
          <w:rFonts w:ascii="Times New Roman" w:hAnsi="Times New Roman" w:cs="Times New Roman"/>
          <w:sz w:val="28"/>
          <w:szCs w:val="28"/>
        </w:rPr>
        <w:t xml:space="preserve">requires a digital representation of </w:t>
      </w:r>
      <w:r w:rsidR="00F26EF7" w:rsidRPr="22F46ACD">
        <w:rPr>
          <w:rFonts w:ascii="Times New Roman" w:hAnsi="Times New Roman" w:cs="Times New Roman"/>
          <w:sz w:val="28"/>
          <w:szCs w:val="28"/>
        </w:rPr>
        <w:t>the evidence to be admitted in lieu of the hazardous evidence</w:t>
      </w:r>
      <w:r w:rsidR="00695527" w:rsidRPr="22F46ACD">
        <w:rPr>
          <w:rFonts w:ascii="Times New Roman" w:hAnsi="Times New Roman" w:cs="Times New Roman"/>
          <w:sz w:val="28"/>
          <w:szCs w:val="28"/>
        </w:rPr>
        <w:t xml:space="preserve">. </w:t>
      </w:r>
      <w:r w:rsidR="00F26EF7" w:rsidRPr="22F46ACD">
        <w:rPr>
          <w:rFonts w:ascii="Times New Roman" w:hAnsi="Times New Roman" w:cs="Times New Roman"/>
          <w:sz w:val="28"/>
          <w:szCs w:val="28"/>
        </w:rPr>
        <w:t xml:space="preserve">The jury is not permitted to take custody of the </w:t>
      </w:r>
      <w:r w:rsidR="00787797" w:rsidRPr="22F46ACD">
        <w:rPr>
          <w:rFonts w:ascii="Times New Roman" w:hAnsi="Times New Roman" w:cs="Times New Roman"/>
          <w:sz w:val="28"/>
          <w:szCs w:val="28"/>
        </w:rPr>
        <w:t>hazardous</w:t>
      </w:r>
      <w:r w:rsidR="00F26EF7" w:rsidRPr="22F46ACD">
        <w:rPr>
          <w:rFonts w:ascii="Times New Roman" w:hAnsi="Times New Roman" w:cs="Times New Roman"/>
          <w:sz w:val="28"/>
          <w:szCs w:val="28"/>
        </w:rPr>
        <w:t xml:space="preserve"> </w:t>
      </w:r>
      <w:r w:rsidR="00787797" w:rsidRPr="22F46ACD">
        <w:rPr>
          <w:rFonts w:ascii="Times New Roman" w:hAnsi="Times New Roman" w:cs="Times New Roman"/>
          <w:sz w:val="28"/>
          <w:szCs w:val="28"/>
        </w:rPr>
        <w:t xml:space="preserve">evidence but may view it in the courtroom. </w:t>
      </w:r>
      <w:r w:rsidR="00695527" w:rsidRPr="22F46ACD">
        <w:rPr>
          <w:rFonts w:ascii="Times New Roman" w:hAnsi="Times New Roman" w:cs="Times New Roman"/>
          <w:sz w:val="28"/>
          <w:szCs w:val="28"/>
        </w:rPr>
        <w:t xml:space="preserve">  </w:t>
      </w:r>
    </w:p>
    <w:p w14:paraId="6BC16CF9" w14:textId="0CA5C099" w:rsidR="00695527" w:rsidRPr="00A95F85" w:rsidRDefault="00695527" w:rsidP="0069552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Online digital evidence portals are</w:t>
      </w:r>
      <w:r w:rsidRPr="1D7108EC">
        <w:rPr>
          <w:rFonts w:ascii="Times New Roman" w:hAnsi="Times New Roman" w:cs="Times New Roman"/>
          <w:sz w:val="28"/>
          <w:szCs w:val="28"/>
        </w:rPr>
        <w:t xml:space="preserve"> being </w:t>
      </w:r>
      <w:r>
        <w:rPr>
          <w:rFonts w:ascii="Times New Roman" w:hAnsi="Times New Roman" w:cs="Times New Roman"/>
          <w:sz w:val="28"/>
          <w:szCs w:val="28"/>
        </w:rPr>
        <w:t xml:space="preserve">implemented </w:t>
      </w:r>
      <w:r w:rsidRPr="1D7108EC">
        <w:rPr>
          <w:rFonts w:ascii="Times New Roman" w:hAnsi="Times New Roman" w:cs="Times New Roman"/>
          <w:sz w:val="28"/>
          <w:szCs w:val="28"/>
        </w:rPr>
        <w:t xml:space="preserve">in </w:t>
      </w:r>
      <w:r>
        <w:rPr>
          <w:rFonts w:ascii="Times New Roman" w:hAnsi="Times New Roman" w:cs="Times New Roman"/>
          <w:sz w:val="28"/>
          <w:szCs w:val="28"/>
        </w:rPr>
        <w:t xml:space="preserve">trial courts throughout the state. Having </w:t>
      </w:r>
      <w:proofErr w:type="gramStart"/>
      <w:r>
        <w:rPr>
          <w:rFonts w:ascii="Times New Roman" w:hAnsi="Times New Roman" w:cs="Times New Roman"/>
          <w:sz w:val="28"/>
          <w:szCs w:val="28"/>
        </w:rPr>
        <w:t>an online evidence</w:t>
      </w:r>
      <w:proofErr w:type="gramEnd"/>
      <w:r>
        <w:rPr>
          <w:rFonts w:ascii="Times New Roman" w:hAnsi="Times New Roman" w:cs="Times New Roman"/>
          <w:sz w:val="28"/>
          <w:szCs w:val="28"/>
        </w:rPr>
        <w:t xml:space="preserve"> portal available for introducing digital forms of evidence, such as photos and videos that are a sufficient substitute for hazardous evidence, allows the clerk, court staff, and litigants to safely upload, process, and access evidence </w:t>
      </w:r>
      <w:r w:rsidRPr="1D7108EC">
        <w:rPr>
          <w:rFonts w:ascii="Times New Roman" w:hAnsi="Times New Roman" w:cs="Times New Roman"/>
          <w:sz w:val="28"/>
          <w:szCs w:val="28"/>
        </w:rPr>
        <w:t xml:space="preserve">that </w:t>
      </w:r>
      <w:r>
        <w:rPr>
          <w:rFonts w:ascii="Times New Roman" w:hAnsi="Times New Roman" w:cs="Times New Roman"/>
          <w:sz w:val="28"/>
          <w:szCs w:val="28"/>
        </w:rPr>
        <w:t xml:space="preserve">could otherwise cause harm if physically brought into the courtroom.  </w:t>
      </w:r>
      <w:r w:rsidRPr="1D7108EC">
        <w:rPr>
          <w:rFonts w:ascii="Times New Roman" w:hAnsi="Times New Roman" w:cs="Times New Roman"/>
          <w:sz w:val="28"/>
          <w:szCs w:val="28"/>
        </w:rPr>
        <w:t>Even absent the availability of an online portal in a particular court, there are still mechanisms to process, present</w:t>
      </w:r>
      <w:r w:rsidR="58E95902" w:rsidRPr="22F46ACD">
        <w:rPr>
          <w:rFonts w:ascii="Times New Roman" w:hAnsi="Times New Roman" w:cs="Times New Roman"/>
          <w:sz w:val="28"/>
          <w:szCs w:val="28"/>
        </w:rPr>
        <w:t>,</w:t>
      </w:r>
      <w:r w:rsidRPr="1D7108EC">
        <w:rPr>
          <w:rFonts w:ascii="Times New Roman" w:hAnsi="Times New Roman" w:cs="Times New Roman"/>
          <w:sz w:val="28"/>
          <w:szCs w:val="28"/>
        </w:rPr>
        <w:t xml:space="preserve"> and admit digital evidence. </w:t>
      </w:r>
      <w:r>
        <w:rPr>
          <w:rFonts w:ascii="Times New Roman" w:hAnsi="Times New Roman" w:cs="Times New Roman"/>
          <w:sz w:val="28"/>
          <w:szCs w:val="28"/>
        </w:rPr>
        <w:t xml:space="preserve"> </w:t>
      </w:r>
      <w:r w:rsidRPr="1D7108EC">
        <w:rPr>
          <w:rFonts w:ascii="Times New Roman" w:hAnsi="Times New Roman" w:cs="Times New Roman"/>
          <w:sz w:val="28"/>
          <w:szCs w:val="28"/>
        </w:rPr>
        <w:t xml:space="preserve">It is noted that the </w:t>
      </w:r>
      <w:r>
        <w:rPr>
          <w:rFonts w:ascii="Times New Roman" w:hAnsi="Times New Roman" w:cs="Times New Roman"/>
          <w:sz w:val="28"/>
          <w:szCs w:val="28"/>
        </w:rPr>
        <w:t>Court of Appeals always uses digital evidence in</w:t>
      </w:r>
      <w:r w:rsidRPr="1D7108EC">
        <w:rPr>
          <w:rFonts w:ascii="Times New Roman" w:hAnsi="Times New Roman" w:cs="Times New Roman"/>
          <w:sz w:val="28"/>
          <w:szCs w:val="28"/>
        </w:rPr>
        <w:t xml:space="preserve"> its </w:t>
      </w:r>
      <w:r>
        <w:rPr>
          <w:rFonts w:ascii="Times New Roman" w:hAnsi="Times New Roman" w:cs="Times New Roman"/>
          <w:sz w:val="28"/>
          <w:szCs w:val="28"/>
        </w:rPr>
        <w:t>case reviews</w:t>
      </w:r>
      <w:r w:rsidRPr="1D7108EC">
        <w:rPr>
          <w:rFonts w:ascii="Times New Roman" w:hAnsi="Times New Roman" w:cs="Times New Roman"/>
          <w:sz w:val="28"/>
          <w:szCs w:val="28"/>
        </w:rPr>
        <w:t>.</w:t>
      </w:r>
      <w:r>
        <w:rPr>
          <w:rFonts w:ascii="Times New Roman" w:hAnsi="Times New Roman" w:cs="Times New Roman"/>
          <w:sz w:val="28"/>
          <w:szCs w:val="28"/>
        </w:rPr>
        <w:t xml:space="preserve"> </w:t>
      </w:r>
      <w:r w:rsidRPr="1D7108EC">
        <w:rPr>
          <w:rFonts w:ascii="Times New Roman" w:hAnsi="Times New Roman" w:cs="Times New Roman"/>
          <w:sz w:val="28"/>
          <w:szCs w:val="28"/>
        </w:rPr>
        <w:t xml:space="preserve">An </w:t>
      </w:r>
      <w:r>
        <w:rPr>
          <w:rFonts w:ascii="Times New Roman" w:hAnsi="Times New Roman" w:cs="Times New Roman"/>
          <w:sz w:val="28"/>
          <w:szCs w:val="28"/>
        </w:rPr>
        <w:t xml:space="preserve">online portal typically assists with transferring </w:t>
      </w:r>
      <w:r w:rsidRPr="1D7108EC">
        <w:rPr>
          <w:rFonts w:ascii="Times New Roman" w:hAnsi="Times New Roman" w:cs="Times New Roman"/>
          <w:sz w:val="28"/>
          <w:szCs w:val="28"/>
        </w:rPr>
        <w:t xml:space="preserve">evidence </w:t>
      </w:r>
      <w:r>
        <w:rPr>
          <w:rFonts w:ascii="Times New Roman" w:hAnsi="Times New Roman" w:cs="Times New Roman"/>
          <w:sz w:val="28"/>
          <w:szCs w:val="28"/>
        </w:rPr>
        <w:t xml:space="preserve">electronically from a lower court.  </w:t>
      </w:r>
    </w:p>
    <w:p w14:paraId="767E804B" w14:textId="77777777" w:rsidR="00695527" w:rsidRDefault="00695527" w:rsidP="00695527">
      <w:pPr>
        <w:pStyle w:val="ListParagraph"/>
        <w:numPr>
          <w:ilvl w:val="0"/>
          <w:numId w:val="2"/>
        </w:numPr>
        <w:spacing w:after="0" w:line="480" w:lineRule="auto"/>
        <w:ind w:left="1440" w:hanging="720"/>
        <w:jc w:val="both"/>
        <w:rPr>
          <w:rFonts w:ascii="Times New Roman" w:hAnsi="Times New Roman" w:cs="Times New Roman"/>
          <w:b/>
          <w:bCs/>
          <w:sz w:val="28"/>
          <w:szCs w:val="28"/>
        </w:rPr>
      </w:pPr>
      <w:r>
        <w:rPr>
          <w:rFonts w:ascii="Times New Roman" w:hAnsi="Times New Roman" w:cs="Times New Roman"/>
          <w:b/>
          <w:bCs/>
          <w:sz w:val="28"/>
          <w:szCs w:val="28"/>
        </w:rPr>
        <w:t>To protect clerks.</w:t>
      </w:r>
    </w:p>
    <w:p w14:paraId="6E0CB68D" w14:textId="504B0BDB" w:rsidR="00695527" w:rsidRDefault="00455C20" w:rsidP="00695527">
      <w:pPr>
        <w:spacing w:after="0" w:line="480" w:lineRule="auto"/>
        <w:ind w:firstLine="720"/>
        <w:jc w:val="both"/>
        <w:rPr>
          <w:rFonts w:ascii="Times New Roman" w:hAnsi="Times New Roman" w:cs="Times New Roman"/>
          <w:sz w:val="28"/>
          <w:szCs w:val="28"/>
        </w:rPr>
      </w:pPr>
      <w:r w:rsidRPr="22F46ACD">
        <w:rPr>
          <w:rFonts w:ascii="Times New Roman" w:hAnsi="Times New Roman" w:cs="Times New Roman"/>
          <w:sz w:val="28"/>
          <w:szCs w:val="28"/>
        </w:rPr>
        <w:t xml:space="preserve">The proposed </w:t>
      </w:r>
      <w:r w:rsidR="430C0ACB" w:rsidRPr="22F46ACD">
        <w:rPr>
          <w:rFonts w:ascii="Times New Roman" w:hAnsi="Times New Roman" w:cs="Times New Roman"/>
          <w:sz w:val="28"/>
          <w:szCs w:val="28"/>
        </w:rPr>
        <w:t>addition of sub</w:t>
      </w:r>
      <w:r w:rsidRPr="22F46ACD">
        <w:rPr>
          <w:rFonts w:ascii="Times New Roman" w:hAnsi="Times New Roman" w:cs="Times New Roman"/>
          <w:sz w:val="28"/>
          <w:szCs w:val="28"/>
        </w:rPr>
        <w:t>section (d)</w:t>
      </w:r>
      <w:r w:rsidR="57A82794" w:rsidRPr="22F46ACD">
        <w:rPr>
          <w:rFonts w:ascii="Times New Roman" w:hAnsi="Times New Roman" w:cs="Times New Roman"/>
          <w:sz w:val="28"/>
          <w:szCs w:val="28"/>
        </w:rPr>
        <w:t xml:space="preserve">, paragraph </w:t>
      </w:r>
      <w:r w:rsidRPr="22F46ACD">
        <w:rPr>
          <w:rFonts w:ascii="Times New Roman" w:hAnsi="Times New Roman" w:cs="Times New Roman"/>
          <w:sz w:val="28"/>
          <w:szCs w:val="28"/>
        </w:rPr>
        <w:t>(3)</w:t>
      </w:r>
      <w:r w:rsidR="522F0987" w:rsidRPr="22F46ACD">
        <w:rPr>
          <w:rFonts w:ascii="Times New Roman" w:hAnsi="Times New Roman" w:cs="Times New Roman"/>
          <w:sz w:val="28"/>
          <w:szCs w:val="28"/>
        </w:rPr>
        <w:t>, to Rule 611</w:t>
      </w:r>
      <w:r w:rsidRPr="22F46ACD">
        <w:rPr>
          <w:rFonts w:ascii="Times New Roman" w:hAnsi="Times New Roman" w:cs="Times New Roman"/>
          <w:sz w:val="28"/>
          <w:szCs w:val="28"/>
        </w:rPr>
        <w:t xml:space="preserve"> </w:t>
      </w:r>
      <w:r w:rsidR="350F9CF6" w:rsidRPr="22F46ACD">
        <w:rPr>
          <w:rFonts w:ascii="Times New Roman" w:hAnsi="Times New Roman" w:cs="Times New Roman"/>
          <w:sz w:val="28"/>
          <w:szCs w:val="28"/>
        </w:rPr>
        <w:t>prohibits</w:t>
      </w:r>
      <w:r w:rsidR="001C11FC" w:rsidRPr="22F46ACD">
        <w:rPr>
          <w:rFonts w:ascii="Times New Roman" w:hAnsi="Times New Roman" w:cs="Times New Roman"/>
          <w:sz w:val="28"/>
          <w:szCs w:val="28"/>
        </w:rPr>
        <w:t xml:space="preserve"> the clerk of the court</w:t>
      </w:r>
      <w:r w:rsidR="005B4B23" w:rsidRPr="22F46ACD">
        <w:rPr>
          <w:rFonts w:ascii="Times New Roman" w:hAnsi="Times New Roman" w:cs="Times New Roman"/>
          <w:sz w:val="28"/>
          <w:szCs w:val="28"/>
        </w:rPr>
        <w:t xml:space="preserve"> </w:t>
      </w:r>
      <w:r w:rsidR="50E9AD2A" w:rsidRPr="22F46ACD">
        <w:rPr>
          <w:rFonts w:ascii="Times New Roman" w:hAnsi="Times New Roman" w:cs="Times New Roman"/>
          <w:sz w:val="28"/>
          <w:szCs w:val="28"/>
        </w:rPr>
        <w:t>from accepting possession of hazardous evidence for any purpose</w:t>
      </w:r>
      <w:r w:rsidR="005B4B23" w:rsidRPr="22F46ACD">
        <w:rPr>
          <w:rFonts w:ascii="Times New Roman" w:hAnsi="Times New Roman" w:cs="Times New Roman"/>
          <w:sz w:val="28"/>
          <w:szCs w:val="28"/>
        </w:rPr>
        <w:t xml:space="preserve">. </w:t>
      </w:r>
      <w:r w:rsidR="00236CBA" w:rsidRPr="22F46ACD">
        <w:rPr>
          <w:rFonts w:ascii="Times New Roman" w:hAnsi="Times New Roman" w:cs="Times New Roman"/>
          <w:sz w:val="28"/>
          <w:szCs w:val="28"/>
        </w:rPr>
        <w:t xml:space="preserve">It is </w:t>
      </w:r>
      <w:r w:rsidR="00394BEB" w:rsidRPr="22F46ACD">
        <w:rPr>
          <w:rFonts w:ascii="Times New Roman" w:hAnsi="Times New Roman" w:cs="Times New Roman"/>
          <w:sz w:val="28"/>
          <w:szCs w:val="28"/>
        </w:rPr>
        <w:t>contemplated that a</w:t>
      </w:r>
      <w:r w:rsidR="00D31FD9" w:rsidRPr="22F46ACD">
        <w:rPr>
          <w:rFonts w:ascii="Times New Roman" w:hAnsi="Times New Roman" w:cs="Times New Roman"/>
          <w:sz w:val="28"/>
          <w:szCs w:val="28"/>
        </w:rPr>
        <w:t xml:space="preserve"> </w:t>
      </w:r>
      <w:r w:rsidR="3AF20138" w:rsidRPr="22F46ACD">
        <w:rPr>
          <w:rFonts w:ascii="Times New Roman" w:hAnsi="Times New Roman" w:cs="Times New Roman"/>
          <w:sz w:val="28"/>
          <w:szCs w:val="28"/>
        </w:rPr>
        <w:t>c</w:t>
      </w:r>
      <w:r w:rsidR="00D31FD9" w:rsidRPr="22F46ACD">
        <w:rPr>
          <w:rFonts w:ascii="Times New Roman" w:hAnsi="Times New Roman" w:cs="Times New Roman"/>
          <w:sz w:val="28"/>
          <w:szCs w:val="28"/>
        </w:rPr>
        <w:t>lerk will neither</w:t>
      </w:r>
      <w:r w:rsidR="00695527">
        <w:rPr>
          <w:rFonts w:ascii="Times New Roman" w:hAnsi="Times New Roman" w:cs="Times New Roman"/>
          <w:sz w:val="28"/>
          <w:szCs w:val="28"/>
        </w:rPr>
        <w:t xml:space="preserve"> handle </w:t>
      </w:r>
      <w:r w:rsidR="00D31FD9" w:rsidRPr="22F46ACD">
        <w:rPr>
          <w:rFonts w:ascii="Times New Roman" w:hAnsi="Times New Roman" w:cs="Times New Roman"/>
          <w:sz w:val="28"/>
          <w:szCs w:val="28"/>
        </w:rPr>
        <w:t>no</w:t>
      </w:r>
      <w:r w:rsidR="00D8388A" w:rsidRPr="22F46ACD">
        <w:rPr>
          <w:rFonts w:ascii="Times New Roman" w:hAnsi="Times New Roman" w:cs="Times New Roman"/>
          <w:sz w:val="28"/>
          <w:szCs w:val="28"/>
        </w:rPr>
        <w:t xml:space="preserve">r assume custody of </w:t>
      </w:r>
      <w:r w:rsidR="00D8388A" w:rsidRPr="22F46ACD">
        <w:rPr>
          <w:rFonts w:ascii="Times New Roman" w:hAnsi="Times New Roman" w:cs="Times New Roman"/>
          <w:sz w:val="28"/>
          <w:szCs w:val="28"/>
        </w:rPr>
        <w:lastRenderedPageBreak/>
        <w:t xml:space="preserve">the </w:t>
      </w:r>
      <w:r w:rsidR="00695527">
        <w:rPr>
          <w:rFonts w:ascii="Times New Roman" w:hAnsi="Times New Roman" w:cs="Times New Roman"/>
          <w:sz w:val="28"/>
          <w:szCs w:val="28"/>
        </w:rPr>
        <w:t xml:space="preserve">hazardous evidence when it is admitted </w:t>
      </w:r>
      <w:r w:rsidR="47742262" w:rsidRPr="22F46ACD">
        <w:rPr>
          <w:rFonts w:ascii="Times New Roman" w:hAnsi="Times New Roman" w:cs="Times New Roman"/>
          <w:sz w:val="28"/>
          <w:szCs w:val="28"/>
        </w:rPr>
        <w:t>by</w:t>
      </w:r>
      <w:r w:rsidR="00F55F78" w:rsidRPr="22F46ACD">
        <w:rPr>
          <w:rFonts w:ascii="Times New Roman" w:hAnsi="Times New Roman" w:cs="Times New Roman"/>
          <w:sz w:val="28"/>
          <w:szCs w:val="28"/>
        </w:rPr>
        <w:t xml:space="preserve"> </w:t>
      </w:r>
      <w:r w:rsidR="00695527">
        <w:rPr>
          <w:rFonts w:ascii="Times New Roman" w:hAnsi="Times New Roman" w:cs="Times New Roman"/>
          <w:sz w:val="28"/>
          <w:szCs w:val="28"/>
        </w:rPr>
        <w:t>court order</w:t>
      </w:r>
      <w:r w:rsidR="00D8388A" w:rsidRPr="22F46ACD">
        <w:rPr>
          <w:rFonts w:ascii="Times New Roman" w:hAnsi="Times New Roman" w:cs="Times New Roman"/>
          <w:sz w:val="28"/>
          <w:szCs w:val="28"/>
        </w:rPr>
        <w:t>.</w:t>
      </w:r>
      <w:r w:rsidR="00394BEB" w:rsidRPr="22F46ACD">
        <w:rPr>
          <w:rFonts w:ascii="Times New Roman" w:hAnsi="Times New Roman" w:cs="Times New Roman"/>
          <w:sz w:val="28"/>
          <w:szCs w:val="28"/>
        </w:rPr>
        <w:t xml:space="preserve"> The </w:t>
      </w:r>
      <w:r w:rsidR="0B415489" w:rsidRPr="22F46ACD">
        <w:rPr>
          <w:rFonts w:ascii="Times New Roman" w:hAnsi="Times New Roman" w:cs="Times New Roman"/>
          <w:sz w:val="28"/>
          <w:szCs w:val="28"/>
        </w:rPr>
        <w:t>c</w:t>
      </w:r>
      <w:r w:rsidR="00394BEB" w:rsidRPr="22F46ACD">
        <w:rPr>
          <w:rFonts w:ascii="Times New Roman" w:hAnsi="Times New Roman" w:cs="Times New Roman"/>
          <w:sz w:val="28"/>
          <w:szCs w:val="28"/>
        </w:rPr>
        <w:t xml:space="preserve">lerk will </w:t>
      </w:r>
      <w:r w:rsidR="19F96833" w:rsidRPr="22F46ACD">
        <w:rPr>
          <w:rFonts w:ascii="Times New Roman" w:hAnsi="Times New Roman" w:cs="Times New Roman"/>
          <w:sz w:val="28"/>
          <w:szCs w:val="28"/>
        </w:rPr>
        <w:t>prepare</w:t>
      </w:r>
      <w:r w:rsidR="00695527">
        <w:rPr>
          <w:rFonts w:ascii="Times New Roman" w:hAnsi="Times New Roman" w:cs="Times New Roman"/>
          <w:sz w:val="28"/>
          <w:szCs w:val="28"/>
        </w:rPr>
        <w:t xml:space="preserve"> the </w:t>
      </w:r>
      <w:r w:rsidR="00394BEB" w:rsidRPr="22F46ACD">
        <w:rPr>
          <w:rFonts w:ascii="Times New Roman" w:hAnsi="Times New Roman" w:cs="Times New Roman"/>
          <w:sz w:val="28"/>
          <w:szCs w:val="28"/>
        </w:rPr>
        <w:t>exhibit tag</w:t>
      </w:r>
      <w:r w:rsidR="7C021068" w:rsidRPr="22F46ACD">
        <w:rPr>
          <w:rFonts w:ascii="Times New Roman" w:hAnsi="Times New Roman" w:cs="Times New Roman"/>
          <w:sz w:val="28"/>
          <w:szCs w:val="28"/>
        </w:rPr>
        <w:t xml:space="preserve"> and</w:t>
      </w:r>
      <w:r w:rsidR="77CC7B87" w:rsidRPr="22F46ACD">
        <w:rPr>
          <w:rFonts w:ascii="Times New Roman" w:hAnsi="Times New Roman" w:cs="Times New Roman"/>
          <w:sz w:val="28"/>
          <w:szCs w:val="28"/>
        </w:rPr>
        <w:t xml:space="preserve"> give it</w:t>
      </w:r>
      <w:r w:rsidR="00394BEB" w:rsidRPr="22F46ACD">
        <w:rPr>
          <w:rFonts w:ascii="Times New Roman" w:hAnsi="Times New Roman" w:cs="Times New Roman"/>
          <w:sz w:val="28"/>
          <w:szCs w:val="28"/>
        </w:rPr>
        <w:t xml:space="preserve"> to the custodian of</w:t>
      </w:r>
      <w:r w:rsidR="0A2B3690" w:rsidRPr="22F46ACD">
        <w:rPr>
          <w:rFonts w:ascii="Times New Roman" w:hAnsi="Times New Roman" w:cs="Times New Roman"/>
          <w:sz w:val="28"/>
          <w:szCs w:val="28"/>
        </w:rPr>
        <w:t xml:space="preserve"> the</w:t>
      </w:r>
      <w:r w:rsidR="00394BEB" w:rsidRPr="22F46ACD">
        <w:rPr>
          <w:rFonts w:ascii="Times New Roman" w:hAnsi="Times New Roman" w:cs="Times New Roman"/>
          <w:sz w:val="28"/>
          <w:szCs w:val="28"/>
        </w:rPr>
        <w:t xml:space="preserve"> </w:t>
      </w:r>
      <w:r w:rsidR="10EAD54C" w:rsidRPr="22F46ACD">
        <w:rPr>
          <w:rFonts w:ascii="Times New Roman" w:hAnsi="Times New Roman" w:cs="Times New Roman"/>
          <w:sz w:val="28"/>
          <w:szCs w:val="28"/>
        </w:rPr>
        <w:t xml:space="preserve">hazardous </w:t>
      </w:r>
      <w:r w:rsidR="00394BEB" w:rsidRPr="22F46ACD">
        <w:rPr>
          <w:rFonts w:ascii="Times New Roman" w:hAnsi="Times New Roman" w:cs="Times New Roman"/>
          <w:sz w:val="28"/>
          <w:szCs w:val="28"/>
        </w:rPr>
        <w:t>evidence</w:t>
      </w:r>
      <w:r w:rsidR="6E04140B" w:rsidRPr="22F46ACD">
        <w:rPr>
          <w:rFonts w:ascii="Times New Roman" w:hAnsi="Times New Roman" w:cs="Times New Roman"/>
          <w:sz w:val="28"/>
          <w:szCs w:val="28"/>
        </w:rPr>
        <w:t>,</w:t>
      </w:r>
      <w:r w:rsidR="00394BEB" w:rsidRPr="22F46ACD">
        <w:rPr>
          <w:rFonts w:ascii="Times New Roman" w:hAnsi="Times New Roman" w:cs="Times New Roman"/>
          <w:sz w:val="28"/>
          <w:szCs w:val="28"/>
        </w:rPr>
        <w:t xml:space="preserve"> who will </w:t>
      </w:r>
      <w:r w:rsidR="73582E4B" w:rsidRPr="22F46ACD">
        <w:rPr>
          <w:rFonts w:ascii="Times New Roman" w:hAnsi="Times New Roman" w:cs="Times New Roman"/>
          <w:sz w:val="28"/>
          <w:szCs w:val="28"/>
        </w:rPr>
        <w:t xml:space="preserve">then </w:t>
      </w:r>
      <w:r w:rsidR="00394BEB" w:rsidRPr="22F46ACD">
        <w:rPr>
          <w:rFonts w:ascii="Times New Roman" w:hAnsi="Times New Roman" w:cs="Times New Roman"/>
          <w:sz w:val="28"/>
          <w:szCs w:val="28"/>
        </w:rPr>
        <w:t xml:space="preserve">attach it to the </w:t>
      </w:r>
      <w:r w:rsidR="00ED5294" w:rsidRPr="22F46ACD">
        <w:rPr>
          <w:rFonts w:ascii="Times New Roman" w:hAnsi="Times New Roman" w:cs="Times New Roman"/>
          <w:sz w:val="28"/>
          <w:szCs w:val="28"/>
        </w:rPr>
        <w:t xml:space="preserve">evidence under the eye of the </w:t>
      </w:r>
      <w:r w:rsidR="7BB60E42" w:rsidRPr="22F46ACD">
        <w:rPr>
          <w:rFonts w:ascii="Times New Roman" w:hAnsi="Times New Roman" w:cs="Times New Roman"/>
          <w:sz w:val="28"/>
          <w:szCs w:val="28"/>
        </w:rPr>
        <w:t>c</w:t>
      </w:r>
      <w:r w:rsidR="00ED5294" w:rsidRPr="22F46ACD">
        <w:rPr>
          <w:rFonts w:ascii="Times New Roman" w:hAnsi="Times New Roman" w:cs="Times New Roman"/>
          <w:sz w:val="28"/>
          <w:szCs w:val="28"/>
        </w:rPr>
        <w:t>lerk.</w:t>
      </w:r>
      <w:r w:rsidR="00D8388A" w:rsidRPr="22F46ACD">
        <w:rPr>
          <w:rFonts w:ascii="Times New Roman" w:hAnsi="Times New Roman" w:cs="Times New Roman"/>
          <w:sz w:val="28"/>
          <w:szCs w:val="28"/>
        </w:rPr>
        <w:t xml:space="preserve"> </w:t>
      </w:r>
      <w:r w:rsidR="00802B28" w:rsidRPr="22F46ACD">
        <w:rPr>
          <w:rFonts w:ascii="Times New Roman" w:hAnsi="Times New Roman" w:cs="Times New Roman"/>
          <w:sz w:val="28"/>
          <w:szCs w:val="28"/>
        </w:rPr>
        <w:t xml:space="preserve">The </w:t>
      </w:r>
      <w:r w:rsidR="00695527">
        <w:rPr>
          <w:rFonts w:ascii="Times New Roman" w:hAnsi="Times New Roman" w:cs="Times New Roman"/>
          <w:sz w:val="28"/>
          <w:szCs w:val="28"/>
        </w:rPr>
        <w:t xml:space="preserve">clerk will not store </w:t>
      </w:r>
      <w:r w:rsidR="00802B28" w:rsidRPr="22F46ACD">
        <w:rPr>
          <w:rFonts w:ascii="Times New Roman" w:hAnsi="Times New Roman" w:cs="Times New Roman"/>
          <w:sz w:val="28"/>
          <w:szCs w:val="28"/>
        </w:rPr>
        <w:t xml:space="preserve">the </w:t>
      </w:r>
      <w:r w:rsidR="440F2350" w:rsidRPr="22F46ACD">
        <w:rPr>
          <w:rFonts w:ascii="Times New Roman" w:hAnsi="Times New Roman" w:cs="Times New Roman"/>
          <w:sz w:val="28"/>
          <w:szCs w:val="28"/>
        </w:rPr>
        <w:t>hazardous</w:t>
      </w:r>
      <w:r w:rsidR="00802B28" w:rsidRPr="22F46ACD">
        <w:rPr>
          <w:rFonts w:ascii="Times New Roman" w:hAnsi="Times New Roman" w:cs="Times New Roman"/>
          <w:sz w:val="28"/>
          <w:szCs w:val="28"/>
        </w:rPr>
        <w:t xml:space="preserve"> evidence</w:t>
      </w:r>
      <w:r w:rsidR="00856B88" w:rsidRPr="22F46ACD">
        <w:rPr>
          <w:rFonts w:ascii="Times New Roman" w:hAnsi="Times New Roman" w:cs="Times New Roman"/>
          <w:sz w:val="28"/>
          <w:szCs w:val="28"/>
        </w:rPr>
        <w:t>.</w:t>
      </w:r>
      <w:r w:rsidR="00802B28" w:rsidRPr="22F46ACD">
        <w:rPr>
          <w:rFonts w:ascii="Times New Roman" w:hAnsi="Times New Roman" w:cs="Times New Roman"/>
          <w:sz w:val="28"/>
          <w:szCs w:val="28"/>
        </w:rPr>
        <w:t xml:space="preserve"> </w:t>
      </w:r>
      <w:r w:rsidR="4E48940C" w:rsidRPr="22F46ACD">
        <w:rPr>
          <w:rFonts w:ascii="Times New Roman" w:hAnsi="Times New Roman" w:cs="Times New Roman"/>
          <w:sz w:val="28"/>
          <w:szCs w:val="28"/>
        </w:rPr>
        <w:t>Instead</w:t>
      </w:r>
      <w:r w:rsidR="00E9783D" w:rsidRPr="22F46ACD">
        <w:rPr>
          <w:rFonts w:ascii="Times New Roman" w:hAnsi="Times New Roman" w:cs="Times New Roman"/>
          <w:sz w:val="28"/>
          <w:szCs w:val="28"/>
        </w:rPr>
        <w:t xml:space="preserve">, </w:t>
      </w:r>
      <w:r w:rsidR="543C5BDF" w:rsidRPr="22F46ACD">
        <w:rPr>
          <w:rFonts w:ascii="Times New Roman" w:hAnsi="Times New Roman" w:cs="Times New Roman"/>
          <w:sz w:val="28"/>
          <w:szCs w:val="28"/>
        </w:rPr>
        <w:t>the</w:t>
      </w:r>
      <w:r w:rsidR="00695527">
        <w:rPr>
          <w:rFonts w:ascii="Times New Roman" w:hAnsi="Times New Roman" w:cs="Times New Roman"/>
          <w:sz w:val="28"/>
          <w:szCs w:val="28"/>
        </w:rPr>
        <w:t xml:space="preserve"> hazardous evidence would be retained by the custodian of that evidence as provided in </w:t>
      </w:r>
      <w:r w:rsidR="600844F7" w:rsidRPr="22F46ACD">
        <w:rPr>
          <w:rFonts w:ascii="Times New Roman" w:hAnsi="Times New Roman" w:cs="Times New Roman"/>
          <w:sz w:val="28"/>
          <w:szCs w:val="28"/>
        </w:rPr>
        <w:t>the</w:t>
      </w:r>
      <w:r w:rsidR="00C62FD3" w:rsidRPr="22F46ACD">
        <w:rPr>
          <w:rFonts w:ascii="Times New Roman" w:hAnsi="Times New Roman" w:cs="Times New Roman"/>
          <w:sz w:val="28"/>
          <w:szCs w:val="28"/>
        </w:rPr>
        <w:t xml:space="preserve"> </w:t>
      </w:r>
      <w:r w:rsidR="600844F7" w:rsidRPr="22F46ACD">
        <w:rPr>
          <w:rFonts w:ascii="Times New Roman" w:hAnsi="Times New Roman" w:cs="Times New Roman"/>
          <w:sz w:val="28"/>
          <w:szCs w:val="28"/>
        </w:rPr>
        <w:t xml:space="preserve">proposed </w:t>
      </w:r>
      <w:r w:rsidR="00695527">
        <w:rPr>
          <w:rFonts w:ascii="Times New Roman" w:hAnsi="Times New Roman" w:cs="Times New Roman"/>
          <w:sz w:val="28"/>
          <w:szCs w:val="28"/>
        </w:rPr>
        <w:t>Rule 611(d)(4</w:t>
      </w:r>
      <w:r w:rsidR="00695527" w:rsidRPr="22F46ACD">
        <w:rPr>
          <w:rFonts w:ascii="Times New Roman" w:hAnsi="Times New Roman" w:cs="Times New Roman"/>
          <w:sz w:val="28"/>
          <w:szCs w:val="28"/>
        </w:rPr>
        <w:t>)</w:t>
      </w:r>
      <w:r w:rsidR="719EB09B" w:rsidRPr="22F46ACD">
        <w:rPr>
          <w:rFonts w:ascii="Times New Roman" w:hAnsi="Times New Roman" w:cs="Times New Roman"/>
          <w:sz w:val="28"/>
          <w:szCs w:val="28"/>
        </w:rPr>
        <w:t>, discussed below</w:t>
      </w:r>
      <w:r w:rsidR="00695527" w:rsidRPr="22F46ACD">
        <w:rPr>
          <w:rFonts w:ascii="Times New Roman" w:hAnsi="Times New Roman" w:cs="Times New Roman"/>
          <w:sz w:val="28"/>
          <w:szCs w:val="28"/>
        </w:rPr>
        <w:t>.</w:t>
      </w:r>
      <w:r w:rsidR="00695527">
        <w:rPr>
          <w:rFonts w:ascii="Times New Roman" w:hAnsi="Times New Roman" w:cs="Times New Roman"/>
          <w:sz w:val="28"/>
          <w:szCs w:val="28"/>
        </w:rPr>
        <w:t xml:space="preserve"> </w:t>
      </w:r>
    </w:p>
    <w:p w14:paraId="78C4426B" w14:textId="77777777" w:rsidR="00695527" w:rsidRDefault="00695527" w:rsidP="00695527">
      <w:pPr>
        <w:pStyle w:val="ListParagraph"/>
        <w:numPr>
          <w:ilvl w:val="0"/>
          <w:numId w:val="2"/>
        </w:numPr>
        <w:spacing w:after="0" w:line="480" w:lineRule="auto"/>
        <w:ind w:left="1440" w:hanging="720"/>
        <w:jc w:val="both"/>
        <w:rPr>
          <w:rFonts w:ascii="Times New Roman" w:hAnsi="Times New Roman" w:cs="Times New Roman"/>
          <w:b/>
          <w:bCs/>
          <w:sz w:val="28"/>
          <w:szCs w:val="28"/>
        </w:rPr>
      </w:pPr>
      <w:r>
        <w:rPr>
          <w:rFonts w:ascii="Times New Roman" w:hAnsi="Times New Roman" w:cs="Times New Roman"/>
          <w:b/>
          <w:bCs/>
          <w:sz w:val="28"/>
          <w:szCs w:val="28"/>
        </w:rPr>
        <w:t>To uphold the integrity of the evidence.</w:t>
      </w:r>
    </w:p>
    <w:p w14:paraId="1C35052D" w14:textId="1E8E4B47" w:rsidR="00695527" w:rsidRPr="00DE3C60" w:rsidRDefault="00695527" w:rsidP="0069552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Instead of the clerk retaining hazardous evidence</w:t>
      </w:r>
      <w:r w:rsidR="0B3ADBE4" w:rsidRPr="22F46ACD">
        <w:rPr>
          <w:rFonts w:ascii="Times New Roman" w:hAnsi="Times New Roman" w:cs="Times New Roman"/>
          <w:sz w:val="28"/>
          <w:szCs w:val="28"/>
        </w:rPr>
        <w:t>,</w:t>
      </w:r>
      <w:r>
        <w:rPr>
          <w:rFonts w:ascii="Times New Roman" w:hAnsi="Times New Roman" w:cs="Times New Roman"/>
          <w:sz w:val="28"/>
          <w:szCs w:val="28"/>
        </w:rPr>
        <w:t xml:space="preserve"> the evidence and chain of custody will remain with the custodian, which will </w:t>
      </w:r>
      <w:proofErr w:type="gramStart"/>
      <w:r>
        <w:rPr>
          <w:rFonts w:ascii="Times New Roman" w:hAnsi="Times New Roman" w:cs="Times New Roman"/>
          <w:sz w:val="28"/>
          <w:szCs w:val="28"/>
        </w:rPr>
        <w:t>in all likelihood</w:t>
      </w:r>
      <w:proofErr w:type="gramEnd"/>
      <w:r>
        <w:rPr>
          <w:rFonts w:ascii="Times New Roman" w:hAnsi="Times New Roman" w:cs="Times New Roman"/>
          <w:sz w:val="28"/>
          <w:szCs w:val="28"/>
        </w:rPr>
        <w:t xml:space="preserve"> be a law enforcement agency</w:t>
      </w:r>
      <w:r w:rsidR="7D4EA603" w:rsidRPr="22F46ACD">
        <w:rPr>
          <w:rFonts w:ascii="Times New Roman" w:hAnsi="Times New Roman" w:cs="Times New Roman"/>
          <w:sz w:val="28"/>
          <w:szCs w:val="28"/>
        </w:rPr>
        <w:t>. The custodian</w:t>
      </w:r>
      <w:r>
        <w:rPr>
          <w:rFonts w:ascii="Times New Roman" w:hAnsi="Times New Roman" w:cs="Times New Roman"/>
          <w:sz w:val="28"/>
          <w:szCs w:val="28"/>
        </w:rPr>
        <w:t xml:space="preserve"> will also ensure that all tags, </w:t>
      </w:r>
      <w:proofErr w:type="gramStart"/>
      <w:r>
        <w:rPr>
          <w:rFonts w:ascii="Times New Roman" w:hAnsi="Times New Roman" w:cs="Times New Roman"/>
          <w:sz w:val="28"/>
          <w:szCs w:val="28"/>
        </w:rPr>
        <w:t>markings</w:t>
      </w:r>
      <w:proofErr w:type="gramEnd"/>
      <w:r>
        <w:rPr>
          <w:rFonts w:ascii="Times New Roman" w:hAnsi="Times New Roman" w:cs="Times New Roman"/>
          <w:sz w:val="28"/>
          <w:szCs w:val="28"/>
        </w:rPr>
        <w:t xml:space="preserve"> and packaging stays secure throughout the entire case, including post-verdict proceedings and appeals.</w:t>
      </w:r>
    </w:p>
    <w:p w14:paraId="39143E07" w14:textId="77777777" w:rsidR="00695527" w:rsidRPr="002C0047" w:rsidRDefault="00695527" w:rsidP="00695527">
      <w:pPr>
        <w:pStyle w:val="ListParagraph"/>
        <w:numPr>
          <w:ilvl w:val="0"/>
          <w:numId w:val="1"/>
        </w:numPr>
        <w:spacing w:after="0" w:line="480" w:lineRule="auto"/>
        <w:ind w:left="720"/>
        <w:contextualSpacing w:val="0"/>
        <w:jc w:val="both"/>
        <w:rPr>
          <w:rFonts w:ascii="Times New Roman" w:hAnsi="Times New Roman" w:cs="Times New Roman"/>
          <w:b/>
          <w:bCs/>
          <w:sz w:val="28"/>
          <w:szCs w:val="28"/>
        </w:rPr>
      </w:pPr>
      <w:r>
        <w:rPr>
          <w:rFonts w:ascii="Times New Roman" w:hAnsi="Times New Roman" w:cs="Times New Roman"/>
          <w:b/>
          <w:bCs/>
          <w:sz w:val="28"/>
          <w:szCs w:val="28"/>
        </w:rPr>
        <w:t>Summary of the Proposed Rule Changes</w:t>
      </w:r>
      <w:r w:rsidRPr="005F6D70">
        <w:rPr>
          <w:rFonts w:ascii="Times New Roman" w:hAnsi="Times New Roman" w:cs="Times New Roman"/>
          <w:sz w:val="28"/>
          <w:szCs w:val="28"/>
        </w:rPr>
        <w:t>.</w:t>
      </w:r>
    </w:p>
    <w:p w14:paraId="589C729A" w14:textId="77777777" w:rsidR="00695527" w:rsidRDefault="00695527" w:rsidP="00695527">
      <w:pPr>
        <w:pStyle w:val="ListParagraph"/>
        <w:numPr>
          <w:ilvl w:val="0"/>
          <w:numId w:val="3"/>
        </w:numPr>
        <w:spacing w:after="0" w:line="480" w:lineRule="auto"/>
        <w:ind w:left="1440" w:hanging="720"/>
        <w:contextualSpacing w:val="0"/>
        <w:jc w:val="both"/>
        <w:rPr>
          <w:rFonts w:ascii="Times New Roman" w:hAnsi="Times New Roman" w:cs="Times New Roman"/>
          <w:sz w:val="28"/>
          <w:szCs w:val="28"/>
        </w:rPr>
      </w:pPr>
      <w:r>
        <w:rPr>
          <w:rFonts w:ascii="Times New Roman" w:hAnsi="Times New Roman" w:cs="Times New Roman"/>
          <w:b/>
          <w:bCs/>
          <w:sz w:val="28"/>
          <w:szCs w:val="28"/>
        </w:rPr>
        <w:t>Amending Rule 611</w:t>
      </w:r>
      <w:r w:rsidRPr="005F6D70">
        <w:rPr>
          <w:rFonts w:ascii="Times New Roman" w:hAnsi="Times New Roman" w:cs="Times New Roman"/>
          <w:sz w:val="28"/>
          <w:szCs w:val="28"/>
        </w:rPr>
        <w:t>.</w:t>
      </w:r>
    </w:p>
    <w:p w14:paraId="04E5528B" w14:textId="53F8B630" w:rsidR="00695527" w:rsidRDefault="00695527" w:rsidP="00695527">
      <w:pPr>
        <w:spacing w:after="0" w:line="480" w:lineRule="auto"/>
        <w:ind w:firstLine="720"/>
        <w:jc w:val="both"/>
        <w:rPr>
          <w:rFonts w:ascii="Times New Roman" w:hAnsi="Times New Roman" w:cs="Times New Roman"/>
          <w:sz w:val="28"/>
          <w:szCs w:val="28"/>
        </w:rPr>
      </w:pPr>
      <w:r w:rsidRPr="3A75C0C5">
        <w:rPr>
          <w:rFonts w:ascii="Times New Roman" w:hAnsi="Times New Roman" w:cs="Times New Roman"/>
          <w:sz w:val="28"/>
          <w:szCs w:val="28"/>
        </w:rPr>
        <w:t>The proposed amendment</w:t>
      </w:r>
      <w:r>
        <w:rPr>
          <w:rFonts w:ascii="Times New Roman" w:hAnsi="Times New Roman" w:cs="Times New Roman"/>
          <w:sz w:val="28"/>
          <w:szCs w:val="28"/>
        </w:rPr>
        <w:t>s</w:t>
      </w:r>
      <w:r w:rsidRPr="3A75C0C5">
        <w:rPr>
          <w:rFonts w:ascii="Times New Roman" w:hAnsi="Times New Roman" w:cs="Times New Roman"/>
          <w:sz w:val="28"/>
          <w:szCs w:val="28"/>
        </w:rPr>
        <w:t xml:space="preserve"> to Rule 611</w:t>
      </w:r>
      <w:r>
        <w:rPr>
          <w:rFonts w:ascii="Times New Roman" w:hAnsi="Times New Roman" w:cs="Times New Roman"/>
          <w:sz w:val="28"/>
          <w:szCs w:val="28"/>
        </w:rPr>
        <w:t>,</w:t>
      </w:r>
      <w:r w:rsidRPr="3A75C0C5">
        <w:rPr>
          <w:rFonts w:ascii="Times New Roman" w:hAnsi="Times New Roman" w:cs="Times New Roman"/>
          <w:sz w:val="28"/>
          <w:szCs w:val="28"/>
        </w:rPr>
        <w:t xml:space="preserve"> </w:t>
      </w:r>
      <w:r w:rsidRPr="22F46ACD">
        <w:rPr>
          <w:rFonts w:ascii="Times New Roman" w:hAnsi="Times New Roman" w:cs="Times New Roman"/>
          <w:sz w:val="28"/>
          <w:szCs w:val="28"/>
        </w:rPr>
        <w:t>Rules of Evidence</w:t>
      </w:r>
      <w:r>
        <w:rPr>
          <w:rFonts w:ascii="Times New Roman" w:hAnsi="Times New Roman" w:cs="Times New Roman"/>
          <w:sz w:val="28"/>
          <w:szCs w:val="28"/>
        </w:rPr>
        <w:t xml:space="preserve"> </w:t>
      </w:r>
      <w:r w:rsidRPr="22F46ACD">
        <w:rPr>
          <w:rFonts w:ascii="Times New Roman" w:hAnsi="Times New Roman" w:cs="Times New Roman"/>
          <w:sz w:val="28"/>
          <w:szCs w:val="28"/>
        </w:rPr>
        <w:t xml:space="preserve">for Courts in the State of Arizona, </w:t>
      </w:r>
      <w:r w:rsidR="03310A46" w:rsidRPr="22F46ACD">
        <w:rPr>
          <w:rFonts w:ascii="Times New Roman" w:hAnsi="Times New Roman" w:cs="Times New Roman"/>
          <w:sz w:val="28"/>
          <w:szCs w:val="28"/>
        </w:rPr>
        <w:t>are</w:t>
      </w:r>
      <w:r>
        <w:rPr>
          <w:rFonts w:ascii="Times New Roman" w:hAnsi="Times New Roman" w:cs="Times New Roman"/>
          <w:sz w:val="28"/>
          <w:szCs w:val="28"/>
        </w:rPr>
        <w:t xml:space="preserve"> written to </w:t>
      </w:r>
      <w:r w:rsidR="23DE97AD" w:rsidRPr="22F46ACD">
        <w:rPr>
          <w:rFonts w:ascii="Times New Roman" w:hAnsi="Times New Roman" w:cs="Times New Roman"/>
          <w:sz w:val="28"/>
          <w:szCs w:val="28"/>
        </w:rPr>
        <w:t xml:space="preserve">ensure the orderly conduct of judicial proceedings by </w:t>
      </w:r>
      <w:r w:rsidR="00C82A78" w:rsidRPr="22F46ACD">
        <w:rPr>
          <w:rFonts w:ascii="Times New Roman" w:hAnsi="Times New Roman" w:cs="Times New Roman"/>
          <w:sz w:val="28"/>
          <w:szCs w:val="28"/>
        </w:rPr>
        <w:t>protect</w:t>
      </w:r>
      <w:r w:rsidR="1F07BC45" w:rsidRPr="22F46ACD">
        <w:rPr>
          <w:rFonts w:ascii="Times New Roman" w:hAnsi="Times New Roman" w:cs="Times New Roman"/>
          <w:sz w:val="28"/>
          <w:szCs w:val="28"/>
        </w:rPr>
        <w:t>ing</w:t>
      </w:r>
      <w:r>
        <w:rPr>
          <w:rFonts w:ascii="Times New Roman" w:hAnsi="Times New Roman" w:cs="Times New Roman"/>
          <w:sz w:val="28"/>
          <w:szCs w:val="28"/>
        </w:rPr>
        <w:t xml:space="preserve"> court staff, judicial officers, the parties, jurors, and the public from </w:t>
      </w:r>
      <w:r w:rsidRPr="006548AE">
        <w:rPr>
          <w:rFonts w:ascii="Times New Roman" w:hAnsi="Times New Roman" w:cs="Times New Roman"/>
          <w:sz w:val="28"/>
          <w:szCs w:val="28"/>
        </w:rPr>
        <w:t xml:space="preserve">substantial </w:t>
      </w:r>
      <w:r>
        <w:rPr>
          <w:rFonts w:ascii="Times New Roman" w:hAnsi="Times New Roman" w:cs="Times New Roman"/>
          <w:sz w:val="28"/>
          <w:szCs w:val="28"/>
        </w:rPr>
        <w:t>or</w:t>
      </w:r>
      <w:r w:rsidRPr="006548AE">
        <w:rPr>
          <w:rFonts w:ascii="Times New Roman" w:hAnsi="Times New Roman" w:cs="Times New Roman"/>
          <w:sz w:val="28"/>
          <w:szCs w:val="28"/>
        </w:rPr>
        <w:t xml:space="preserve"> serious risk of harm</w:t>
      </w:r>
      <w:r>
        <w:rPr>
          <w:rFonts w:ascii="Times New Roman" w:hAnsi="Times New Roman" w:cs="Times New Roman"/>
          <w:sz w:val="28"/>
          <w:szCs w:val="28"/>
        </w:rPr>
        <w:t xml:space="preserve"> while also preserving the integrity of the evidence and the due process of law.  </w:t>
      </w:r>
      <w:r w:rsidRPr="3A75C0C5">
        <w:rPr>
          <w:rFonts w:ascii="Times New Roman" w:hAnsi="Times New Roman" w:cs="Times New Roman"/>
          <w:sz w:val="28"/>
          <w:szCs w:val="28"/>
        </w:rPr>
        <w:t xml:space="preserve">A draft of the proposed amendment is provided in the attached </w:t>
      </w:r>
      <w:r w:rsidRPr="3A75C0C5">
        <w:rPr>
          <w:rFonts w:ascii="Times New Roman" w:hAnsi="Times New Roman" w:cs="Times New Roman"/>
          <w:i/>
          <w:iCs/>
          <w:sz w:val="28"/>
          <w:szCs w:val="28"/>
        </w:rPr>
        <w:t>Appendix A</w:t>
      </w:r>
      <w:r w:rsidRPr="3A75C0C5">
        <w:rPr>
          <w:rFonts w:ascii="Times New Roman" w:hAnsi="Times New Roman" w:cs="Times New Roman"/>
          <w:sz w:val="28"/>
          <w:szCs w:val="28"/>
        </w:rPr>
        <w:t xml:space="preserve">.   </w:t>
      </w:r>
    </w:p>
    <w:p w14:paraId="6C9C54BE" w14:textId="30E833B2" w:rsidR="00695527" w:rsidRDefault="00695527" w:rsidP="0069552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Task Force discussed different options regarding the inspection, handling, storage, and safety training surrounding hazardous evidence when it is brought into the courthouse. The Task Force agreed that the development and implementation of these protocols would be at the discretion of each court with </w:t>
      </w:r>
      <w:r w:rsidR="448C2514" w:rsidRPr="22F46ACD">
        <w:rPr>
          <w:rFonts w:ascii="Times New Roman" w:hAnsi="Times New Roman" w:cs="Times New Roman"/>
          <w:sz w:val="28"/>
          <w:szCs w:val="28"/>
        </w:rPr>
        <w:t>additional</w:t>
      </w:r>
      <w:r>
        <w:rPr>
          <w:rFonts w:ascii="Times New Roman" w:hAnsi="Times New Roman" w:cs="Times New Roman"/>
          <w:sz w:val="28"/>
          <w:szCs w:val="28"/>
        </w:rPr>
        <w:t xml:space="preserve"> direction </w:t>
      </w:r>
      <w:r w:rsidR="5C84DB4D" w:rsidRPr="22F46ACD">
        <w:rPr>
          <w:rFonts w:ascii="Times New Roman" w:hAnsi="Times New Roman" w:cs="Times New Roman"/>
          <w:sz w:val="28"/>
          <w:szCs w:val="28"/>
        </w:rPr>
        <w:t>possible by</w:t>
      </w:r>
      <w:r>
        <w:rPr>
          <w:rFonts w:ascii="Times New Roman" w:hAnsi="Times New Roman" w:cs="Times New Roman"/>
          <w:sz w:val="28"/>
          <w:szCs w:val="28"/>
        </w:rPr>
        <w:t xml:space="preserve"> an Administrative Order. </w:t>
      </w:r>
    </w:p>
    <w:p w14:paraId="446BEA58" w14:textId="77777777" w:rsidR="00695527" w:rsidRDefault="00695527" w:rsidP="0069552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requested that the Petition be distributed for comment as per the normal rule cycle and comment period.</w:t>
      </w:r>
    </w:p>
    <w:p w14:paraId="7B0A0C67" w14:textId="77777777" w:rsidR="00695527" w:rsidRDefault="00695527" w:rsidP="0069552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For the foregoing reasons, Petitioner respectfully requests the Court amend </w:t>
      </w:r>
      <w:r w:rsidRPr="3A75C0C5">
        <w:rPr>
          <w:rFonts w:ascii="Times New Roman" w:hAnsi="Times New Roman" w:cs="Times New Roman"/>
          <w:sz w:val="28"/>
          <w:szCs w:val="28"/>
        </w:rPr>
        <w:t>Rule 611</w:t>
      </w:r>
      <w:r>
        <w:rPr>
          <w:rFonts w:ascii="Times New Roman" w:hAnsi="Times New Roman" w:cs="Times New Roman"/>
          <w:sz w:val="28"/>
          <w:szCs w:val="28"/>
        </w:rPr>
        <w:t>,</w:t>
      </w:r>
      <w:r w:rsidRPr="3A75C0C5">
        <w:rPr>
          <w:rFonts w:ascii="Times New Roman" w:hAnsi="Times New Roman" w:cs="Times New Roman"/>
          <w:sz w:val="28"/>
          <w:szCs w:val="28"/>
        </w:rPr>
        <w:t xml:space="preserve"> </w:t>
      </w:r>
      <w:r w:rsidRPr="22F46ACD">
        <w:rPr>
          <w:rFonts w:ascii="Times New Roman" w:hAnsi="Times New Roman" w:cs="Times New Roman"/>
          <w:sz w:val="28"/>
          <w:szCs w:val="28"/>
        </w:rPr>
        <w:t>Rules of Evidence</w:t>
      </w:r>
      <w:r>
        <w:rPr>
          <w:rFonts w:ascii="Times New Roman" w:hAnsi="Times New Roman" w:cs="Times New Roman"/>
          <w:sz w:val="28"/>
          <w:szCs w:val="28"/>
        </w:rPr>
        <w:t xml:space="preserve"> </w:t>
      </w:r>
      <w:r w:rsidRPr="22F46ACD">
        <w:rPr>
          <w:rFonts w:ascii="Times New Roman" w:hAnsi="Times New Roman" w:cs="Times New Roman"/>
          <w:sz w:val="28"/>
          <w:szCs w:val="28"/>
        </w:rPr>
        <w:t>for Courts in the State of Arizona</w:t>
      </w:r>
      <w:r>
        <w:rPr>
          <w:rFonts w:ascii="Times New Roman" w:hAnsi="Times New Roman" w:cs="Times New Roman"/>
          <w:sz w:val="28"/>
          <w:szCs w:val="28"/>
        </w:rPr>
        <w:t xml:space="preserve">, as proposed in the attached </w:t>
      </w:r>
      <w:r w:rsidRPr="3A75C0C5">
        <w:rPr>
          <w:rFonts w:ascii="Times New Roman" w:hAnsi="Times New Roman" w:cs="Times New Roman"/>
          <w:i/>
          <w:iCs/>
          <w:sz w:val="28"/>
          <w:szCs w:val="28"/>
        </w:rPr>
        <w:t>Appendix A</w:t>
      </w:r>
      <w:r>
        <w:rPr>
          <w:rFonts w:ascii="Times New Roman" w:hAnsi="Times New Roman" w:cs="Times New Roman"/>
          <w:sz w:val="28"/>
          <w:szCs w:val="28"/>
        </w:rPr>
        <w:t>.</w:t>
      </w:r>
    </w:p>
    <w:p w14:paraId="4B8AD4D6" w14:textId="77777777" w:rsidR="00695527" w:rsidRDefault="00695527" w:rsidP="0069552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RESPECTFULLY SUBMITTED this </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 xml:space="preserve"> day of </w:t>
      </w:r>
      <w:proofErr w:type="gramStart"/>
      <w:r>
        <w:rPr>
          <w:rFonts w:ascii="Times New Roman" w:hAnsi="Times New Roman" w:cs="Times New Roman"/>
          <w:sz w:val="28"/>
          <w:szCs w:val="28"/>
        </w:rPr>
        <w:t>January,</w:t>
      </w:r>
      <w:proofErr w:type="gramEnd"/>
      <w:r>
        <w:rPr>
          <w:rFonts w:ascii="Times New Roman" w:hAnsi="Times New Roman" w:cs="Times New Roman"/>
          <w:sz w:val="28"/>
          <w:szCs w:val="28"/>
        </w:rPr>
        <w:t xml:space="preserve"> 2023.</w:t>
      </w:r>
    </w:p>
    <w:p w14:paraId="2813F4AE" w14:textId="77777777" w:rsidR="00695527" w:rsidRDefault="00695527" w:rsidP="00695527">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By: </w:t>
      </w:r>
      <w:r>
        <w:rPr>
          <w:rFonts w:ascii="Times New Roman" w:hAnsi="Times New Roman" w:cs="Times New Roman"/>
          <w:sz w:val="28"/>
          <w:szCs w:val="28"/>
        </w:rPr>
        <w:tab/>
      </w:r>
      <w:r>
        <w:rPr>
          <w:rFonts w:ascii="Times New Roman" w:hAnsi="Times New Roman" w:cs="Times New Roman"/>
          <w:sz w:val="28"/>
          <w:szCs w:val="28"/>
          <w:u w:val="single"/>
        </w:rPr>
        <w:tab/>
        <w:t>/s/ Jerry Landau</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5C4AC77F" w14:textId="1F44647F" w:rsidR="7D3E07E1" w:rsidRPr="007056AF" w:rsidRDefault="7D3E07E1" w:rsidP="007056AF">
      <w:pPr>
        <w:spacing w:after="0" w:line="240" w:lineRule="auto"/>
        <w:ind w:left="4320"/>
        <w:rPr>
          <w:rFonts w:ascii="Times New Roman" w:hAnsi="Times New Roman" w:cs="Times New Roman"/>
          <w:sz w:val="26"/>
          <w:szCs w:val="26"/>
        </w:rPr>
      </w:pPr>
      <w:r w:rsidRPr="007056AF">
        <w:rPr>
          <w:rFonts w:ascii="Times New Roman" w:hAnsi="Times New Roman" w:cs="Times New Roman"/>
          <w:sz w:val="26"/>
          <w:szCs w:val="26"/>
        </w:rPr>
        <w:t>Special Projects Consultant</w:t>
      </w:r>
    </w:p>
    <w:p w14:paraId="2CD1F2C7" w14:textId="77777777" w:rsidR="7D3E07E1" w:rsidRPr="007056AF" w:rsidRDefault="7D3E07E1" w:rsidP="007056AF">
      <w:pPr>
        <w:spacing w:after="0" w:line="240" w:lineRule="auto"/>
        <w:ind w:left="4320"/>
        <w:rPr>
          <w:rFonts w:ascii="Times New Roman" w:hAnsi="Times New Roman" w:cs="Times New Roman"/>
          <w:sz w:val="26"/>
          <w:szCs w:val="26"/>
        </w:rPr>
      </w:pPr>
      <w:r w:rsidRPr="007056AF">
        <w:rPr>
          <w:rFonts w:ascii="Times New Roman" w:hAnsi="Times New Roman" w:cs="Times New Roman"/>
          <w:sz w:val="26"/>
          <w:szCs w:val="26"/>
        </w:rPr>
        <w:t>Administrative Office of the Courts</w:t>
      </w:r>
    </w:p>
    <w:p w14:paraId="3EA972A8" w14:textId="094D4434" w:rsidR="22F46ACD" w:rsidRPr="007056AF" w:rsidRDefault="00695527" w:rsidP="007056AF">
      <w:pPr>
        <w:spacing w:after="0" w:line="240" w:lineRule="auto"/>
        <w:ind w:left="4320"/>
        <w:rPr>
          <w:rFonts w:ascii="Times New Roman" w:hAnsi="Times New Roman" w:cs="Times New Roman"/>
          <w:sz w:val="26"/>
          <w:szCs w:val="26"/>
        </w:rPr>
      </w:pPr>
      <w:r w:rsidRPr="007056AF">
        <w:rPr>
          <w:rFonts w:ascii="Times New Roman" w:hAnsi="Times New Roman" w:cs="Times New Roman"/>
          <w:sz w:val="26"/>
          <w:szCs w:val="26"/>
        </w:rPr>
        <w:t>Chair, Fentanyl and Toxic Evidence Task Force</w:t>
      </w:r>
    </w:p>
    <w:p w14:paraId="05D19F4D" w14:textId="77777777" w:rsidR="00695527" w:rsidRPr="00F92155" w:rsidRDefault="00695527" w:rsidP="00695527">
      <w:pPr>
        <w:spacing w:after="0" w:line="240" w:lineRule="auto"/>
        <w:ind w:left="4320"/>
        <w:rPr>
          <w:rFonts w:ascii="Times New Roman" w:hAnsi="Times New Roman" w:cs="Times New Roman"/>
          <w:sz w:val="26"/>
          <w:szCs w:val="26"/>
        </w:rPr>
      </w:pPr>
      <w:r w:rsidRPr="00F92155">
        <w:rPr>
          <w:rFonts w:ascii="Times New Roman" w:hAnsi="Times New Roman" w:cs="Times New Roman"/>
          <w:sz w:val="26"/>
          <w:szCs w:val="26"/>
        </w:rPr>
        <w:t>1501 W. Washington</w:t>
      </w:r>
    </w:p>
    <w:p w14:paraId="55D90F6F" w14:textId="77777777" w:rsidR="00695527" w:rsidRPr="00F92155" w:rsidRDefault="00695527" w:rsidP="00695527">
      <w:pPr>
        <w:spacing w:after="0" w:line="240" w:lineRule="auto"/>
        <w:ind w:left="4320"/>
        <w:rPr>
          <w:rFonts w:ascii="Times New Roman" w:hAnsi="Times New Roman" w:cs="Times New Roman"/>
          <w:sz w:val="26"/>
          <w:szCs w:val="26"/>
        </w:rPr>
      </w:pPr>
      <w:r w:rsidRPr="00F92155">
        <w:rPr>
          <w:rFonts w:ascii="Times New Roman" w:hAnsi="Times New Roman" w:cs="Times New Roman"/>
          <w:sz w:val="26"/>
          <w:szCs w:val="26"/>
        </w:rPr>
        <w:t>Phoenix, AZ 85007</w:t>
      </w:r>
    </w:p>
    <w:p w14:paraId="0331F397" w14:textId="0E563794" w:rsidR="00695527" w:rsidRPr="00F92155" w:rsidRDefault="00695527" w:rsidP="00695527">
      <w:pPr>
        <w:spacing w:after="0" w:line="240" w:lineRule="auto"/>
        <w:ind w:left="4320"/>
        <w:rPr>
          <w:rFonts w:ascii="Times New Roman" w:hAnsi="Times New Roman" w:cs="Times New Roman"/>
          <w:sz w:val="26"/>
          <w:szCs w:val="26"/>
        </w:rPr>
      </w:pPr>
      <w:r w:rsidRPr="00F92155">
        <w:rPr>
          <w:rFonts w:ascii="Times New Roman" w:hAnsi="Times New Roman" w:cs="Times New Roman"/>
          <w:sz w:val="26"/>
          <w:szCs w:val="26"/>
        </w:rPr>
        <w:t>(602) 452-</w:t>
      </w:r>
      <w:r w:rsidR="14838401" w:rsidRPr="22F46ACD">
        <w:rPr>
          <w:rFonts w:ascii="Times New Roman" w:hAnsi="Times New Roman" w:cs="Times New Roman"/>
          <w:sz w:val="26"/>
          <w:szCs w:val="26"/>
        </w:rPr>
        <w:t>3361</w:t>
      </w:r>
    </w:p>
    <w:p w14:paraId="2E5A884D" w14:textId="77777777" w:rsidR="00695527" w:rsidRPr="00F92155" w:rsidRDefault="00594A87" w:rsidP="00695527">
      <w:pPr>
        <w:spacing w:after="0" w:line="240" w:lineRule="auto"/>
        <w:ind w:left="4320"/>
        <w:rPr>
          <w:rFonts w:ascii="Times New Roman" w:hAnsi="Times New Roman" w:cs="Times New Roman"/>
          <w:sz w:val="26"/>
          <w:szCs w:val="26"/>
        </w:rPr>
      </w:pPr>
      <w:hyperlink r:id="rId12" w:history="1">
        <w:r w:rsidR="00695527" w:rsidRPr="00F92155">
          <w:rPr>
            <w:rStyle w:val="Hyperlink"/>
            <w:rFonts w:ascii="Times New Roman" w:hAnsi="Times New Roman" w:cs="Times New Roman"/>
            <w:sz w:val="26"/>
            <w:szCs w:val="26"/>
          </w:rPr>
          <w:t>JLandau@courts.az.gov</w:t>
        </w:r>
      </w:hyperlink>
    </w:p>
    <w:p w14:paraId="622BBE66" w14:textId="77777777" w:rsidR="00695527" w:rsidRPr="00F92155" w:rsidRDefault="00695527" w:rsidP="00695527">
      <w:pPr>
        <w:spacing w:after="0" w:line="240" w:lineRule="auto"/>
        <w:jc w:val="both"/>
        <w:rPr>
          <w:rFonts w:ascii="Times New Roman" w:hAnsi="Times New Roman" w:cs="Times New Roman"/>
          <w:sz w:val="26"/>
          <w:szCs w:val="26"/>
        </w:rPr>
      </w:pPr>
      <w:r w:rsidRPr="00F92155">
        <w:rPr>
          <w:rFonts w:ascii="Times New Roman" w:hAnsi="Times New Roman" w:cs="Times New Roman"/>
          <w:sz w:val="26"/>
          <w:szCs w:val="26"/>
        </w:rPr>
        <w:tab/>
      </w:r>
      <w:r w:rsidRPr="00F92155">
        <w:rPr>
          <w:rFonts w:ascii="Times New Roman" w:hAnsi="Times New Roman" w:cs="Times New Roman"/>
          <w:sz w:val="26"/>
          <w:szCs w:val="26"/>
        </w:rPr>
        <w:tab/>
      </w:r>
      <w:r w:rsidRPr="00F92155">
        <w:rPr>
          <w:rFonts w:ascii="Times New Roman" w:hAnsi="Times New Roman" w:cs="Times New Roman"/>
          <w:sz w:val="26"/>
          <w:szCs w:val="26"/>
        </w:rPr>
        <w:tab/>
      </w:r>
      <w:r w:rsidRPr="00F92155">
        <w:rPr>
          <w:rFonts w:ascii="Times New Roman" w:hAnsi="Times New Roman" w:cs="Times New Roman"/>
          <w:sz w:val="26"/>
          <w:szCs w:val="26"/>
        </w:rPr>
        <w:tab/>
      </w:r>
      <w:r w:rsidRPr="00F92155">
        <w:rPr>
          <w:rFonts w:ascii="Times New Roman" w:hAnsi="Times New Roman" w:cs="Times New Roman"/>
          <w:sz w:val="26"/>
          <w:szCs w:val="26"/>
        </w:rPr>
        <w:tab/>
      </w:r>
      <w:r w:rsidRPr="00F92155">
        <w:rPr>
          <w:rFonts w:ascii="Times New Roman" w:hAnsi="Times New Roman" w:cs="Times New Roman"/>
          <w:sz w:val="26"/>
          <w:szCs w:val="26"/>
        </w:rPr>
        <w:tab/>
      </w:r>
      <w:r w:rsidRPr="00F92155">
        <w:rPr>
          <w:rFonts w:ascii="Times New Roman" w:hAnsi="Times New Roman" w:cs="Times New Roman"/>
          <w:sz w:val="26"/>
          <w:szCs w:val="26"/>
        </w:rPr>
        <w:tab/>
      </w:r>
      <w:r w:rsidRPr="00F92155">
        <w:rPr>
          <w:rFonts w:ascii="Times New Roman" w:hAnsi="Times New Roman" w:cs="Times New Roman"/>
          <w:sz w:val="26"/>
          <w:szCs w:val="26"/>
        </w:rPr>
        <w:tab/>
      </w:r>
    </w:p>
    <w:p w14:paraId="43344A63" w14:textId="77777777" w:rsidR="00695527" w:rsidRDefault="00695527" w:rsidP="00695527">
      <w:pPr>
        <w:spacing w:after="0" w:line="240" w:lineRule="auto"/>
        <w:rPr>
          <w:rFonts w:ascii="Times New Roman" w:hAnsi="Times New Roman" w:cs="Times New Roman"/>
          <w:b/>
          <w:bCs/>
          <w:sz w:val="28"/>
          <w:szCs w:val="28"/>
        </w:rPr>
        <w:sectPr w:rsidR="00695527" w:rsidSect="00C8358E">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4816910E" w14:textId="77777777" w:rsidR="00695527" w:rsidRDefault="00695527" w:rsidP="0069552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 A</w:t>
      </w:r>
    </w:p>
    <w:p w14:paraId="24C79ECE" w14:textId="77777777" w:rsidR="00695527" w:rsidRDefault="00695527" w:rsidP="00695527">
      <w:pPr>
        <w:spacing w:after="0" w:line="240" w:lineRule="auto"/>
        <w:jc w:val="center"/>
        <w:rPr>
          <w:rFonts w:ascii="Times New Roman" w:hAnsi="Times New Roman" w:cs="Times New Roman"/>
          <w:b/>
          <w:bCs/>
          <w:sz w:val="28"/>
          <w:szCs w:val="28"/>
        </w:rPr>
      </w:pPr>
    </w:p>
    <w:p w14:paraId="1923FAB6" w14:textId="77777777" w:rsidR="00695527" w:rsidRDefault="00695527" w:rsidP="00695527">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 xml:space="preserve">(Additions are shown by </w:t>
      </w:r>
      <w:r>
        <w:rPr>
          <w:rFonts w:ascii="Times New Roman" w:hAnsi="Times New Roman" w:cs="Times New Roman"/>
          <w:sz w:val="28"/>
          <w:szCs w:val="28"/>
          <w:u w:val="single"/>
        </w:rPr>
        <w:t>underline</w:t>
      </w:r>
      <w:r>
        <w:rPr>
          <w:rFonts w:ascii="Times New Roman" w:hAnsi="Times New Roman" w:cs="Times New Roman"/>
          <w:sz w:val="28"/>
          <w:szCs w:val="28"/>
        </w:rPr>
        <w:t>)</w:t>
      </w:r>
    </w:p>
    <w:p w14:paraId="1455E299" w14:textId="77777777" w:rsidR="00695527" w:rsidRPr="004A4ECC" w:rsidRDefault="00695527" w:rsidP="00695527">
      <w:pPr>
        <w:pStyle w:val="paragraph"/>
        <w:shd w:val="clear" w:color="auto" w:fill="FFFFFF"/>
        <w:spacing w:before="0" w:beforeAutospacing="0" w:after="0" w:afterAutospacing="0" w:line="276" w:lineRule="auto"/>
        <w:jc w:val="both"/>
        <w:textAlignment w:val="baseline"/>
        <w:rPr>
          <w:rStyle w:val="eop"/>
          <w:b/>
          <w:bCs/>
          <w:sz w:val="28"/>
          <w:szCs w:val="28"/>
        </w:rPr>
      </w:pPr>
      <w:r w:rsidRPr="005A6482">
        <w:rPr>
          <w:rStyle w:val="eop"/>
          <w:b/>
          <w:bCs/>
          <w:sz w:val="28"/>
          <w:szCs w:val="28"/>
        </w:rPr>
        <w:t>Article VI. Witnesses</w:t>
      </w:r>
    </w:p>
    <w:p w14:paraId="3DE2D030" w14:textId="77777777" w:rsidR="00695527" w:rsidRPr="001E2B3F" w:rsidRDefault="00695527" w:rsidP="00695527">
      <w:pPr>
        <w:pStyle w:val="paragraph"/>
        <w:shd w:val="clear" w:color="auto" w:fill="FFFFFF" w:themeFill="background1"/>
        <w:spacing w:before="120" w:beforeAutospacing="0" w:after="0" w:afterAutospacing="0" w:line="360" w:lineRule="auto"/>
        <w:textAlignment w:val="baseline"/>
        <w:rPr>
          <w:b/>
          <w:sz w:val="28"/>
          <w:szCs w:val="28"/>
        </w:rPr>
      </w:pPr>
      <w:r w:rsidRPr="003371A0">
        <w:rPr>
          <w:b/>
          <w:bCs/>
          <w:color w:val="212121"/>
          <w:sz w:val="28"/>
          <w:szCs w:val="28"/>
          <w:shd w:val="clear" w:color="auto" w:fill="FFFFFF"/>
        </w:rPr>
        <w:t>Rule 611. Mode and Order of Examining Witnesses and Presenting Evidence</w:t>
      </w:r>
    </w:p>
    <w:p w14:paraId="41599BA7" w14:textId="77777777" w:rsidR="00695527" w:rsidRPr="003371A0" w:rsidRDefault="00695527" w:rsidP="00695527">
      <w:pPr>
        <w:shd w:val="clear" w:color="auto" w:fill="FFFFFF"/>
        <w:spacing w:before="120" w:line="360" w:lineRule="auto"/>
        <w:rPr>
          <w:rFonts w:ascii="Times New Roman" w:eastAsia="Times New Roman" w:hAnsi="Times New Roman" w:cs="Times New Roman"/>
          <w:color w:val="212121"/>
          <w:sz w:val="28"/>
          <w:szCs w:val="28"/>
        </w:rPr>
      </w:pPr>
      <w:r w:rsidRPr="003371A0">
        <w:rPr>
          <w:rFonts w:ascii="Times New Roman" w:eastAsia="Times New Roman" w:hAnsi="Times New Roman" w:cs="Times New Roman"/>
          <w:b/>
          <w:bCs/>
          <w:color w:val="212121"/>
          <w:sz w:val="28"/>
          <w:szCs w:val="28"/>
        </w:rPr>
        <w:t xml:space="preserve">(a) </w:t>
      </w:r>
      <w:bookmarkStart w:id="0" w:name="_Hlk117261606"/>
      <w:r w:rsidRPr="003371A0">
        <w:rPr>
          <w:rFonts w:ascii="Times New Roman" w:eastAsia="Times New Roman" w:hAnsi="Times New Roman" w:cs="Times New Roman"/>
          <w:b/>
          <w:bCs/>
          <w:color w:val="212121"/>
          <w:sz w:val="28"/>
          <w:szCs w:val="28"/>
        </w:rPr>
        <w:t>{No Changes}</w:t>
      </w:r>
      <w:bookmarkEnd w:id="0"/>
    </w:p>
    <w:p w14:paraId="25B523D2" w14:textId="77777777" w:rsidR="00695527" w:rsidRPr="003371A0" w:rsidRDefault="00695527" w:rsidP="00695527">
      <w:pPr>
        <w:shd w:val="clear" w:color="auto" w:fill="FFFFFF"/>
        <w:spacing w:before="120" w:line="360" w:lineRule="auto"/>
        <w:rPr>
          <w:rFonts w:ascii="Times New Roman" w:eastAsia="Times New Roman" w:hAnsi="Times New Roman" w:cs="Times New Roman"/>
          <w:b/>
          <w:bCs/>
          <w:color w:val="212121"/>
          <w:sz w:val="28"/>
          <w:szCs w:val="28"/>
        </w:rPr>
      </w:pPr>
      <w:r w:rsidRPr="003371A0">
        <w:rPr>
          <w:rFonts w:ascii="Times New Roman" w:eastAsia="Times New Roman" w:hAnsi="Times New Roman" w:cs="Times New Roman"/>
          <w:b/>
          <w:bCs/>
          <w:color w:val="212121"/>
          <w:sz w:val="28"/>
          <w:szCs w:val="28"/>
        </w:rPr>
        <w:t xml:space="preserve">(b) {No Changes} </w:t>
      </w:r>
    </w:p>
    <w:p w14:paraId="312BF413" w14:textId="77777777" w:rsidR="00695527" w:rsidRPr="003371A0" w:rsidRDefault="00695527" w:rsidP="00695527">
      <w:pPr>
        <w:shd w:val="clear" w:color="auto" w:fill="FFFFFF"/>
        <w:spacing w:before="120" w:line="360" w:lineRule="auto"/>
        <w:rPr>
          <w:rFonts w:ascii="Times New Roman" w:eastAsia="Times New Roman" w:hAnsi="Times New Roman" w:cs="Times New Roman"/>
          <w:color w:val="212121"/>
          <w:sz w:val="28"/>
          <w:szCs w:val="28"/>
        </w:rPr>
      </w:pPr>
      <w:r w:rsidRPr="003371A0">
        <w:rPr>
          <w:rFonts w:ascii="Times New Roman" w:eastAsia="Times New Roman" w:hAnsi="Times New Roman" w:cs="Times New Roman"/>
          <w:b/>
          <w:bCs/>
          <w:color w:val="212121"/>
          <w:sz w:val="28"/>
          <w:szCs w:val="28"/>
        </w:rPr>
        <w:t>(c) {No Changes}</w:t>
      </w:r>
    </w:p>
    <w:p w14:paraId="7E3F4CFF" w14:textId="55807B20" w:rsidR="00695527" w:rsidRPr="00695527" w:rsidRDefault="00695527" w:rsidP="00695527">
      <w:pPr>
        <w:pStyle w:val="paragraph"/>
        <w:shd w:val="clear" w:color="auto" w:fill="FFFFFF" w:themeFill="background1"/>
        <w:spacing w:before="120" w:beforeAutospacing="0" w:after="0" w:afterAutospacing="0" w:line="360" w:lineRule="auto"/>
        <w:jc w:val="both"/>
        <w:textAlignment w:val="baseline"/>
        <w:rPr>
          <w:rStyle w:val="normaltextrun"/>
          <w:color w:val="000000" w:themeColor="text1"/>
          <w:sz w:val="28"/>
          <w:szCs w:val="28"/>
          <w:u w:val="single"/>
        </w:rPr>
      </w:pPr>
      <w:r w:rsidRPr="4F4B3388">
        <w:rPr>
          <w:rStyle w:val="normaltextrun"/>
          <w:b/>
          <w:bCs/>
          <w:sz w:val="28"/>
          <w:szCs w:val="28"/>
          <w:u w:val="single"/>
        </w:rPr>
        <w:t>(</w:t>
      </w:r>
      <w:r>
        <w:rPr>
          <w:rStyle w:val="normaltextrun"/>
          <w:b/>
          <w:bCs/>
          <w:sz w:val="28"/>
          <w:szCs w:val="28"/>
          <w:u w:val="single"/>
        </w:rPr>
        <w:t>d</w:t>
      </w:r>
      <w:r w:rsidRPr="00695527">
        <w:rPr>
          <w:rStyle w:val="normaltextrun"/>
          <w:b/>
          <w:bCs/>
          <w:sz w:val="28"/>
          <w:szCs w:val="28"/>
          <w:u w:val="single"/>
        </w:rPr>
        <w:t>) Hazardous Evidence</w:t>
      </w:r>
      <w:r w:rsidRPr="00695527">
        <w:rPr>
          <w:rStyle w:val="normaltextrun"/>
          <w:sz w:val="28"/>
          <w:szCs w:val="28"/>
          <w:u w:val="single"/>
        </w:rPr>
        <w:t xml:space="preserve">. Hazardous Evidence is not permitted inside the courtroom, except as provided in </w:t>
      </w:r>
      <w:r w:rsidR="58F0B7D5" w:rsidRPr="22F46ACD">
        <w:rPr>
          <w:rStyle w:val="normaltextrun"/>
          <w:sz w:val="28"/>
          <w:szCs w:val="28"/>
          <w:u w:val="single"/>
        </w:rPr>
        <w:t>this subsection</w:t>
      </w:r>
      <w:r w:rsidRPr="22F46ACD">
        <w:rPr>
          <w:rStyle w:val="normaltextrun"/>
          <w:sz w:val="28"/>
          <w:szCs w:val="28"/>
          <w:u w:val="single"/>
        </w:rPr>
        <w:t>.</w:t>
      </w:r>
      <w:r w:rsidRPr="00695527">
        <w:rPr>
          <w:rStyle w:val="normaltextrun"/>
          <w:sz w:val="28"/>
          <w:szCs w:val="28"/>
          <w:u w:val="single"/>
        </w:rPr>
        <w:t xml:space="preserve"> </w:t>
      </w:r>
      <w:r w:rsidRPr="00695527">
        <w:rPr>
          <w:rStyle w:val="normaltextrun"/>
          <w:color w:val="212121"/>
          <w:sz w:val="28"/>
          <w:szCs w:val="28"/>
          <w:u w:val="single"/>
        </w:rPr>
        <w:t xml:space="preserve">For the purposes of this rule, </w:t>
      </w:r>
      <w:r w:rsidRPr="00695527">
        <w:rPr>
          <w:rStyle w:val="normaltextrun"/>
          <w:sz w:val="28"/>
          <w:szCs w:val="28"/>
          <w:u w:val="single"/>
        </w:rPr>
        <w:t>“hazardous evidence”</w:t>
      </w:r>
      <w:r w:rsidRPr="00695527">
        <w:rPr>
          <w:rStyle w:val="normaltextrun"/>
          <w:color w:val="000000" w:themeColor="text1"/>
          <w:sz w:val="28"/>
          <w:szCs w:val="28"/>
          <w:u w:val="single"/>
        </w:rPr>
        <w:t xml:space="preserve"> means any physical evidence that a party </w:t>
      </w:r>
      <w:r w:rsidR="446C629F" w:rsidRPr="22F46ACD">
        <w:rPr>
          <w:rStyle w:val="normaltextrun"/>
          <w:color w:val="000000" w:themeColor="text1"/>
          <w:sz w:val="28"/>
          <w:szCs w:val="28"/>
          <w:u w:val="single"/>
        </w:rPr>
        <w:t>seeks</w:t>
      </w:r>
      <w:r w:rsidRPr="00695527">
        <w:rPr>
          <w:rStyle w:val="normaltextrun"/>
          <w:color w:val="000000" w:themeColor="text1"/>
          <w:sz w:val="28"/>
          <w:szCs w:val="28"/>
          <w:u w:val="single"/>
        </w:rPr>
        <w:t xml:space="preserve"> to bring into the courtroom that may create a substantial and serious risk of harm if ingested or absorbed</w:t>
      </w:r>
      <w:r w:rsidR="14696E62" w:rsidRPr="22F46ACD">
        <w:rPr>
          <w:rStyle w:val="normaltextrun"/>
          <w:color w:val="000000" w:themeColor="text1"/>
          <w:sz w:val="28"/>
          <w:szCs w:val="28"/>
          <w:u w:val="single"/>
        </w:rPr>
        <w:t>,</w:t>
      </w:r>
      <w:r w:rsidRPr="00695527">
        <w:rPr>
          <w:rStyle w:val="normaltextrun"/>
          <w:color w:val="000000" w:themeColor="text1"/>
          <w:sz w:val="28"/>
          <w:szCs w:val="28"/>
          <w:u w:val="single"/>
        </w:rPr>
        <w:t xml:space="preserve"> or if otherwise determined by the court to create a substantial and serious risk of harm.</w:t>
      </w:r>
    </w:p>
    <w:p w14:paraId="5D79D982" w14:textId="6CA51417" w:rsidR="00695527" w:rsidRPr="00695527" w:rsidRDefault="00695527" w:rsidP="00695527">
      <w:pPr>
        <w:pStyle w:val="paragraph"/>
        <w:shd w:val="clear" w:color="auto" w:fill="FFFFFF" w:themeFill="background1"/>
        <w:tabs>
          <w:tab w:val="left" w:pos="360"/>
        </w:tabs>
        <w:spacing w:before="120" w:beforeAutospacing="0" w:after="0" w:afterAutospacing="0" w:line="360" w:lineRule="auto"/>
        <w:jc w:val="both"/>
        <w:textAlignment w:val="baseline"/>
        <w:rPr>
          <w:rStyle w:val="eop"/>
          <w:color w:val="212121"/>
          <w:sz w:val="28"/>
          <w:szCs w:val="28"/>
        </w:rPr>
      </w:pPr>
      <w:r w:rsidRPr="00695527">
        <w:rPr>
          <w:rStyle w:val="normaltextrun"/>
          <w:color w:val="212121"/>
          <w:sz w:val="28"/>
          <w:szCs w:val="28"/>
          <w:u w:val="single"/>
        </w:rPr>
        <w:t>(1)</w:t>
      </w:r>
      <w:r w:rsidRPr="00695527">
        <w:tab/>
        <w:t xml:space="preserve"> </w:t>
      </w:r>
      <w:r w:rsidRPr="00695527">
        <w:rPr>
          <w:rStyle w:val="normaltextrun"/>
          <w:color w:val="212121"/>
          <w:sz w:val="28"/>
          <w:szCs w:val="28"/>
          <w:u w:val="single"/>
        </w:rPr>
        <w:t xml:space="preserve">Presence of Hazardous Evidence in the Courtroom Upon Court Order.  A party seeking to have hazardous evidence permitted in the courtroom must file a written motion. The court may order that hazardous evidence be permitted in the courtroom </w:t>
      </w:r>
      <w:r w:rsidR="50DE0BB3" w:rsidRPr="22F46ACD">
        <w:rPr>
          <w:rStyle w:val="normaltextrun"/>
          <w:color w:val="212121"/>
          <w:sz w:val="28"/>
          <w:szCs w:val="28"/>
          <w:u w:val="single"/>
        </w:rPr>
        <w:t>only</w:t>
      </w:r>
      <w:r w:rsidRPr="22F46ACD">
        <w:rPr>
          <w:rStyle w:val="normaltextrun"/>
          <w:color w:val="212121"/>
          <w:sz w:val="28"/>
          <w:szCs w:val="28"/>
          <w:u w:val="single"/>
        </w:rPr>
        <w:t xml:space="preserve"> </w:t>
      </w:r>
      <w:r w:rsidRPr="00695527">
        <w:rPr>
          <w:rStyle w:val="normaltextrun"/>
          <w:color w:val="212121"/>
          <w:sz w:val="28"/>
          <w:szCs w:val="28"/>
          <w:u w:val="single"/>
        </w:rPr>
        <w:t xml:space="preserve">if the court finds that the petitioning party </w:t>
      </w:r>
      <w:r w:rsidR="2F3A43E1" w:rsidRPr="22F46ACD">
        <w:rPr>
          <w:rStyle w:val="normaltextrun"/>
          <w:color w:val="212121"/>
          <w:sz w:val="28"/>
          <w:szCs w:val="28"/>
          <w:u w:val="single"/>
        </w:rPr>
        <w:t xml:space="preserve">has </w:t>
      </w:r>
      <w:r w:rsidRPr="00695527">
        <w:rPr>
          <w:rStyle w:val="normaltextrun"/>
          <w:color w:val="212121"/>
          <w:sz w:val="28"/>
          <w:szCs w:val="28"/>
          <w:u w:val="single"/>
        </w:rPr>
        <w:t xml:space="preserve">demonstrates </w:t>
      </w:r>
      <w:r w:rsidR="071ACDF8" w:rsidRPr="22F46ACD">
        <w:rPr>
          <w:rStyle w:val="normaltextrun"/>
          <w:color w:val="212121"/>
          <w:sz w:val="28"/>
          <w:szCs w:val="28"/>
          <w:u w:val="single"/>
        </w:rPr>
        <w:t xml:space="preserve">that </w:t>
      </w:r>
      <w:r w:rsidRPr="00695527">
        <w:rPr>
          <w:rStyle w:val="eop"/>
          <w:color w:val="212121"/>
          <w:sz w:val="28"/>
          <w:szCs w:val="28"/>
          <w:u w:val="single"/>
        </w:rPr>
        <w:t>t</w:t>
      </w:r>
      <w:r w:rsidRPr="00695527">
        <w:rPr>
          <w:rStyle w:val="normaltextrun"/>
          <w:color w:val="212121"/>
          <w:sz w:val="28"/>
          <w:szCs w:val="28"/>
          <w:u w:val="single"/>
        </w:rPr>
        <w:t xml:space="preserve">he </w:t>
      </w:r>
      <w:r w:rsidRPr="22F46ACD">
        <w:rPr>
          <w:rStyle w:val="normaltextrun"/>
          <w:color w:val="212121"/>
          <w:sz w:val="28"/>
          <w:szCs w:val="28"/>
          <w:u w:val="single"/>
        </w:rPr>
        <w:t>ne</w:t>
      </w:r>
      <w:r w:rsidR="0EBE6D33" w:rsidRPr="22F46ACD">
        <w:rPr>
          <w:rStyle w:val="normaltextrun"/>
          <w:color w:val="212121"/>
          <w:sz w:val="28"/>
          <w:szCs w:val="28"/>
          <w:u w:val="single"/>
        </w:rPr>
        <w:t>ed for the physical</w:t>
      </w:r>
      <w:r w:rsidRPr="00695527">
        <w:rPr>
          <w:rStyle w:val="normaltextrun"/>
          <w:color w:val="212121"/>
          <w:sz w:val="28"/>
          <w:szCs w:val="28"/>
          <w:u w:val="single"/>
        </w:rPr>
        <w:t xml:space="preserve"> evidence substantially outweighs the potential health risks associated with </w:t>
      </w:r>
      <w:r w:rsidR="7E852833" w:rsidRPr="22F46ACD">
        <w:rPr>
          <w:rStyle w:val="normaltextrun"/>
          <w:color w:val="212121"/>
          <w:sz w:val="28"/>
          <w:szCs w:val="28"/>
          <w:u w:val="single"/>
        </w:rPr>
        <w:t>its presence in the courtroom</w:t>
      </w:r>
      <w:r w:rsidRPr="22F46ACD">
        <w:rPr>
          <w:rStyle w:val="normaltextrun"/>
          <w:color w:val="212121"/>
          <w:sz w:val="28"/>
          <w:szCs w:val="28"/>
          <w:u w:val="single"/>
        </w:rPr>
        <w:t>.</w:t>
      </w:r>
      <w:r w:rsidRPr="00695527">
        <w:rPr>
          <w:rStyle w:val="normaltextrun"/>
          <w:color w:val="212121"/>
          <w:sz w:val="28"/>
          <w:szCs w:val="28"/>
          <w:u w:val="single"/>
        </w:rPr>
        <w:t xml:space="preserve"> In making the determination, the court must take into consideration all relevant factors, including:</w:t>
      </w:r>
    </w:p>
    <w:p w14:paraId="269A2845" w14:textId="77777777" w:rsidR="00695527" w:rsidRPr="00695527" w:rsidRDefault="00695527" w:rsidP="00695527">
      <w:pPr>
        <w:pStyle w:val="paragraph"/>
        <w:shd w:val="clear" w:color="auto" w:fill="FFFFFF"/>
        <w:spacing w:before="120" w:beforeAutospacing="0" w:after="0" w:afterAutospacing="0" w:line="360" w:lineRule="auto"/>
        <w:jc w:val="both"/>
        <w:textAlignment w:val="baseline"/>
        <w:rPr>
          <w:rStyle w:val="normaltextrun"/>
          <w:color w:val="212121"/>
          <w:sz w:val="28"/>
          <w:szCs w:val="28"/>
          <w:u w:val="single"/>
        </w:rPr>
      </w:pPr>
      <w:r w:rsidRPr="00695527">
        <w:rPr>
          <w:rStyle w:val="eop"/>
          <w:color w:val="212121"/>
          <w:sz w:val="28"/>
          <w:szCs w:val="28"/>
          <w:u w:val="single"/>
        </w:rPr>
        <w:t xml:space="preserve">(a) </w:t>
      </w:r>
      <w:r w:rsidRPr="00695527">
        <w:rPr>
          <w:rStyle w:val="normaltextrun"/>
          <w:color w:val="212121"/>
          <w:sz w:val="28"/>
          <w:szCs w:val="28"/>
          <w:u w:val="single"/>
        </w:rPr>
        <w:t>the rights of the parties; and</w:t>
      </w:r>
    </w:p>
    <w:p w14:paraId="0307A2F5" w14:textId="0C22ED99" w:rsidR="00695527" w:rsidRPr="00695527" w:rsidRDefault="00695527" w:rsidP="22F46ACD">
      <w:pPr>
        <w:pStyle w:val="paragraph"/>
        <w:shd w:val="clear" w:color="auto" w:fill="FFFFFF" w:themeFill="background1"/>
        <w:tabs>
          <w:tab w:val="left" w:pos="360"/>
        </w:tabs>
        <w:spacing w:before="120" w:beforeAutospacing="0" w:after="0" w:afterAutospacing="0" w:line="360" w:lineRule="auto"/>
        <w:jc w:val="both"/>
        <w:textAlignment w:val="baseline"/>
        <w:rPr>
          <w:rStyle w:val="normaltextrun"/>
          <w:color w:val="212121"/>
          <w:sz w:val="28"/>
          <w:szCs w:val="28"/>
          <w:u w:val="single"/>
        </w:rPr>
      </w:pPr>
      <w:r w:rsidRPr="00695527">
        <w:rPr>
          <w:rStyle w:val="normaltextrun"/>
          <w:color w:val="212121"/>
          <w:sz w:val="28"/>
          <w:szCs w:val="28"/>
          <w:u w:val="single"/>
        </w:rPr>
        <w:t>(b)</w:t>
      </w:r>
      <w:r>
        <w:tab/>
      </w:r>
      <w:r w:rsidRPr="00695527">
        <w:rPr>
          <w:rStyle w:val="normaltextrun"/>
          <w:color w:val="212121"/>
          <w:sz w:val="28"/>
          <w:szCs w:val="28"/>
          <w:u w:val="single"/>
        </w:rPr>
        <w:t xml:space="preserve">the sufficiency and effectiveness of presenting digital representations of hazardous evidence </w:t>
      </w:r>
      <w:r w:rsidR="56C06FF5" w:rsidRPr="22F46ACD">
        <w:rPr>
          <w:rStyle w:val="normaltextrun"/>
          <w:color w:val="212121"/>
          <w:sz w:val="28"/>
          <w:szCs w:val="28"/>
          <w:u w:val="single"/>
        </w:rPr>
        <w:t>in lieu of</w:t>
      </w:r>
      <w:r w:rsidRPr="00695527">
        <w:rPr>
          <w:rStyle w:val="normaltextrun"/>
          <w:color w:val="212121"/>
          <w:sz w:val="28"/>
          <w:szCs w:val="28"/>
          <w:u w:val="single"/>
        </w:rPr>
        <w:t xml:space="preserve"> the </w:t>
      </w:r>
      <w:r w:rsidRPr="00695527">
        <w:rPr>
          <w:rStyle w:val="normaltextrun"/>
          <w:sz w:val="28"/>
          <w:szCs w:val="28"/>
          <w:u w:val="single"/>
        </w:rPr>
        <w:t xml:space="preserve">hazardous </w:t>
      </w:r>
      <w:r w:rsidRPr="00695527">
        <w:rPr>
          <w:rStyle w:val="normaltextrun"/>
          <w:color w:val="212121"/>
          <w:sz w:val="28"/>
          <w:szCs w:val="28"/>
          <w:u w:val="single"/>
        </w:rPr>
        <w:t>evidence.</w:t>
      </w:r>
    </w:p>
    <w:p w14:paraId="570333D8" w14:textId="1945CE05" w:rsidR="00695527" w:rsidRPr="00695527" w:rsidRDefault="00695527" w:rsidP="00695527">
      <w:pPr>
        <w:pStyle w:val="paragraph"/>
        <w:shd w:val="clear" w:color="auto" w:fill="FFFFFF" w:themeFill="background1"/>
        <w:spacing w:before="120" w:beforeAutospacing="0" w:after="0" w:afterAutospacing="0" w:line="360" w:lineRule="auto"/>
        <w:jc w:val="both"/>
        <w:textAlignment w:val="baseline"/>
        <w:rPr>
          <w:rStyle w:val="normaltextrun"/>
          <w:sz w:val="28"/>
          <w:szCs w:val="28"/>
          <w:u w:val="single"/>
        </w:rPr>
      </w:pPr>
      <w:r w:rsidRPr="00695527">
        <w:rPr>
          <w:rStyle w:val="normaltextrun"/>
          <w:sz w:val="28"/>
          <w:szCs w:val="28"/>
          <w:u w:val="single"/>
        </w:rPr>
        <w:lastRenderedPageBreak/>
        <w:t xml:space="preserve">(2) Admitted Hazardous Evidence. </w:t>
      </w:r>
      <w:r w:rsidRPr="22F46ACD">
        <w:rPr>
          <w:rStyle w:val="normaltextrun"/>
          <w:sz w:val="28"/>
          <w:szCs w:val="28"/>
          <w:u w:val="single"/>
        </w:rPr>
        <w:t xml:space="preserve">If </w:t>
      </w:r>
      <w:r w:rsidR="59D3FE9B" w:rsidRPr="22F46ACD">
        <w:rPr>
          <w:rStyle w:val="normaltextrun"/>
          <w:sz w:val="28"/>
          <w:szCs w:val="28"/>
          <w:u w:val="single"/>
        </w:rPr>
        <w:t>the court orders that</w:t>
      </w:r>
      <w:r w:rsidRPr="00695527">
        <w:rPr>
          <w:rStyle w:val="normaltextrun"/>
          <w:sz w:val="28"/>
          <w:szCs w:val="28"/>
          <w:u w:val="single"/>
        </w:rPr>
        <w:t xml:space="preserve"> hazardous evidence is permitted in the courtroom under (1) and </w:t>
      </w:r>
      <w:r w:rsidRPr="22F46ACD">
        <w:rPr>
          <w:rStyle w:val="normaltextrun"/>
          <w:sz w:val="28"/>
          <w:szCs w:val="28"/>
          <w:u w:val="single"/>
        </w:rPr>
        <w:t>a</w:t>
      </w:r>
      <w:r w:rsidR="03B6F803" w:rsidRPr="22F46ACD">
        <w:rPr>
          <w:rStyle w:val="normaltextrun"/>
          <w:sz w:val="28"/>
          <w:szCs w:val="28"/>
          <w:u w:val="single"/>
        </w:rPr>
        <w:t xml:space="preserve"> motion is made to admit such evidence, any order granting admission of the hazardous evidence must provide that</w:t>
      </w:r>
      <w:r w:rsidRPr="00695527">
        <w:rPr>
          <w:rStyle w:val="normaltextrun"/>
          <w:sz w:val="28"/>
          <w:szCs w:val="28"/>
          <w:u w:val="single"/>
        </w:rPr>
        <w:t xml:space="preserve"> a digital representation of the evidence </w:t>
      </w:r>
      <w:r w:rsidR="6CE6B55A" w:rsidRPr="22F46ACD">
        <w:rPr>
          <w:rStyle w:val="normaltextrun"/>
          <w:sz w:val="28"/>
          <w:szCs w:val="28"/>
          <w:u w:val="single"/>
        </w:rPr>
        <w:t>is</w:t>
      </w:r>
      <w:r w:rsidRPr="00695527">
        <w:rPr>
          <w:rStyle w:val="normaltextrun"/>
          <w:sz w:val="28"/>
          <w:szCs w:val="28"/>
          <w:u w:val="single"/>
        </w:rPr>
        <w:t xml:space="preserve"> admitted in lieu of the hazardous evidence. </w:t>
      </w:r>
      <w:r w:rsidR="2D38F969" w:rsidRPr="22F46ACD">
        <w:rPr>
          <w:rStyle w:val="normaltextrun"/>
          <w:sz w:val="28"/>
          <w:szCs w:val="28"/>
          <w:u w:val="single"/>
        </w:rPr>
        <w:t>At no time may the</w:t>
      </w:r>
      <w:r w:rsidRPr="00695527">
        <w:rPr>
          <w:rStyle w:val="normaltextrun"/>
          <w:sz w:val="28"/>
          <w:szCs w:val="28"/>
          <w:u w:val="single"/>
        </w:rPr>
        <w:t xml:space="preserve"> jury take custody of the hazardous evidence</w:t>
      </w:r>
      <w:r w:rsidR="269DB943" w:rsidRPr="22F46ACD">
        <w:rPr>
          <w:rStyle w:val="normaltextrun"/>
          <w:sz w:val="28"/>
          <w:szCs w:val="28"/>
          <w:u w:val="single"/>
        </w:rPr>
        <w:t>,</w:t>
      </w:r>
      <w:r w:rsidRPr="00695527">
        <w:rPr>
          <w:rStyle w:val="normaltextrun"/>
          <w:sz w:val="28"/>
          <w:szCs w:val="28"/>
          <w:u w:val="single"/>
        </w:rPr>
        <w:t xml:space="preserve"> but </w:t>
      </w:r>
      <w:r w:rsidR="121C0944" w:rsidRPr="22F46ACD">
        <w:rPr>
          <w:rStyle w:val="normaltextrun"/>
          <w:sz w:val="28"/>
          <w:szCs w:val="28"/>
          <w:u w:val="single"/>
        </w:rPr>
        <w:t>the jury</w:t>
      </w:r>
      <w:r w:rsidRPr="22F46ACD">
        <w:rPr>
          <w:rStyle w:val="normaltextrun"/>
          <w:sz w:val="28"/>
          <w:szCs w:val="28"/>
          <w:u w:val="single"/>
        </w:rPr>
        <w:t xml:space="preserve"> </w:t>
      </w:r>
      <w:r w:rsidRPr="00695527">
        <w:rPr>
          <w:rStyle w:val="normaltextrun"/>
          <w:sz w:val="28"/>
          <w:szCs w:val="28"/>
          <w:u w:val="single"/>
        </w:rPr>
        <w:t xml:space="preserve">is permitted to view </w:t>
      </w:r>
      <w:r w:rsidR="4E2EDED2" w:rsidRPr="22F46ACD">
        <w:rPr>
          <w:rStyle w:val="normaltextrun"/>
          <w:sz w:val="28"/>
          <w:szCs w:val="28"/>
          <w:u w:val="single"/>
        </w:rPr>
        <w:t>hazardous evidence</w:t>
      </w:r>
      <w:r w:rsidRPr="00695527">
        <w:rPr>
          <w:rStyle w:val="normaltextrun"/>
          <w:sz w:val="28"/>
          <w:szCs w:val="28"/>
          <w:u w:val="single"/>
        </w:rPr>
        <w:t xml:space="preserve"> in the courtroom. </w:t>
      </w:r>
    </w:p>
    <w:p w14:paraId="30E8D112" w14:textId="597EEB3C" w:rsidR="00695527" w:rsidRPr="00695527" w:rsidRDefault="00695527" w:rsidP="00695527">
      <w:pPr>
        <w:pStyle w:val="paragraph"/>
        <w:shd w:val="clear" w:color="auto" w:fill="FFFFFF" w:themeFill="background1"/>
        <w:spacing w:before="120" w:beforeAutospacing="0" w:after="0" w:afterAutospacing="0" w:line="360" w:lineRule="auto"/>
        <w:jc w:val="both"/>
        <w:textAlignment w:val="baseline"/>
        <w:rPr>
          <w:rStyle w:val="normaltextrun"/>
          <w:sz w:val="28"/>
          <w:szCs w:val="28"/>
          <w:u w:val="single"/>
        </w:rPr>
      </w:pPr>
      <w:r w:rsidRPr="00695527">
        <w:rPr>
          <w:rStyle w:val="normaltextrun"/>
          <w:sz w:val="28"/>
          <w:szCs w:val="28"/>
          <w:u w:val="single"/>
        </w:rPr>
        <w:t xml:space="preserve">(3) Clerk of Court. Hazardous evidence may not be accepted by </w:t>
      </w:r>
      <w:r w:rsidR="62166FCF" w:rsidRPr="22F46ACD">
        <w:rPr>
          <w:rStyle w:val="normaltextrun"/>
          <w:sz w:val="28"/>
          <w:szCs w:val="28"/>
          <w:u w:val="single"/>
        </w:rPr>
        <w:t xml:space="preserve">or be in the possession of </w:t>
      </w:r>
      <w:r w:rsidRPr="00695527">
        <w:rPr>
          <w:rStyle w:val="normaltextrun"/>
          <w:sz w:val="28"/>
          <w:szCs w:val="28"/>
          <w:u w:val="single"/>
        </w:rPr>
        <w:t xml:space="preserve">a clerk of the court. </w:t>
      </w:r>
    </w:p>
    <w:p w14:paraId="6EA963B9" w14:textId="4F751BB2" w:rsidR="00695527" w:rsidRPr="00342852" w:rsidRDefault="00695527" w:rsidP="22F46ACD">
      <w:pPr>
        <w:pStyle w:val="paragraph"/>
        <w:shd w:val="clear" w:color="auto" w:fill="FFFFFF" w:themeFill="background1"/>
        <w:spacing w:before="120" w:beforeAutospacing="0" w:after="0" w:afterAutospacing="0" w:line="360" w:lineRule="auto"/>
        <w:jc w:val="both"/>
        <w:textAlignment w:val="baseline"/>
        <w:rPr>
          <w:rStyle w:val="normaltextrun"/>
          <w:color w:val="212121"/>
          <w:sz w:val="28"/>
          <w:szCs w:val="28"/>
          <w:u w:val="single"/>
        </w:rPr>
      </w:pPr>
      <w:r w:rsidRPr="00695527">
        <w:rPr>
          <w:rStyle w:val="normaltextrun"/>
          <w:color w:val="212121"/>
          <w:sz w:val="28"/>
          <w:szCs w:val="28"/>
          <w:u w:val="single"/>
        </w:rPr>
        <w:t xml:space="preserve">(4) Retention of Hazardous Evidence. Hazardous evidence must be retained by the custodian of the evidence during the pendency of the case, any post-verdict proceedings, and appeals. </w:t>
      </w:r>
      <w:r w:rsidRPr="22F46ACD">
        <w:rPr>
          <w:rStyle w:val="normaltextrun"/>
          <w:color w:val="212121"/>
          <w:sz w:val="28"/>
          <w:szCs w:val="28"/>
          <w:u w:val="single"/>
        </w:rPr>
        <w:t xml:space="preserve">All </w:t>
      </w:r>
      <w:r w:rsidR="08D14C8A" w:rsidRPr="22F46ACD">
        <w:rPr>
          <w:rStyle w:val="normaltextrun"/>
          <w:color w:val="212121"/>
          <w:sz w:val="28"/>
          <w:szCs w:val="28"/>
          <w:u w:val="single"/>
        </w:rPr>
        <w:t>evidence</w:t>
      </w:r>
      <w:r w:rsidRPr="00695527">
        <w:rPr>
          <w:rStyle w:val="normaltextrun"/>
          <w:color w:val="212121"/>
          <w:sz w:val="28"/>
          <w:szCs w:val="28"/>
          <w:u w:val="single"/>
        </w:rPr>
        <w:t xml:space="preserve"> tags</w:t>
      </w:r>
      <w:r w:rsidR="2D1185B5" w:rsidRPr="22F46ACD">
        <w:rPr>
          <w:rStyle w:val="normaltextrun"/>
          <w:color w:val="212121"/>
          <w:sz w:val="28"/>
          <w:szCs w:val="28"/>
          <w:u w:val="single"/>
        </w:rPr>
        <w:t xml:space="preserve"> issued by the clerk</w:t>
      </w:r>
      <w:r w:rsidRPr="00695527">
        <w:rPr>
          <w:rStyle w:val="normaltextrun"/>
          <w:color w:val="212121"/>
          <w:sz w:val="28"/>
          <w:szCs w:val="28"/>
          <w:u w:val="single"/>
        </w:rPr>
        <w:t>, other identifying markings, and packaging must remain in place and not be disturbed.</w:t>
      </w:r>
      <w:r w:rsidRPr="4F4B3388">
        <w:rPr>
          <w:rStyle w:val="normaltextrun"/>
          <w:sz w:val="28"/>
          <w:szCs w:val="28"/>
          <w:u w:val="single"/>
        </w:rPr>
        <w:t xml:space="preserve"> </w:t>
      </w:r>
    </w:p>
    <w:p w14:paraId="73639548" w14:textId="77777777" w:rsidR="00695527" w:rsidRDefault="00695527" w:rsidP="00695527">
      <w:pPr>
        <w:spacing w:after="0" w:line="480" w:lineRule="auto"/>
        <w:jc w:val="both"/>
        <w:rPr>
          <w:rFonts w:ascii="Times New Roman" w:hAnsi="Times New Roman" w:cs="Times New Roman"/>
          <w:sz w:val="28"/>
          <w:szCs w:val="28"/>
        </w:rPr>
      </w:pPr>
    </w:p>
    <w:p w14:paraId="4E62ECB5" w14:textId="77777777" w:rsidR="00695527" w:rsidRDefault="00695527" w:rsidP="00695527">
      <w:pPr>
        <w:spacing w:after="0" w:line="480" w:lineRule="auto"/>
        <w:jc w:val="both"/>
        <w:rPr>
          <w:rFonts w:ascii="Times New Roman" w:hAnsi="Times New Roman" w:cs="Times New Roman"/>
          <w:sz w:val="28"/>
          <w:szCs w:val="28"/>
        </w:rPr>
      </w:pPr>
    </w:p>
    <w:p w14:paraId="441FB7D7" w14:textId="77777777" w:rsidR="00695527" w:rsidRDefault="00695527" w:rsidP="00695527">
      <w:pPr>
        <w:spacing w:after="0" w:line="480" w:lineRule="auto"/>
        <w:jc w:val="both"/>
        <w:rPr>
          <w:rFonts w:ascii="Times New Roman" w:hAnsi="Times New Roman" w:cs="Times New Roman"/>
          <w:sz w:val="28"/>
          <w:szCs w:val="28"/>
        </w:rPr>
      </w:pPr>
    </w:p>
    <w:p w14:paraId="0FDC9604" w14:textId="77777777" w:rsidR="00695527" w:rsidRDefault="00695527" w:rsidP="00695527">
      <w:pPr>
        <w:spacing w:after="0" w:line="480" w:lineRule="auto"/>
        <w:jc w:val="both"/>
        <w:rPr>
          <w:rFonts w:ascii="Times New Roman" w:hAnsi="Times New Roman" w:cs="Times New Roman"/>
          <w:sz w:val="28"/>
          <w:szCs w:val="28"/>
        </w:rPr>
      </w:pPr>
    </w:p>
    <w:p w14:paraId="1C73C1F1" w14:textId="77777777" w:rsidR="00695527" w:rsidRDefault="00695527" w:rsidP="00695527">
      <w:pPr>
        <w:spacing w:after="0" w:line="480" w:lineRule="auto"/>
        <w:jc w:val="both"/>
        <w:rPr>
          <w:rFonts w:ascii="Times New Roman" w:hAnsi="Times New Roman" w:cs="Times New Roman"/>
          <w:sz w:val="28"/>
          <w:szCs w:val="28"/>
        </w:rPr>
      </w:pPr>
    </w:p>
    <w:p w14:paraId="1FE3EDA7" w14:textId="77777777" w:rsidR="00695527" w:rsidRDefault="00695527" w:rsidP="00695527">
      <w:pPr>
        <w:spacing w:after="0" w:line="480" w:lineRule="auto"/>
        <w:jc w:val="both"/>
        <w:rPr>
          <w:rFonts w:ascii="Times New Roman" w:hAnsi="Times New Roman" w:cs="Times New Roman"/>
          <w:sz w:val="28"/>
          <w:szCs w:val="28"/>
        </w:rPr>
      </w:pPr>
    </w:p>
    <w:p w14:paraId="0620F4DE" w14:textId="77777777" w:rsidR="00695527" w:rsidRDefault="00695527" w:rsidP="00695527">
      <w:pPr>
        <w:rPr>
          <w:rFonts w:ascii="Times New Roman" w:hAnsi="Times New Roman" w:cs="Times New Roman"/>
          <w:b/>
          <w:bCs/>
          <w:sz w:val="28"/>
          <w:szCs w:val="28"/>
        </w:rPr>
      </w:pPr>
    </w:p>
    <w:p w14:paraId="7E219C8F" w14:textId="25C2D067" w:rsidR="005A6579" w:rsidRPr="00695527" w:rsidRDefault="005A6579" w:rsidP="00695527"/>
    <w:sectPr w:rsidR="005A6579" w:rsidRPr="00695527" w:rsidSect="00726664">
      <w:headerReference w:type="even" r:id="rId18"/>
      <w:headerReference w:type="default"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5C9D" w14:textId="77777777" w:rsidR="00A8777D" w:rsidRDefault="00A8777D" w:rsidP="00083675">
      <w:pPr>
        <w:spacing w:after="0" w:line="240" w:lineRule="auto"/>
      </w:pPr>
      <w:r>
        <w:separator/>
      </w:r>
    </w:p>
  </w:endnote>
  <w:endnote w:type="continuationSeparator" w:id="0">
    <w:p w14:paraId="10DA1FA4" w14:textId="77777777" w:rsidR="00A8777D" w:rsidRDefault="00A8777D" w:rsidP="00083675">
      <w:pPr>
        <w:spacing w:after="0" w:line="240" w:lineRule="auto"/>
      </w:pPr>
      <w:r>
        <w:continuationSeparator/>
      </w:r>
    </w:p>
  </w:endnote>
  <w:endnote w:type="continuationNotice" w:id="1">
    <w:p w14:paraId="659F48E0" w14:textId="77777777" w:rsidR="00A8777D" w:rsidRDefault="00A87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872415"/>
      <w:docPartObj>
        <w:docPartGallery w:val="Page Numbers (Bottom of Page)"/>
        <w:docPartUnique/>
      </w:docPartObj>
    </w:sdtPr>
    <w:sdtEndPr>
      <w:rPr>
        <w:rFonts w:ascii="Times New Roman" w:hAnsi="Times New Roman" w:cs="Times New Roman"/>
        <w:noProof/>
        <w:sz w:val="28"/>
        <w:szCs w:val="28"/>
      </w:rPr>
    </w:sdtEndPr>
    <w:sdtContent>
      <w:p w14:paraId="1ACE3A3D" w14:textId="77777777" w:rsidR="00695527" w:rsidRPr="0028283C" w:rsidRDefault="00695527">
        <w:pPr>
          <w:pStyle w:val="Footer"/>
          <w:jc w:val="center"/>
          <w:rPr>
            <w:rFonts w:ascii="Times New Roman" w:hAnsi="Times New Roman" w:cs="Times New Roman"/>
            <w:sz w:val="28"/>
            <w:szCs w:val="28"/>
          </w:rPr>
        </w:pPr>
        <w:r w:rsidRPr="0028283C">
          <w:rPr>
            <w:rFonts w:ascii="Times New Roman" w:hAnsi="Times New Roman" w:cs="Times New Roman"/>
            <w:sz w:val="28"/>
            <w:szCs w:val="28"/>
          </w:rPr>
          <w:fldChar w:fldCharType="begin"/>
        </w:r>
        <w:r w:rsidRPr="0028283C">
          <w:rPr>
            <w:rFonts w:ascii="Times New Roman" w:hAnsi="Times New Roman" w:cs="Times New Roman"/>
            <w:sz w:val="28"/>
            <w:szCs w:val="28"/>
          </w:rPr>
          <w:instrText xml:space="preserve"> PAGE   \* MERGEFORMAT </w:instrText>
        </w:r>
        <w:r w:rsidRPr="0028283C">
          <w:rPr>
            <w:rFonts w:ascii="Times New Roman" w:hAnsi="Times New Roman" w:cs="Times New Roman"/>
            <w:sz w:val="28"/>
            <w:szCs w:val="28"/>
          </w:rPr>
          <w:fldChar w:fldCharType="separate"/>
        </w:r>
        <w:r w:rsidRPr="0028283C">
          <w:rPr>
            <w:rFonts w:ascii="Times New Roman" w:hAnsi="Times New Roman" w:cs="Times New Roman"/>
            <w:noProof/>
            <w:sz w:val="28"/>
            <w:szCs w:val="28"/>
          </w:rPr>
          <w:t>2</w:t>
        </w:r>
        <w:r w:rsidRPr="0028283C">
          <w:rPr>
            <w:rFonts w:ascii="Times New Roman" w:hAnsi="Times New Roman" w:cs="Times New Roman"/>
            <w:noProof/>
            <w:sz w:val="28"/>
            <w:szCs w:val="28"/>
          </w:rPr>
          <w:fldChar w:fldCharType="end"/>
        </w:r>
      </w:p>
    </w:sdtContent>
  </w:sdt>
  <w:p w14:paraId="749CF9F8" w14:textId="77777777" w:rsidR="00695527" w:rsidRDefault="00695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0836" w14:textId="77777777" w:rsidR="00695527" w:rsidRPr="004E5256" w:rsidRDefault="00695527" w:rsidP="004E5256">
    <w:pPr>
      <w:pStyle w:val="Footer"/>
      <w:jc w:val="center"/>
      <w:rPr>
        <w:rFonts w:ascii="Times New Roman" w:hAnsi="Times New Roman" w:cs="Times New Roman"/>
      </w:rPr>
    </w:pPr>
    <w:r w:rsidRPr="004E5256">
      <w:rPr>
        <w:rFonts w:ascii="Times New Roman" w:hAnsi="Times New Roman" w:cs="Times New Roman"/>
      </w:rPr>
      <w:fldChar w:fldCharType="begin"/>
    </w:r>
    <w:r w:rsidRPr="004E5256">
      <w:rPr>
        <w:rFonts w:ascii="Times New Roman" w:hAnsi="Times New Roman" w:cs="Times New Roman"/>
      </w:rPr>
      <w:instrText xml:space="preserve"> PAGE   \* MERGEFORMAT </w:instrText>
    </w:r>
    <w:r w:rsidRPr="004E5256">
      <w:rPr>
        <w:rFonts w:ascii="Times New Roman" w:hAnsi="Times New Roman" w:cs="Times New Roman"/>
      </w:rPr>
      <w:fldChar w:fldCharType="separate"/>
    </w:r>
    <w:r w:rsidRPr="004E5256">
      <w:rPr>
        <w:rFonts w:ascii="Times New Roman" w:hAnsi="Times New Roman" w:cs="Times New Roman"/>
        <w:noProof/>
      </w:rPr>
      <w:t>2</w:t>
    </w:r>
    <w:r w:rsidRPr="004E5256">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CFF8" w14:textId="34C1F2B0" w:rsidR="0072118B" w:rsidRPr="006E151C" w:rsidRDefault="0072118B">
    <w:pPr>
      <w:pStyle w:val="Footer"/>
      <w:jc w:val="center"/>
      <w:rPr>
        <w:rFonts w:ascii="Times New Roman" w:hAnsi="Times New Roman" w:cs="Times New Roman"/>
        <w:sz w:val="28"/>
        <w:szCs w:val="28"/>
      </w:rPr>
    </w:pPr>
    <w:r w:rsidRPr="006E151C">
      <w:rPr>
        <w:rFonts w:ascii="Times New Roman" w:hAnsi="Times New Roman" w:cs="Times New Roman"/>
        <w:sz w:val="28"/>
        <w:szCs w:val="28"/>
      </w:rPr>
      <w:t>A</w:t>
    </w:r>
    <w:r w:rsidR="002D5328" w:rsidRPr="006E151C">
      <w:rPr>
        <w:rFonts w:ascii="Times New Roman" w:hAnsi="Times New Roman" w:cs="Times New Roman"/>
        <w:sz w:val="28"/>
        <w:szCs w:val="28"/>
      </w:rPr>
      <w:t>ppendix</w:t>
    </w:r>
    <w:r w:rsidR="00726664">
      <w:rPr>
        <w:rFonts w:ascii="Times New Roman" w:hAnsi="Times New Roman" w:cs="Times New Roman"/>
        <w:sz w:val="28"/>
        <w:szCs w:val="28"/>
      </w:rPr>
      <w:t xml:space="preserve"> A – Page </w:t>
    </w:r>
    <w:sdt>
      <w:sdtPr>
        <w:rPr>
          <w:rFonts w:ascii="Times New Roman" w:hAnsi="Times New Roman" w:cs="Times New Roman"/>
          <w:sz w:val="28"/>
          <w:szCs w:val="28"/>
        </w:rPr>
        <w:id w:val="-1274248716"/>
        <w:docPartObj>
          <w:docPartGallery w:val="Page Numbers (Bottom of Page)"/>
          <w:docPartUnique/>
        </w:docPartObj>
      </w:sdtPr>
      <w:sdtEndPr>
        <w:rPr>
          <w:noProof/>
        </w:rPr>
      </w:sdtEndPr>
      <w:sdtContent>
        <w:r w:rsidRPr="006E151C">
          <w:rPr>
            <w:rFonts w:ascii="Times New Roman" w:hAnsi="Times New Roman" w:cs="Times New Roman"/>
            <w:sz w:val="28"/>
            <w:szCs w:val="28"/>
          </w:rPr>
          <w:fldChar w:fldCharType="begin"/>
        </w:r>
        <w:r w:rsidRPr="006E151C">
          <w:rPr>
            <w:rFonts w:ascii="Times New Roman" w:hAnsi="Times New Roman" w:cs="Times New Roman"/>
            <w:sz w:val="28"/>
            <w:szCs w:val="28"/>
          </w:rPr>
          <w:instrText xml:space="preserve"> PAGE   \* MERGEFORMAT </w:instrText>
        </w:r>
        <w:r w:rsidRPr="006E151C">
          <w:rPr>
            <w:rFonts w:ascii="Times New Roman" w:hAnsi="Times New Roman" w:cs="Times New Roman"/>
            <w:sz w:val="28"/>
            <w:szCs w:val="28"/>
          </w:rPr>
          <w:fldChar w:fldCharType="separate"/>
        </w:r>
        <w:r w:rsidRPr="006E151C">
          <w:rPr>
            <w:rFonts w:ascii="Times New Roman" w:hAnsi="Times New Roman" w:cs="Times New Roman"/>
            <w:noProof/>
            <w:sz w:val="28"/>
            <w:szCs w:val="28"/>
          </w:rPr>
          <w:t>2</w:t>
        </w:r>
        <w:r w:rsidRPr="006E151C">
          <w:rPr>
            <w:rFonts w:ascii="Times New Roman" w:hAnsi="Times New Roman" w:cs="Times New Roman"/>
            <w:noProof/>
            <w:sz w:val="28"/>
            <w:szCs w:val="28"/>
          </w:rPr>
          <w:fldChar w:fldCharType="end"/>
        </w:r>
      </w:sdtContent>
    </w:sdt>
  </w:p>
  <w:p w14:paraId="4BF486A5" w14:textId="4D1F46FA" w:rsidR="007B05B3" w:rsidRDefault="007B05B3" w:rsidP="00B111A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D785" w14:textId="77777777" w:rsidR="007346E5" w:rsidRDefault="00734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DF82" w14:textId="77777777" w:rsidR="00A8777D" w:rsidRDefault="00A8777D" w:rsidP="00083675">
      <w:pPr>
        <w:spacing w:after="0" w:line="240" w:lineRule="auto"/>
      </w:pPr>
      <w:r>
        <w:separator/>
      </w:r>
    </w:p>
  </w:footnote>
  <w:footnote w:type="continuationSeparator" w:id="0">
    <w:p w14:paraId="618EC4A9" w14:textId="77777777" w:rsidR="00A8777D" w:rsidRDefault="00A8777D" w:rsidP="00083675">
      <w:pPr>
        <w:spacing w:after="0" w:line="240" w:lineRule="auto"/>
      </w:pPr>
      <w:r>
        <w:continuationSeparator/>
      </w:r>
    </w:p>
  </w:footnote>
  <w:footnote w:type="continuationNotice" w:id="1">
    <w:p w14:paraId="6375D287" w14:textId="77777777" w:rsidR="00A8777D" w:rsidRDefault="00A877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271A" w14:textId="5D1D823B" w:rsidR="00695527" w:rsidRDefault="00695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504B" w14:textId="5019F191" w:rsidR="00695527" w:rsidRDefault="00695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8105" w14:textId="09D21FE0" w:rsidR="00695527" w:rsidRDefault="006955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4F35" w14:textId="77777777" w:rsidR="00695527" w:rsidRDefault="006955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5F11" w14:textId="77777777" w:rsidR="00695527" w:rsidRDefault="006955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E8A7" w14:textId="77777777" w:rsidR="00695527" w:rsidRDefault="0069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960"/>
    <w:multiLevelType w:val="hybridMultilevel"/>
    <w:tmpl w:val="93B29D3A"/>
    <w:lvl w:ilvl="0" w:tplc="10CA9B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5069"/>
    <w:multiLevelType w:val="hybridMultilevel"/>
    <w:tmpl w:val="2F46ECE8"/>
    <w:lvl w:ilvl="0" w:tplc="E7624B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7954"/>
    <w:multiLevelType w:val="hybridMultilevel"/>
    <w:tmpl w:val="7632CB4E"/>
    <w:lvl w:ilvl="0" w:tplc="438E1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F05EB"/>
    <w:multiLevelType w:val="hybridMultilevel"/>
    <w:tmpl w:val="F65EFBC0"/>
    <w:lvl w:ilvl="0" w:tplc="A8F67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274D1"/>
    <w:multiLevelType w:val="hybridMultilevel"/>
    <w:tmpl w:val="C3505CA8"/>
    <w:lvl w:ilvl="0" w:tplc="FB1CFB4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EE4CCB"/>
    <w:multiLevelType w:val="hybridMultilevel"/>
    <w:tmpl w:val="A13263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FD2692"/>
    <w:multiLevelType w:val="hybridMultilevel"/>
    <w:tmpl w:val="805C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6358F7"/>
    <w:multiLevelType w:val="hybridMultilevel"/>
    <w:tmpl w:val="D1F40768"/>
    <w:lvl w:ilvl="0" w:tplc="A3546B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9A0966"/>
    <w:multiLevelType w:val="hybridMultilevel"/>
    <w:tmpl w:val="96A6EC3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A6C48CC"/>
    <w:multiLevelType w:val="hybridMultilevel"/>
    <w:tmpl w:val="FB56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2"/>
  </w:num>
  <w:num w:numId="5">
    <w:abstractNumId w:val="6"/>
  </w:num>
  <w:num w:numId="6">
    <w:abstractNumId w:val="9"/>
  </w:num>
  <w:num w:numId="7">
    <w:abstractNumId w:val="3"/>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4B"/>
    <w:rsid w:val="00003A0D"/>
    <w:rsid w:val="000158F5"/>
    <w:rsid w:val="00024EA9"/>
    <w:rsid w:val="00025E14"/>
    <w:rsid w:val="00041A5F"/>
    <w:rsid w:val="00042DC0"/>
    <w:rsid w:val="00053F49"/>
    <w:rsid w:val="0005554C"/>
    <w:rsid w:val="00061C0C"/>
    <w:rsid w:val="000651BA"/>
    <w:rsid w:val="000715D4"/>
    <w:rsid w:val="00074426"/>
    <w:rsid w:val="00075BD7"/>
    <w:rsid w:val="00083675"/>
    <w:rsid w:val="00086890"/>
    <w:rsid w:val="0009162C"/>
    <w:rsid w:val="000A0C48"/>
    <w:rsid w:val="000B28EB"/>
    <w:rsid w:val="000C1D18"/>
    <w:rsid w:val="000C7BBD"/>
    <w:rsid w:val="000D3E7F"/>
    <w:rsid w:val="000D4BA9"/>
    <w:rsid w:val="000E09E3"/>
    <w:rsid w:val="000E09EB"/>
    <w:rsid w:val="000E3EF3"/>
    <w:rsid w:val="000E4BBC"/>
    <w:rsid w:val="000E509E"/>
    <w:rsid w:val="000E5786"/>
    <w:rsid w:val="000F6846"/>
    <w:rsid w:val="000F6D4A"/>
    <w:rsid w:val="000F7272"/>
    <w:rsid w:val="00100254"/>
    <w:rsid w:val="00100E8E"/>
    <w:rsid w:val="00101727"/>
    <w:rsid w:val="00102C89"/>
    <w:rsid w:val="001030D5"/>
    <w:rsid w:val="001112F8"/>
    <w:rsid w:val="00111568"/>
    <w:rsid w:val="00114934"/>
    <w:rsid w:val="001158AB"/>
    <w:rsid w:val="0012274A"/>
    <w:rsid w:val="00122F4E"/>
    <w:rsid w:val="00126D9E"/>
    <w:rsid w:val="00131729"/>
    <w:rsid w:val="001350D1"/>
    <w:rsid w:val="00136187"/>
    <w:rsid w:val="00136A31"/>
    <w:rsid w:val="00141355"/>
    <w:rsid w:val="00141389"/>
    <w:rsid w:val="0014524F"/>
    <w:rsid w:val="00154817"/>
    <w:rsid w:val="0015555F"/>
    <w:rsid w:val="00156802"/>
    <w:rsid w:val="00157CD1"/>
    <w:rsid w:val="0016012E"/>
    <w:rsid w:val="001605F6"/>
    <w:rsid w:val="00161105"/>
    <w:rsid w:val="00170456"/>
    <w:rsid w:val="00176F2F"/>
    <w:rsid w:val="001810E9"/>
    <w:rsid w:val="00181A2F"/>
    <w:rsid w:val="00181FC4"/>
    <w:rsid w:val="00186CF6"/>
    <w:rsid w:val="001911BD"/>
    <w:rsid w:val="0019312F"/>
    <w:rsid w:val="00193BAB"/>
    <w:rsid w:val="00195D26"/>
    <w:rsid w:val="00196E0F"/>
    <w:rsid w:val="001A0293"/>
    <w:rsid w:val="001A2E2A"/>
    <w:rsid w:val="001A5ECB"/>
    <w:rsid w:val="001A7664"/>
    <w:rsid w:val="001B2004"/>
    <w:rsid w:val="001C0524"/>
    <w:rsid w:val="001C11FC"/>
    <w:rsid w:val="001C239C"/>
    <w:rsid w:val="001C2C5B"/>
    <w:rsid w:val="001C3729"/>
    <w:rsid w:val="001C58B8"/>
    <w:rsid w:val="001D1DBE"/>
    <w:rsid w:val="001D3C14"/>
    <w:rsid w:val="001D3ED3"/>
    <w:rsid w:val="001D430B"/>
    <w:rsid w:val="001D484C"/>
    <w:rsid w:val="001D594D"/>
    <w:rsid w:val="001D712A"/>
    <w:rsid w:val="001E0558"/>
    <w:rsid w:val="001E2B3F"/>
    <w:rsid w:val="001E4A3C"/>
    <w:rsid w:val="001E6B6E"/>
    <w:rsid w:val="001F0603"/>
    <w:rsid w:val="001F0724"/>
    <w:rsid w:val="001F1396"/>
    <w:rsid w:val="001F3BEB"/>
    <w:rsid w:val="001F607A"/>
    <w:rsid w:val="001F7DCE"/>
    <w:rsid w:val="002013E2"/>
    <w:rsid w:val="00204019"/>
    <w:rsid w:val="00206EC2"/>
    <w:rsid w:val="002110DF"/>
    <w:rsid w:val="00212E4C"/>
    <w:rsid w:val="00215279"/>
    <w:rsid w:val="002167B3"/>
    <w:rsid w:val="00217D03"/>
    <w:rsid w:val="00217FF4"/>
    <w:rsid w:val="00222377"/>
    <w:rsid w:val="0022323F"/>
    <w:rsid w:val="00223C35"/>
    <w:rsid w:val="002268BB"/>
    <w:rsid w:val="00227DC3"/>
    <w:rsid w:val="00230A34"/>
    <w:rsid w:val="002324A7"/>
    <w:rsid w:val="00233225"/>
    <w:rsid w:val="00236CBA"/>
    <w:rsid w:val="00241E67"/>
    <w:rsid w:val="00243DF4"/>
    <w:rsid w:val="0024535B"/>
    <w:rsid w:val="00247EDE"/>
    <w:rsid w:val="00250DCC"/>
    <w:rsid w:val="00252BA4"/>
    <w:rsid w:val="00255672"/>
    <w:rsid w:val="00256B7E"/>
    <w:rsid w:val="00256ED9"/>
    <w:rsid w:val="00257255"/>
    <w:rsid w:val="00257D95"/>
    <w:rsid w:val="00261DA8"/>
    <w:rsid w:val="0026527A"/>
    <w:rsid w:val="0027005A"/>
    <w:rsid w:val="002713EC"/>
    <w:rsid w:val="00271810"/>
    <w:rsid w:val="00272DFA"/>
    <w:rsid w:val="002747E1"/>
    <w:rsid w:val="0027599E"/>
    <w:rsid w:val="00277F9E"/>
    <w:rsid w:val="00282564"/>
    <w:rsid w:val="0028283C"/>
    <w:rsid w:val="00283D67"/>
    <w:rsid w:val="00286EE5"/>
    <w:rsid w:val="0029141F"/>
    <w:rsid w:val="00291CDE"/>
    <w:rsid w:val="002938CC"/>
    <w:rsid w:val="00294CE8"/>
    <w:rsid w:val="00295B51"/>
    <w:rsid w:val="00296BAB"/>
    <w:rsid w:val="00296CF8"/>
    <w:rsid w:val="00297D04"/>
    <w:rsid w:val="002A2CCA"/>
    <w:rsid w:val="002A477F"/>
    <w:rsid w:val="002A50CB"/>
    <w:rsid w:val="002A52B1"/>
    <w:rsid w:val="002B6185"/>
    <w:rsid w:val="002C0047"/>
    <w:rsid w:val="002C3F7B"/>
    <w:rsid w:val="002C4804"/>
    <w:rsid w:val="002C5107"/>
    <w:rsid w:val="002C6047"/>
    <w:rsid w:val="002C6D37"/>
    <w:rsid w:val="002C7F04"/>
    <w:rsid w:val="002D0BF2"/>
    <w:rsid w:val="002D38E3"/>
    <w:rsid w:val="002D40AF"/>
    <w:rsid w:val="002D4B9A"/>
    <w:rsid w:val="002D4F87"/>
    <w:rsid w:val="002D5328"/>
    <w:rsid w:val="00302499"/>
    <w:rsid w:val="00304425"/>
    <w:rsid w:val="00307645"/>
    <w:rsid w:val="00312687"/>
    <w:rsid w:val="00315269"/>
    <w:rsid w:val="003158DC"/>
    <w:rsid w:val="00315AF7"/>
    <w:rsid w:val="0033251B"/>
    <w:rsid w:val="00337B16"/>
    <w:rsid w:val="0034074D"/>
    <w:rsid w:val="00340895"/>
    <w:rsid w:val="003420DA"/>
    <w:rsid w:val="00344429"/>
    <w:rsid w:val="003478BF"/>
    <w:rsid w:val="00350D65"/>
    <w:rsid w:val="00350E44"/>
    <w:rsid w:val="003523DB"/>
    <w:rsid w:val="0035445A"/>
    <w:rsid w:val="0035470B"/>
    <w:rsid w:val="00356825"/>
    <w:rsid w:val="00357F2C"/>
    <w:rsid w:val="00361E09"/>
    <w:rsid w:val="0036353F"/>
    <w:rsid w:val="003653E9"/>
    <w:rsid w:val="00366AAA"/>
    <w:rsid w:val="0037113F"/>
    <w:rsid w:val="00372618"/>
    <w:rsid w:val="00380606"/>
    <w:rsid w:val="00382832"/>
    <w:rsid w:val="00382940"/>
    <w:rsid w:val="00382999"/>
    <w:rsid w:val="00385D0F"/>
    <w:rsid w:val="00386CA6"/>
    <w:rsid w:val="00394676"/>
    <w:rsid w:val="00394ADE"/>
    <w:rsid w:val="00394BEB"/>
    <w:rsid w:val="003954DE"/>
    <w:rsid w:val="00395968"/>
    <w:rsid w:val="003A01A4"/>
    <w:rsid w:val="003A0288"/>
    <w:rsid w:val="003A1CA7"/>
    <w:rsid w:val="003B23B0"/>
    <w:rsid w:val="003B277C"/>
    <w:rsid w:val="003B42D3"/>
    <w:rsid w:val="003B7128"/>
    <w:rsid w:val="003B7570"/>
    <w:rsid w:val="003C3289"/>
    <w:rsid w:val="003C4BAE"/>
    <w:rsid w:val="003C5D64"/>
    <w:rsid w:val="003D38AA"/>
    <w:rsid w:val="003D38B0"/>
    <w:rsid w:val="003D53E6"/>
    <w:rsid w:val="003D5BEA"/>
    <w:rsid w:val="003D6FF1"/>
    <w:rsid w:val="003E0A8D"/>
    <w:rsid w:val="003E0DD3"/>
    <w:rsid w:val="003E5387"/>
    <w:rsid w:val="003F4CC9"/>
    <w:rsid w:val="003F5338"/>
    <w:rsid w:val="00405A9B"/>
    <w:rsid w:val="00405E70"/>
    <w:rsid w:val="00412CBB"/>
    <w:rsid w:val="00417033"/>
    <w:rsid w:val="00417516"/>
    <w:rsid w:val="004272E1"/>
    <w:rsid w:val="00430085"/>
    <w:rsid w:val="00432658"/>
    <w:rsid w:val="00436BB9"/>
    <w:rsid w:val="004401AF"/>
    <w:rsid w:val="00441D1C"/>
    <w:rsid w:val="00442BCA"/>
    <w:rsid w:val="00443E26"/>
    <w:rsid w:val="00444AD2"/>
    <w:rsid w:val="0044713E"/>
    <w:rsid w:val="00453126"/>
    <w:rsid w:val="00455C20"/>
    <w:rsid w:val="0045610E"/>
    <w:rsid w:val="004568B8"/>
    <w:rsid w:val="004611BB"/>
    <w:rsid w:val="0046130A"/>
    <w:rsid w:val="004617D7"/>
    <w:rsid w:val="004714E7"/>
    <w:rsid w:val="00474A29"/>
    <w:rsid w:val="00477104"/>
    <w:rsid w:val="004801C5"/>
    <w:rsid w:val="00480F6D"/>
    <w:rsid w:val="004835EA"/>
    <w:rsid w:val="004846EE"/>
    <w:rsid w:val="004A10F5"/>
    <w:rsid w:val="004A1FA3"/>
    <w:rsid w:val="004A3964"/>
    <w:rsid w:val="004A3D0B"/>
    <w:rsid w:val="004A4A90"/>
    <w:rsid w:val="004A4B0A"/>
    <w:rsid w:val="004A5CC6"/>
    <w:rsid w:val="004B1D10"/>
    <w:rsid w:val="004B290C"/>
    <w:rsid w:val="004B3152"/>
    <w:rsid w:val="004C0CA5"/>
    <w:rsid w:val="004C1873"/>
    <w:rsid w:val="004C211F"/>
    <w:rsid w:val="004C3E05"/>
    <w:rsid w:val="004C4FC8"/>
    <w:rsid w:val="004C6681"/>
    <w:rsid w:val="004C6A47"/>
    <w:rsid w:val="004C7998"/>
    <w:rsid w:val="004D171F"/>
    <w:rsid w:val="004E47A5"/>
    <w:rsid w:val="004E5256"/>
    <w:rsid w:val="004E6861"/>
    <w:rsid w:val="004F0879"/>
    <w:rsid w:val="004F33A7"/>
    <w:rsid w:val="004F4451"/>
    <w:rsid w:val="00502B44"/>
    <w:rsid w:val="005060A6"/>
    <w:rsid w:val="0051042C"/>
    <w:rsid w:val="005119A3"/>
    <w:rsid w:val="00517BAA"/>
    <w:rsid w:val="00517BFD"/>
    <w:rsid w:val="00520DD8"/>
    <w:rsid w:val="00532754"/>
    <w:rsid w:val="00540DF6"/>
    <w:rsid w:val="005479AA"/>
    <w:rsid w:val="00556658"/>
    <w:rsid w:val="00556EAA"/>
    <w:rsid w:val="00557267"/>
    <w:rsid w:val="005605B3"/>
    <w:rsid w:val="005620CF"/>
    <w:rsid w:val="0056260F"/>
    <w:rsid w:val="005651B4"/>
    <w:rsid w:val="005663CE"/>
    <w:rsid w:val="0056690E"/>
    <w:rsid w:val="00566A69"/>
    <w:rsid w:val="00572A10"/>
    <w:rsid w:val="005818B8"/>
    <w:rsid w:val="00594A87"/>
    <w:rsid w:val="005A6579"/>
    <w:rsid w:val="005B165D"/>
    <w:rsid w:val="005B4B23"/>
    <w:rsid w:val="005B7B63"/>
    <w:rsid w:val="005C12CA"/>
    <w:rsid w:val="005C18CA"/>
    <w:rsid w:val="005C4930"/>
    <w:rsid w:val="005C5078"/>
    <w:rsid w:val="005D4783"/>
    <w:rsid w:val="005D50E9"/>
    <w:rsid w:val="005D7C96"/>
    <w:rsid w:val="005E2459"/>
    <w:rsid w:val="005F0BC8"/>
    <w:rsid w:val="005F3677"/>
    <w:rsid w:val="005F4AEF"/>
    <w:rsid w:val="005F6D70"/>
    <w:rsid w:val="006001DD"/>
    <w:rsid w:val="006002F0"/>
    <w:rsid w:val="00600F99"/>
    <w:rsid w:val="00606352"/>
    <w:rsid w:val="00607255"/>
    <w:rsid w:val="006075D9"/>
    <w:rsid w:val="0061532A"/>
    <w:rsid w:val="006153BB"/>
    <w:rsid w:val="00616EB4"/>
    <w:rsid w:val="00621B69"/>
    <w:rsid w:val="00622984"/>
    <w:rsid w:val="00624671"/>
    <w:rsid w:val="00625132"/>
    <w:rsid w:val="006278C1"/>
    <w:rsid w:val="00627B09"/>
    <w:rsid w:val="006349E1"/>
    <w:rsid w:val="0063617A"/>
    <w:rsid w:val="0064507B"/>
    <w:rsid w:val="0064516E"/>
    <w:rsid w:val="00653F7F"/>
    <w:rsid w:val="006548AE"/>
    <w:rsid w:val="00655264"/>
    <w:rsid w:val="00660A09"/>
    <w:rsid w:val="00663F8B"/>
    <w:rsid w:val="00664276"/>
    <w:rsid w:val="0066515A"/>
    <w:rsid w:val="00675335"/>
    <w:rsid w:val="00680B27"/>
    <w:rsid w:val="00680C52"/>
    <w:rsid w:val="00683802"/>
    <w:rsid w:val="0069012E"/>
    <w:rsid w:val="00693C58"/>
    <w:rsid w:val="00694912"/>
    <w:rsid w:val="006953CF"/>
    <w:rsid w:val="00695527"/>
    <w:rsid w:val="00697CB7"/>
    <w:rsid w:val="006A4E0B"/>
    <w:rsid w:val="006A573A"/>
    <w:rsid w:val="006A5AB6"/>
    <w:rsid w:val="006B1548"/>
    <w:rsid w:val="006B17F6"/>
    <w:rsid w:val="006B2CAE"/>
    <w:rsid w:val="006B4CBA"/>
    <w:rsid w:val="006B64FD"/>
    <w:rsid w:val="006B731B"/>
    <w:rsid w:val="006C52AA"/>
    <w:rsid w:val="006D2B25"/>
    <w:rsid w:val="006D2C06"/>
    <w:rsid w:val="006D488F"/>
    <w:rsid w:val="006E151C"/>
    <w:rsid w:val="006E4636"/>
    <w:rsid w:val="006F01D3"/>
    <w:rsid w:val="006F19D4"/>
    <w:rsid w:val="006F1C38"/>
    <w:rsid w:val="006F25D0"/>
    <w:rsid w:val="006F7296"/>
    <w:rsid w:val="00701115"/>
    <w:rsid w:val="00702E97"/>
    <w:rsid w:val="007056AF"/>
    <w:rsid w:val="00707E3E"/>
    <w:rsid w:val="00707F0C"/>
    <w:rsid w:val="007161C6"/>
    <w:rsid w:val="0072118B"/>
    <w:rsid w:val="00723C04"/>
    <w:rsid w:val="00724DA8"/>
    <w:rsid w:val="00724F14"/>
    <w:rsid w:val="00726214"/>
    <w:rsid w:val="00726664"/>
    <w:rsid w:val="00727B95"/>
    <w:rsid w:val="00733CA8"/>
    <w:rsid w:val="00734579"/>
    <w:rsid w:val="007346E5"/>
    <w:rsid w:val="00743D02"/>
    <w:rsid w:val="00746539"/>
    <w:rsid w:val="00752CA5"/>
    <w:rsid w:val="007534FF"/>
    <w:rsid w:val="00755874"/>
    <w:rsid w:val="00756346"/>
    <w:rsid w:val="00757ADE"/>
    <w:rsid w:val="00760365"/>
    <w:rsid w:val="00763FD0"/>
    <w:rsid w:val="00764C7C"/>
    <w:rsid w:val="00773DAB"/>
    <w:rsid w:val="0077444B"/>
    <w:rsid w:val="00785C26"/>
    <w:rsid w:val="00787121"/>
    <w:rsid w:val="00787797"/>
    <w:rsid w:val="0078793F"/>
    <w:rsid w:val="00797887"/>
    <w:rsid w:val="007A0723"/>
    <w:rsid w:val="007A2D9F"/>
    <w:rsid w:val="007A2FC4"/>
    <w:rsid w:val="007A663C"/>
    <w:rsid w:val="007B05B3"/>
    <w:rsid w:val="007B0C05"/>
    <w:rsid w:val="007B4076"/>
    <w:rsid w:val="007B5CD1"/>
    <w:rsid w:val="007B73E3"/>
    <w:rsid w:val="007C0EA6"/>
    <w:rsid w:val="007C3815"/>
    <w:rsid w:val="007D5E49"/>
    <w:rsid w:val="007F3F64"/>
    <w:rsid w:val="00800C7B"/>
    <w:rsid w:val="00802B28"/>
    <w:rsid w:val="0080694F"/>
    <w:rsid w:val="00817A78"/>
    <w:rsid w:val="00822C9E"/>
    <w:rsid w:val="00823FE5"/>
    <w:rsid w:val="008270B6"/>
    <w:rsid w:val="00831FFF"/>
    <w:rsid w:val="00845E63"/>
    <w:rsid w:val="00852561"/>
    <w:rsid w:val="00853116"/>
    <w:rsid w:val="00853508"/>
    <w:rsid w:val="008537A9"/>
    <w:rsid w:val="00856B88"/>
    <w:rsid w:val="00863509"/>
    <w:rsid w:val="00864B46"/>
    <w:rsid w:val="00866C39"/>
    <w:rsid w:val="00875CCA"/>
    <w:rsid w:val="00877FF6"/>
    <w:rsid w:val="008813FB"/>
    <w:rsid w:val="00884F9A"/>
    <w:rsid w:val="00890017"/>
    <w:rsid w:val="0089045F"/>
    <w:rsid w:val="00890901"/>
    <w:rsid w:val="008913E5"/>
    <w:rsid w:val="00894358"/>
    <w:rsid w:val="008A145B"/>
    <w:rsid w:val="008A5A59"/>
    <w:rsid w:val="008A618D"/>
    <w:rsid w:val="008A6724"/>
    <w:rsid w:val="008B7BC3"/>
    <w:rsid w:val="008C2A49"/>
    <w:rsid w:val="008C4961"/>
    <w:rsid w:val="008D39ED"/>
    <w:rsid w:val="008D4120"/>
    <w:rsid w:val="008E4132"/>
    <w:rsid w:val="008E6B33"/>
    <w:rsid w:val="008E71D6"/>
    <w:rsid w:val="008F3ABF"/>
    <w:rsid w:val="008F505C"/>
    <w:rsid w:val="008F60D5"/>
    <w:rsid w:val="008F6A80"/>
    <w:rsid w:val="008F6D35"/>
    <w:rsid w:val="008F78C7"/>
    <w:rsid w:val="00905F23"/>
    <w:rsid w:val="009106F9"/>
    <w:rsid w:val="00913EE1"/>
    <w:rsid w:val="00914FC5"/>
    <w:rsid w:val="0091760C"/>
    <w:rsid w:val="009233FA"/>
    <w:rsid w:val="00927AD2"/>
    <w:rsid w:val="00934A6E"/>
    <w:rsid w:val="00934D31"/>
    <w:rsid w:val="00936AC7"/>
    <w:rsid w:val="00936E9B"/>
    <w:rsid w:val="00940F1A"/>
    <w:rsid w:val="009457BF"/>
    <w:rsid w:val="00946A2E"/>
    <w:rsid w:val="009505EB"/>
    <w:rsid w:val="0095077A"/>
    <w:rsid w:val="00950D42"/>
    <w:rsid w:val="00950E6E"/>
    <w:rsid w:val="0096673E"/>
    <w:rsid w:val="009724C0"/>
    <w:rsid w:val="0097256C"/>
    <w:rsid w:val="00972ED5"/>
    <w:rsid w:val="00973207"/>
    <w:rsid w:val="00974FE9"/>
    <w:rsid w:val="0097524F"/>
    <w:rsid w:val="00981491"/>
    <w:rsid w:val="009901AB"/>
    <w:rsid w:val="009930D3"/>
    <w:rsid w:val="00993995"/>
    <w:rsid w:val="00995A37"/>
    <w:rsid w:val="0099602A"/>
    <w:rsid w:val="009A640A"/>
    <w:rsid w:val="009A7F2E"/>
    <w:rsid w:val="009B193E"/>
    <w:rsid w:val="009B4119"/>
    <w:rsid w:val="009B61E7"/>
    <w:rsid w:val="009C028A"/>
    <w:rsid w:val="009C0550"/>
    <w:rsid w:val="009C1DBA"/>
    <w:rsid w:val="009C1EF2"/>
    <w:rsid w:val="009C3D69"/>
    <w:rsid w:val="009C47AD"/>
    <w:rsid w:val="009C4A5E"/>
    <w:rsid w:val="009C4DCE"/>
    <w:rsid w:val="009C504C"/>
    <w:rsid w:val="009C5376"/>
    <w:rsid w:val="009C60D0"/>
    <w:rsid w:val="009C73CC"/>
    <w:rsid w:val="009D29B2"/>
    <w:rsid w:val="009D4002"/>
    <w:rsid w:val="009D61A9"/>
    <w:rsid w:val="009E1ACE"/>
    <w:rsid w:val="009E3887"/>
    <w:rsid w:val="009E4C82"/>
    <w:rsid w:val="009E5867"/>
    <w:rsid w:val="009F2730"/>
    <w:rsid w:val="009F4E05"/>
    <w:rsid w:val="009F66DF"/>
    <w:rsid w:val="009F74C6"/>
    <w:rsid w:val="00A018C2"/>
    <w:rsid w:val="00A021B8"/>
    <w:rsid w:val="00A032FB"/>
    <w:rsid w:val="00A076E6"/>
    <w:rsid w:val="00A135DF"/>
    <w:rsid w:val="00A14DED"/>
    <w:rsid w:val="00A167D0"/>
    <w:rsid w:val="00A21E42"/>
    <w:rsid w:val="00A2425F"/>
    <w:rsid w:val="00A27331"/>
    <w:rsid w:val="00A27B3F"/>
    <w:rsid w:val="00A312EC"/>
    <w:rsid w:val="00A3224D"/>
    <w:rsid w:val="00A34C8E"/>
    <w:rsid w:val="00A34F8F"/>
    <w:rsid w:val="00A41A65"/>
    <w:rsid w:val="00A41B54"/>
    <w:rsid w:val="00A42109"/>
    <w:rsid w:val="00A50902"/>
    <w:rsid w:val="00A62F66"/>
    <w:rsid w:val="00A6404C"/>
    <w:rsid w:val="00A70FB7"/>
    <w:rsid w:val="00A7165B"/>
    <w:rsid w:val="00A724D1"/>
    <w:rsid w:val="00A81B5C"/>
    <w:rsid w:val="00A834CC"/>
    <w:rsid w:val="00A83B38"/>
    <w:rsid w:val="00A8475C"/>
    <w:rsid w:val="00A8777D"/>
    <w:rsid w:val="00A879D3"/>
    <w:rsid w:val="00A9063A"/>
    <w:rsid w:val="00A91B45"/>
    <w:rsid w:val="00A91D40"/>
    <w:rsid w:val="00A927FF"/>
    <w:rsid w:val="00A95F85"/>
    <w:rsid w:val="00A96626"/>
    <w:rsid w:val="00A96D4A"/>
    <w:rsid w:val="00AA1486"/>
    <w:rsid w:val="00AA1571"/>
    <w:rsid w:val="00AA41FA"/>
    <w:rsid w:val="00AA63D5"/>
    <w:rsid w:val="00AB261A"/>
    <w:rsid w:val="00AB28C6"/>
    <w:rsid w:val="00AB587A"/>
    <w:rsid w:val="00AC0768"/>
    <w:rsid w:val="00AC0C1E"/>
    <w:rsid w:val="00AC1E00"/>
    <w:rsid w:val="00AC3B31"/>
    <w:rsid w:val="00AC52C4"/>
    <w:rsid w:val="00AD32C7"/>
    <w:rsid w:val="00AE669F"/>
    <w:rsid w:val="00AF2488"/>
    <w:rsid w:val="00AF3AD7"/>
    <w:rsid w:val="00AF6B5A"/>
    <w:rsid w:val="00B05B6E"/>
    <w:rsid w:val="00B10281"/>
    <w:rsid w:val="00B111A6"/>
    <w:rsid w:val="00B1174D"/>
    <w:rsid w:val="00B119AD"/>
    <w:rsid w:val="00B12984"/>
    <w:rsid w:val="00B1334D"/>
    <w:rsid w:val="00B1497A"/>
    <w:rsid w:val="00B14DBC"/>
    <w:rsid w:val="00B15911"/>
    <w:rsid w:val="00B1647E"/>
    <w:rsid w:val="00B2049A"/>
    <w:rsid w:val="00B205CD"/>
    <w:rsid w:val="00B225C0"/>
    <w:rsid w:val="00B2431D"/>
    <w:rsid w:val="00B24983"/>
    <w:rsid w:val="00B30888"/>
    <w:rsid w:val="00B34403"/>
    <w:rsid w:val="00B34D84"/>
    <w:rsid w:val="00B3584A"/>
    <w:rsid w:val="00B37098"/>
    <w:rsid w:val="00B37FCB"/>
    <w:rsid w:val="00B42A02"/>
    <w:rsid w:val="00B5428A"/>
    <w:rsid w:val="00B543D7"/>
    <w:rsid w:val="00B71D49"/>
    <w:rsid w:val="00B76642"/>
    <w:rsid w:val="00B87698"/>
    <w:rsid w:val="00B93A62"/>
    <w:rsid w:val="00B94A16"/>
    <w:rsid w:val="00B962F9"/>
    <w:rsid w:val="00B976CC"/>
    <w:rsid w:val="00BA17AF"/>
    <w:rsid w:val="00BA2D57"/>
    <w:rsid w:val="00BA50D7"/>
    <w:rsid w:val="00BB0DED"/>
    <w:rsid w:val="00BB0EC0"/>
    <w:rsid w:val="00BB1DCC"/>
    <w:rsid w:val="00BB2958"/>
    <w:rsid w:val="00BB2DC9"/>
    <w:rsid w:val="00BB367A"/>
    <w:rsid w:val="00BB4884"/>
    <w:rsid w:val="00BC3A96"/>
    <w:rsid w:val="00BD1546"/>
    <w:rsid w:val="00BD41B2"/>
    <w:rsid w:val="00BD5017"/>
    <w:rsid w:val="00BD7B64"/>
    <w:rsid w:val="00BD7B9C"/>
    <w:rsid w:val="00BF1F11"/>
    <w:rsid w:val="00BF4F03"/>
    <w:rsid w:val="00BF5444"/>
    <w:rsid w:val="00C04D75"/>
    <w:rsid w:val="00C053E8"/>
    <w:rsid w:val="00C1602C"/>
    <w:rsid w:val="00C1743B"/>
    <w:rsid w:val="00C216D8"/>
    <w:rsid w:val="00C23965"/>
    <w:rsid w:val="00C24BC6"/>
    <w:rsid w:val="00C25EB5"/>
    <w:rsid w:val="00C27984"/>
    <w:rsid w:val="00C32D4F"/>
    <w:rsid w:val="00C408AF"/>
    <w:rsid w:val="00C4276F"/>
    <w:rsid w:val="00C4757A"/>
    <w:rsid w:val="00C5063D"/>
    <w:rsid w:val="00C55790"/>
    <w:rsid w:val="00C60821"/>
    <w:rsid w:val="00C6257C"/>
    <w:rsid w:val="00C62FD3"/>
    <w:rsid w:val="00C64508"/>
    <w:rsid w:val="00C6560E"/>
    <w:rsid w:val="00C65999"/>
    <w:rsid w:val="00C72616"/>
    <w:rsid w:val="00C72CE1"/>
    <w:rsid w:val="00C75FEC"/>
    <w:rsid w:val="00C81766"/>
    <w:rsid w:val="00C82A78"/>
    <w:rsid w:val="00C8358E"/>
    <w:rsid w:val="00C85D50"/>
    <w:rsid w:val="00C872CA"/>
    <w:rsid w:val="00C96C93"/>
    <w:rsid w:val="00CA034A"/>
    <w:rsid w:val="00CA1E0A"/>
    <w:rsid w:val="00CA2174"/>
    <w:rsid w:val="00CB28CD"/>
    <w:rsid w:val="00CC2E1D"/>
    <w:rsid w:val="00CC3661"/>
    <w:rsid w:val="00CC4574"/>
    <w:rsid w:val="00CC5F45"/>
    <w:rsid w:val="00CC7BB5"/>
    <w:rsid w:val="00CD2AD4"/>
    <w:rsid w:val="00CD4315"/>
    <w:rsid w:val="00CD5840"/>
    <w:rsid w:val="00CD723F"/>
    <w:rsid w:val="00CE0205"/>
    <w:rsid w:val="00CE127D"/>
    <w:rsid w:val="00CE5D7C"/>
    <w:rsid w:val="00CF1D58"/>
    <w:rsid w:val="00CF6679"/>
    <w:rsid w:val="00CF7829"/>
    <w:rsid w:val="00D04202"/>
    <w:rsid w:val="00D05097"/>
    <w:rsid w:val="00D0550A"/>
    <w:rsid w:val="00D05CBF"/>
    <w:rsid w:val="00D13995"/>
    <w:rsid w:val="00D14712"/>
    <w:rsid w:val="00D151B0"/>
    <w:rsid w:val="00D16FAA"/>
    <w:rsid w:val="00D17617"/>
    <w:rsid w:val="00D21B0C"/>
    <w:rsid w:val="00D21FB6"/>
    <w:rsid w:val="00D25C4C"/>
    <w:rsid w:val="00D31FD9"/>
    <w:rsid w:val="00D32459"/>
    <w:rsid w:val="00D34C0C"/>
    <w:rsid w:val="00D40E7B"/>
    <w:rsid w:val="00D415B2"/>
    <w:rsid w:val="00D46EE5"/>
    <w:rsid w:val="00D47325"/>
    <w:rsid w:val="00D50138"/>
    <w:rsid w:val="00D516D6"/>
    <w:rsid w:val="00D609D5"/>
    <w:rsid w:val="00D624E9"/>
    <w:rsid w:val="00D62A33"/>
    <w:rsid w:val="00D639FC"/>
    <w:rsid w:val="00D6507D"/>
    <w:rsid w:val="00D65618"/>
    <w:rsid w:val="00D71659"/>
    <w:rsid w:val="00D71F70"/>
    <w:rsid w:val="00D74179"/>
    <w:rsid w:val="00D74264"/>
    <w:rsid w:val="00D76529"/>
    <w:rsid w:val="00D81B7E"/>
    <w:rsid w:val="00D81CAB"/>
    <w:rsid w:val="00D831A7"/>
    <w:rsid w:val="00D8382F"/>
    <w:rsid w:val="00D8388A"/>
    <w:rsid w:val="00D8593F"/>
    <w:rsid w:val="00D90DE4"/>
    <w:rsid w:val="00D971B5"/>
    <w:rsid w:val="00DB3D66"/>
    <w:rsid w:val="00DB77E2"/>
    <w:rsid w:val="00DC5543"/>
    <w:rsid w:val="00DD1A6A"/>
    <w:rsid w:val="00DD1AF1"/>
    <w:rsid w:val="00DE1042"/>
    <w:rsid w:val="00DE3C60"/>
    <w:rsid w:val="00DE4EA2"/>
    <w:rsid w:val="00DE5B54"/>
    <w:rsid w:val="00DE75AD"/>
    <w:rsid w:val="00DF1C57"/>
    <w:rsid w:val="00DF7EED"/>
    <w:rsid w:val="00E03BD0"/>
    <w:rsid w:val="00E06402"/>
    <w:rsid w:val="00E137AC"/>
    <w:rsid w:val="00E163A5"/>
    <w:rsid w:val="00E20017"/>
    <w:rsid w:val="00E207A2"/>
    <w:rsid w:val="00E2209E"/>
    <w:rsid w:val="00E2737D"/>
    <w:rsid w:val="00E27660"/>
    <w:rsid w:val="00E31686"/>
    <w:rsid w:val="00E3758F"/>
    <w:rsid w:val="00E4227B"/>
    <w:rsid w:val="00E438EF"/>
    <w:rsid w:val="00E43EBA"/>
    <w:rsid w:val="00E5012D"/>
    <w:rsid w:val="00E53B30"/>
    <w:rsid w:val="00E546AB"/>
    <w:rsid w:val="00E55782"/>
    <w:rsid w:val="00E61C2F"/>
    <w:rsid w:val="00E664C6"/>
    <w:rsid w:val="00E73E38"/>
    <w:rsid w:val="00E74C35"/>
    <w:rsid w:val="00E84E89"/>
    <w:rsid w:val="00E9783D"/>
    <w:rsid w:val="00E97C14"/>
    <w:rsid w:val="00EA17E8"/>
    <w:rsid w:val="00EA4A8E"/>
    <w:rsid w:val="00EA74E8"/>
    <w:rsid w:val="00EB3C38"/>
    <w:rsid w:val="00EB4361"/>
    <w:rsid w:val="00EB7E98"/>
    <w:rsid w:val="00EC2269"/>
    <w:rsid w:val="00EC663E"/>
    <w:rsid w:val="00EC68F5"/>
    <w:rsid w:val="00EC6DD4"/>
    <w:rsid w:val="00ED15EF"/>
    <w:rsid w:val="00ED3FB8"/>
    <w:rsid w:val="00ED5294"/>
    <w:rsid w:val="00EE4CDF"/>
    <w:rsid w:val="00EE5DE9"/>
    <w:rsid w:val="00EF4A5C"/>
    <w:rsid w:val="00EF754B"/>
    <w:rsid w:val="00EF7DE9"/>
    <w:rsid w:val="00F04205"/>
    <w:rsid w:val="00F05BE0"/>
    <w:rsid w:val="00F07C85"/>
    <w:rsid w:val="00F11DDE"/>
    <w:rsid w:val="00F13C56"/>
    <w:rsid w:val="00F13E42"/>
    <w:rsid w:val="00F20491"/>
    <w:rsid w:val="00F2241A"/>
    <w:rsid w:val="00F24FE4"/>
    <w:rsid w:val="00F25E57"/>
    <w:rsid w:val="00F26EF7"/>
    <w:rsid w:val="00F42478"/>
    <w:rsid w:val="00F5194C"/>
    <w:rsid w:val="00F5220D"/>
    <w:rsid w:val="00F531AD"/>
    <w:rsid w:val="00F55F78"/>
    <w:rsid w:val="00F57B5B"/>
    <w:rsid w:val="00F62CA6"/>
    <w:rsid w:val="00F65A1F"/>
    <w:rsid w:val="00F67C8E"/>
    <w:rsid w:val="00F7197F"/>
    <w:rsid w:val="00F71E72"/>
    <w:rsid w:val="00F7415A"/>
    <w:rsid w:val="00F76199"/>
    <w:rsid w:val="00F76595"/>
    <w:rsid w:val="00F7767D"/>
    <w:rsid w:val="00F85043"/>
    <w:rsid w:val="00F87C3B"/>
    <w:rsid w:val="00F90036"/>
    <w:rsid w:val="00F92155"/>
    <w:rsid w:val="00F93F18"/>
    <w:rsid w:val="00F9573C"/>
    <w:rsid w:val="00F97FEA"/>
    <w:rsid w:val="00FA4986"/>
    <w:rsid w:val="00FB16CD"/>
    <w:rsid w:val="00FB38DF"/>
    <w:rsid w:val="00FB3F2A"/>
    <w:rsid w:val="00FB6CD4"/>
    <w:rsid w:val="00FB6EFF"/>
    <w:rsid w:val="00FC093D"/>
    <w:rsid w:val="00FC477E"/>
    <w:rsid w:val="00FC5EF3"/>
    <w:rsid w:val="00FC63FE"/>
    <w:rsid w:val="00FC729B"/>
    <w:rsid w:val="00FC78DF"/>
    <w:rsid w:val="00FD5B82"/>
    <w:rsid w:val="00FE05E9"/>
    <w:rsid w:val="00FE22B0"/>
    <w:rsid w:val="00FE326B"/>
    <w:rsid w:val="00FE5F06"/>
    <w:rsid w:val="00FE7AE7"/>
    <w:rsid w:val="00FF5615"/>
    <w:rsid w:val="00FF5ED4"/>
    <w:rsid w:val="00FF7971"/>
    <w:rsid w:val="00FF7BA4"/>
    <w:rsid w:val="010F56A5"/>
    <w:rsid w:val="01C8DC53"/>
    <w:rsid w:val="01D19327"/>
    <w:rsid w:val="03310A46"/>
    <w:rsid w:val="03B6F803"/>
    <w:rsid w:val="04051DBB"/>
    <w:rsid w:val="0446F767"/>
    <w:rsid w:val="04C712C8"/>
    <w:rsid w:val="05BE8BB2"/>
    <w:rsid w:val="071ACDF8"/>
    <w:rsid w:val="0754FF3E"/>
    <w:rsid w:val="07CA91BA"/>
    <w:rsid w:val="07CBA326"/>
    <w:rsid w:val="07D3DAF8"/>
    <w:rsid w:val="08C41ED6"/>
    <w:rsid w:val="08D14C8A"/>
    <w:rsid w:val="09B9FAE9"/>
    <w:rsid w:val="09CA637E"/>
    <w:rsid w:val="09FC2728"/>
    <w:rsid w:val="0A2B3690"/>
    <w:rsid w:val="0AD4AA3B"/>
    <w:rsid w:val="0B3ADBE4"/>
    <w:rsid w:val="0B415489"/>
    <w:rsid w:val="0B41F7C9"/>
    <w:rsid w:val="0C1FB98D"/>
    <w:rsid w:val="0D193364"/>
    <w:rsid w:val="0DFB2408"/>
    <w:rsid w:val="0EA41ADC"/>
    <w:rsid w:val="0EBE6D33"/>
    <w:rsid w:val="0FA9B738"/>
    <w:rsid w:val="0FDEA2F9"/>
    <w:rsid w:val="10EAD54C"/>
    <w:rsid w:val="11D149C2"/>
    <w:rsid w:val="11D41B09"/>
    <w:rsid w:val="121C0944"/>
    <w:rsid w:val="138B74D8"/>
    <w:rsid w:val="145EB2D3"/>
    <w:rsid w:val="14696E62"/>
    <w:rsid w:val="14838401"/>
    <w:rsid w:val="16866FDD"/>
    <w:rsid w:val="16D2E3FF"/>
    <w:rsid w:val="185EE5FB"/>
    <w:rsid w:val="19F96833"/>
    <w:rsid w:val="1B55F283"/>
    <w:rsid w:val="1B74A78C"/>
    <w:rsid w:val="1B831544"/>
    <w:rsid w:val="1D7108EC"/>
    <w:rsid w:val="1D843B45"/>
    <w:rsid w:val="1DE7AAEB"/>
    <w:rsid w:val="1E561D7E"/>
    <w:rsid w:val="1F07BC45"/>
    <w:rsid w:val="20CF79C4"/>
    <w:rsid w:val="219E28D3"/>
    <w:rsid w:val="21F4BF40"/>
    <w:rsid w:val="22F46ACD"/>
    <w:rsid w:val="23DE97AD"/>
    <w:rsid w:val="24793348"/>
    <w:rsid w:val="269DB943"/>
    <w:rsid w:val="26BB7D80"/>
    <w:rsid w:val="26C83063"/>
    <w:rsid w:val="29113931"/>
    <w:rsid w:val="29A3968F"/>
    <w:rsid w:val="29C4797A"/>
    <w:rsid w:val="29ECF0E0"/>
    <w:rsid w:val="2D1185B5"/>
    <w:rsid w:val="2D38F969"/>
    <w:rsid w:val="2D5CA5C1"/>
    <w:rsid w:val="2DB6D823"/>
    <w:rsid w:val="2ED940D5"/>
    <w:rsid w:val="2F1B24A7"/>
    <w:rsid w:val="2F3A43E1"/>
    <w:rsid w:val="2FA6DDBC"/>
    <w:rsid w:val="3073B995"/>
    <w:rsid w:val="32D30C61"/>
    <w:rsid w:val="32DBC8D2"/>
    <w:rsid w:val="350D2805"/>
    <w:rsid w:val="350F9CF6"/>
    <w:rsid w:val="354D28F3"/>
    <w:rsid w:val="3552C284"/>
    <w:rsid w:val="3981FA35"/>
    <w:rsid w:val="3A75C0C5"/>
    <w:rsid w:val="3AF20138"/>
    <w:rsid w:val="3C4DC2E6"/>
    <w:rsid w:val="3C7B89B6"/>
    <w:rsid w:val="3D254295"/>
    <w:rsid w:val="3D39F262"/>
    <w:rsid w:val="3DBEFEFE"/>
    <w:rsid w:val="3E2010EB"/>
    <w:rsid w:val="3E72134F"/>
    <w:rsid w:val="3E9FAD5A"/>
    <w:rsid w:val="3EF9A4CA"/>
    <w:rsid w:val="408E3BC2"/>
    <w:rsid w:val="40ACA44F"/>
    <w:rsid w:val="42BD046A"/>
    <w:rsid w:val="430C0ACB"/>
    <w:rsid w:val="43E44511"/>
    <w:rsid w:val="440F2350"/>
    <w:rsid w:val="446C629F"/>
    <w:rsid w:val="448C2514"/>
    <w:rsid w:val="451E46F8"/>
    <w:rsid w:val="460F92F6"/>
    <w:rsid w:val="47742262"/>
    <w:rsid w:val="48419E76"/>
    <w:rsid w:val="4BDA7BC7"/>
    <w:rsid w:val="4D3DBC5B"/>
    <w:rsid w:val="4DA6DD61"/>
    <w:rsid w:val="4E15BC8E"/>
    <w:rsid w:val="4E2EDED2"/>
    <w:rsid w:val="4E48940C"/>
    <w:rsid w:val="4FC62714"/>
    <w:rsid w:val="50743A8E"/>
    <w:rsid w:val="50CAB59F"/>
    <w:rsid w:val="50DE0BB3"/>
    <w:rsid w:val="50E9AD2A"/>
    <w:rsid w:val="5161F775"/>
    <w:rsid w:val="5186338B"/>
    <w:rsid w:val="522F0987"/>
    <w:rsid w:val="52FE21E5"/>
    <w:rsid w:val="543C5BDF"/>
    <w:rsid w:val="55E24507"/>
    <w:rsid w:val="56C06FF5"/>
    <w:rsid w:val="56E4202D"/>
    <w:rsid w:val="57A82794"/>
    <w:rsid w:val="58B2B51F"/>
    <w:rsid w:val="58E95902"/>
    <w:rsid w:val="58F0B7D5"/>
    <w:rsid w:val="59D3FE9B"/>
    <w:rsid w:val="59FF66B8"/>
    <w:rsid w:val="5C082F85"/>
    <w:rsid w:val="5C483050"/>
    <w:rsid w:val="5C84DB4D"/>
    <w:rsid w:val="5CA76CA3"/>
    <w:rsid w:val="600844F7"/>
    <w:rsid w:val="62166FCF"/>
    <w:rsid w:val="626EC5E9"/>
    <w:rsid w:val="628899BC"/>
    <w:rsid w:val="63F99AEA"/>
    <w:rsid w:val="6429860F"/>
    <w:rsid w:val="6444B891"/>
    <w:rsid w:val="659AF48E"/>
    <w:rsid w:val="690BCE09"/>
    <w:rsid w:val="6A231C31"/>
    <w:rsid w:val="6B958D50"/>
    <w:rsid w:val="6C018AF2"/>
    <w:rsid w:val="6C1582FF"/>
    <w:rsid w:val="6CE6B55A"/>
    <w:rsid w:val="6D5518CA"/>
    <w:rsid w:val="6E04140B"/>
    <w:rsid w:val="6E5E8BCD"/>
    <w:rsid w:val="6EE7FFF1"/>
    <w:rsid w:val="6F9A8EDD"/>
    <w:rsid w:val="70056FE7"/>
    <w:rsid w:val="7035C768"/>
    <w:rsid w:val="704527A6"/>
    <w:rsid w:val="7177F192"/>
    <w:rsid w:val="719EB09B"/>
    <w:rsid w:val="7318D493"/>
    <w:rsid w:val="73582E4B"/>
    <w:rsid w:val="7362AE20"/>
    <w:rsid w:val="73A32A26"/>
    <w:rsid w:val="74F84643"/>
    <w:rsid w:val="75556827"/>
    <w:rsid w:val="765433FB"/>
    <w:rsid w:val="77CC7B87"/>
    <w:rsid w:val="789DF921"/>
    <w:rsid w:val="79AA7F38"/>
    <w:rsid w:val="7A94BD93"/>
    <w:rsid w:val="7B8367E4"/>
    <w:rsid w:val="7BB60E42"/>
    <w:rsid w:val="7C021068"/>
    <w:rsid w:val="7D360168"/>
    <w:rsid w:val="7D3E07E1"/>
    <w:rsid w:val="7D4EA603"/>
    <w:rsid w:val="7DB33F1B"/>
    <w:rsid w:val="7E852833"/>
    <w:rsid w:val="7E913B90"/>
    <w:rsid w:val="7E95B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B68A29"/>
  <w15:chartTrackingRefBased/>
  <w15:docId w15:val="{AEEBD65C-6659-4F5F-8CCF-2BF25F95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60F"/>
    <w:rPr>
      <w:color w:val="0563C1" w:themeColor="hyperlink"/>
      <w:u w:val="single"/>
    </w:rPr>
  </w:style>
  <w:style w:type="character" w:styleId="UnresolvedMention">
    <w:name w:val="Unresolved Mention"/>
    <w:basedOn w:val="DefaultParagraphFont"/>
    <w:uiPriority w:val="99"/>
    <w:semiHidden/>
    <w:unhideWhenUsed/>
    <w:rsid w:val="0056260F"/>
    <w:rPr>
      <w:color w:val="605E5C"/>
      <w:shd w:val="clear" w:color="auto" w:fill="E1DFDD"/>
    </w:rPr>
  </w:style>
  <w:style w:type="table" w:styleId="TableGrid">
    <w:name w:val="Table Grid"/>
    <w:basedOn w:val="TableNormal"/>
    <w:uiPriority w:val="39"/>
    <w:rsid w:val="00562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3BB"/>
    <w:pPr>
      <w:ind w:left="720"/>
      <w:contextualSpacing/>
    </w:pPr>
  </w:style>
  <w:style w:type="paragraph" w:styleId="Header">
    <w:name w:val="header"/>
    <w:basedOn w:val="Normal"/>
    <w:link w:val="HeaderChar"/>
    <w:uiPriority w:val="99"/>
    <w:unhideWhenUsed/>
    <w:rsid w:val="0008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75"/>
  </w:style>
  <w:style w:type="paragraph" w:styleId="Footer">
    <w:name w:val="footer"/>
    <w:basedOn w:val="Normal"/>
    <w:link w:val="FooterChar"/>
    <w:uiPriority w:val="99"/>
    <w:unhideWhenUsed/>
    <w:rsid w:val="0008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75"/>
  </w:style>
  <w:style w:type="character" w:customStyle="1" w:styleId="normaltextrun">
    <w:name w:val="normaltextrun"/>
    <w:basedOn w:val="DefaultParagraphFont"/>
    <w:rsid w:val="006548AE"/>
  </w:style>
  <w:style w:type="character" w:styleId="CommentReference">
    <w:name w:val="annotation reference"/>
    <w:basedOn w:val="DefaultParagraphFont"/>
    <w:uiPriority w:val="99"/>
    <w:semiHidden/>
    <w:unhideWhenUsed/>
    <w:rsid w:val="00170456"/>
    <w:rPr>
      <w:sz w:val="16"/>
      <w:szCs w:val="16"/>
    </w:rPr>
  </w:style>
  <w:style w:type="paragraph" w:styleId="CommentText">
    <w:name w:val="annotation text"/>
    <w:basedOn w:val="Normal"/>
    <w:link w:val="CommentTextChar"/>
    <w:uiPriority w:val="99"/>
    <w:semiHidden/>
    <w:unhideWhenUsed/>
    <w:rsid w:val="00170456"/>
    <w:pPr>
      <w:spacing w:line="240" w:lineRule="auto"/>
    </w:pPr>
    <w:rPr>
      <w:sz w:val="20"/>
      <w:szCs w:val="20"/>
    </w:rPr>
  </w:style>
  <w:style w:type="character" w:customStyle="1" w:styleId="CommentTextChar">
    <w:name w:val="Comment Text Char"/>
    <w:basedOn w:val="DefaultParagraphFont"/>
    <w:link w:val="CommentText"/>
    <w:uiPriority w:val="99"/>
    <w:semiHidden/>
    <w:rsid w:val="00170456"/>
    <w:rPr>
      <w:sz w:val="20"/>
      <w:szCs w:val="20"/>
    </w:rPr>
  </w:style>
  <w:style w:type="paragraph" w:styleId="CommentSubject">
    <w:name w:val="annotation subject"/>
    <w:basedOn w:val="CommentText"/>
    <w:next w:val="CommentText"/>
    <w:link w:val="CommentSubjectChar"/>
    <w:uiPriority w:val="99"/>
    <w:semiHidden/>
    <w:unhideWhenUsed/>
    <w:rsid w:val="00170456"/>
    <w:rPr>
      <w:b/>
      <w:bCs/>
    </w:rPr>
  </w:style>
  <w:style w:type="character" w:customStyle="1" w:styleId="CommentSubjectChar">
    <w:name w:val="Comment Subject Char"/>
    <w:basedOn w:val="CommentTextChar"/>
    <w:link w:val="CommentSubject"/>
    <w:uiPriority w:val="99"/>
    <w:semiHidden/>
    <w:rsid w:val="00170456"/>
    <w:rPr>
      <w:b/>
      <w:bCs/>
      <w:sz w:val="20"/>
      <w:szCs w:val="20"/>
    </w:rPr>
  </w:style>
  <w:style w:type="paragraph" w:customStyle="1" w:styleId="paragraph">
    <w:name w:val="paragraph"/>
    <w:basedOn w:val="Normal"/>
    <w:rsid w:val="006955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95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mailto:JLandau@courts.az.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zcourts.gov/committeescommissions/Committees-Commissions-Councils-Boards/Fentanyl-and-Toxic-Evidence-Task-For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JLandau@courts.az.gov" TargetMode="Externa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1F7546B6BA3459F9DB5512DE035C9" ma:contentTypeVersion="16" ma:contentTypeDescription="Create a new document." ma:contentTypeScope="" ma:versionID="100b9bee5891a1870a92c36873055f53">
  <xsd:schema xmlns:xsd="http://www.w3.org/2001/XMLSchema" xmlns:xs="http://www.w3.org/2001/XMLSchema" xmlns:p="http://schemas.microsoft.com/office/2006/metadata/properties" xmlns:ns2="cb3c74e3-29e0-4a2d-a4d4-3273a53ade1e" xmlns:ns3="54f14663-6246-4d53-8093-31168e16d125" xmlns:ns4="d017dfa5-038e-4918-abe4-ba559629eca7" targetNamespace="http://schemas.microsoft.com/office/2006/metadata/properties" ma:root="true" ma:fieldsID="38f50a98b40ab41f76a3f828b8307702" ns2:_="" ns3:_="" ns4:_="">
    <xsd:import namespace="cb3c74e3-29e0-4a2d-a4d4-3273a53ade1e"/>
    <xsd:import namespace="54f14663-6246-4d53-8093-31168e16d125"/>
    <xsd:import namespace="d017dfa5-038e-4918-abe4-ba559629e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TaxCatchAll"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c74e3-29e0-4a2d-a4d4-3273a53ade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14663-6246-4d53-8093-31168e16d1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4be24-0fd5-49ff-b68d-8acf591a4da2}" ma:internalName="TaxCatchAll" ma:showField="CatchAllData" ma:web="cb3c74e3-29e0-4a2d-a4d4-3273a53ad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54f14663-6246-4d53-8093-31168e16d125">
      <Terms xmlns="http://schemas.microsoft.com/office/infopath/2007/PartnerControls"/>
    </lcf76f155ced4ddcb4097134ff3c332f>
    <SharedWithUsers xmlns="cb3c74e3-29e0-4a2d-a4d4-3273a53ade1e">
      <UserInfo>
        <DisplayName>McQueen, Amanda</DisplayName>
        <AccountId>106</AccountId>
        <AccountType/>
      </UserInfo>
    </SharedWithUsers>
  </documentManagement>
</p:properties>
</file>

<file path=customXml/itemProps1.xml><?xml version="1.0" encoding="utf-8"?>
<ds:datastoreItem xmlns:ds="http://schemas.openxmlformats.org/officeDocument/2006/customXml" ds:itemID="{C80E1AE9-E743-4BBD-B931-4CE063DF2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c74e3-29e0-4a2d-a4d4-3273a53ade1e"/>
    <ds:schemaRef ds:uri="54f14663-6246-4d53-8093-31168e16d125"/>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EFED6-9CA7-4557-B7E8-B0F926476E18}">
  <ds:schemaRefs>
    <ds:schemaRef ds:uri="http://schemas.microsoft.com/sharepoint/v3/contenttype/forms"/>
  </ds:schemaRefs>
</ds:datastoreItem>
</file>

<file path=customXml/itemProps3.xml><?xml version="1.0" encoding="utf-8"?>
<ds:datastoreItem xmlns:ds="http://schemas.openxmlformats.org/officeDocument/2006/customXml" ds:itemID="{080D1DAA-2616-4AAA-962B-BF8FE6E294D8}">
  <ds:schemaRefs>
    <ds:schemaRef ds:uri="http://schemas.microsoft.com/office/2006/documentManagement/types"/>
    <ds:schemaRef ds:uri="http://schemas.microsoft.com/office/infopath/2007/PartnerControls"/>
    <ds:schemaRef ds:uri="cb3c74e3-29e0-4a2d-a4d4-3273a53ade1e"/>
    <ds:schemaRef ds:uri="http://purl.org/dc/dcmitype/"/>
    <ds:schemaRef ds:uri="http://schemas.openxmlformats.org/package/2006/metadata/core-properties"/>
    <ds:schemaRef ds:uri="http://www.w3.org/XML/1998/namespace"/>
    <ds:schemaRef ds:uri="http://schemas.microsoft.com/office/2006/metadata/properties"/>
    <ds:schemaRef ds:uri="http://purl.org/dc/terms/"/>
    <ds:schemaRef ds:uri="d017dfa5-038e-4918-abe4-ba559629eca7"/>
    <ds:schemaRef ds:uri="54f14663-6246-4d53-8093-31168e16d12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2097</Words>
  <Characters>11327</Characters>
  <Application>Microsoft Office Word</Application>
  <DocSecurity>0</DocSecurity>
  <Lines>231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Links>
    <vt:vector size="18" baseType="variant">
      <vt:variant>
        <vt:i4>6225959</vt:i4>
      </vt:variant>
      <vt:variant>
        <vt:i4>6</vt:i4>
      </vt:variant>
      <vt:variant>
        <vt:i4>0</vt:i4>
      </vt:variant>
      <vt:variant>
        <vt:i4>5</vt:i4>
      </vt:variant>
      <vt:variant>
        <vt:lpwstr>mailto:JLandau@courts.az.gov</vt:lpwstr>
      </vt:variant>
      <vt:variant>
        <vt:lpwstr/>
      </vt:variant>
      <vt:variant>
        <vt:i4>4522060</vt:i4>
      </vt:variant>
      <vt:variant>
        <vt:i4>3</vt:i4>
      </vt:variant>
      <vt:variant>
        <vt:i4>0</vt:i4>
      </vt:variant>
      <vt:variant>
        <vt:i4>5</vt:i4>
      </vt:variant>
      <vt:variant>
        <vt:lpwstr>https://www.azcourts.gov/committeescommissions/Committees-Commissions-Councils-Boards/Fentanyl-and-Toxic-Evidence-Task-Force</vt:lpwstr>
      </vt:variant>
      <vt:variant>
        <vt:lpwstr/>
      </vt:variant>
      <vt:variant>
        <vt:i4>6225959</vt:i4>
      </vt:variant>
      <vt:variant>
        <vt:i4>0</vt:i4>
      </vt:variant>
      <vt:variant>
        <vt:i4>0</vt:i4>
      </vt:variant>
      <vt:variant>
        <vt:i4>5</vt:i4>
      </vt:variant>
      <vt:variant>
        <vt:lpwstr>mailto:JLandau@courts.az.gov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Lisa</dc:creator>
  <cp:keywords/>
  <dc:description/>
  <cp:lastModifiedBy>McQueen, Amanda</cp:lastModifiedBy>
  <cp:revision>2</cp:revision>
  <dcterms:created xsi:type="dcterms:W3CDTF">2023-01-10T15:05:00Z</dcterms:created>
  <dcterms:modified xsi:type="dcterms:W3CDTF">2023-01-10T15:05:00Z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0x0101007671F7546B6BA3459F9DB5512DE035C9</vt:lpwstr>
  </property>
  <property fmtid="{D5CDD505-2E9C-101B-9397-08002B2CF9AE}" pid="3" name="Order">
    <vt:r8>2427500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Status">
    <vt:lpwstr>Open</vt:lpwstr>
  </property>
  <property fmtid="{D5CDD505-2E9C-101B-9397-08002B2CF9AE}" pid="8" name="ComplianceAssetId">
    <vt:lpwstr/>
  </property>
  <property fmtid="{D5CDD505-2E9C-101B-9397-08002B2CF9AE}" pid="9" name="TemplateUrl">
    <vt:lpwstr/>
  </property>
  <property fmtid="{D5CDD505-2E9C-101B-9397-08002B2CF9AE}" pid="10" name="Case Status">
    <vt:lpwstr>Open</vt:lpwstr>
  </property>
  <property fmtid="{D5CDD505-2E9C-101B-9397-08002B2CF9AE}" pid="11" name="_ExtendedDescription">
    <vt:lpwstr/>
  </property>
  <property fmtid="{D5CDD505-2E9C-101B-9397-08002B2CF9AE}" pid="12" name="MediaServiceImageTags">
    <vt:lpwstr/>
  </property>
</Properties>
</file>