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2A71E" w14:textId="696FD30F" w:rsidR="00595714" w:rsidRPr="00595714" w:rsidRDefault="00595714" w:rsidP="00595714">
      <w:pPr>
        <w:jc w:val="center"/>
        <w:rPr>
          <w:rFonts w:ascii="Times New Roman" w:eastAsia="Times New Roman" w:hAnsi="Times New Roman" w:cs="Times New Roman"/>
          <w:b/>
          <w:bCs/>
          <w:sz w:val="28"/>
          <w:szCs w:val="28"/>
        </w:rPr>
      </w:pPr>
      <w:r w:rsidRPr="00595714">
        <w:rPr>
          <w:rFonts w:ascii="Times New Roman" w:eastAsia="Times New Roman" w:hAnsi="Times New Roman" w:cs="Times New Roman"/>
          <w:b/>
          <w:bCs/>
          <w:sz w:val="28"/>
          <w:szCs w:val="28"/>
        </w:rPr>
        <w:t>APPENDIX B</w:t>
      </w:r>
    </w:p>
    <w:p w14:paraId="0200DD4A" w14:textId="77777777" w:rsidR="00595714" w:rsidRPr="00595714" w:rsidRDefault="00595714" w:rsidP="00696EDD">
      <w:pPr>
        <w:rPr>
          <w:rFonts w:ascii="Times New Roman" w:eastAsia="Times New Roman" w:hAnsi="Times New Roman" w:cs="Times New Roman"/>
          <w:b/>
          <w:bCs/>
          <w:sz w:val="28"/>
          <w:szCs w:val="28"/>
        </w:rPr>
      </w:pPr>
    </w:p>
    <w:p w14:paraId="34745032" w14:textId="16B96209" w:rsidR="00696EDD" w:rsidRPr="00595714" w:rsidRDefault="00696EDD" w:rsidP="00696EDD">
      <w:pPr>
        <w:rPr>
          <w:rFonts w:ascii="Times New Roman" w:eastAsia="Times New Roman" w:hAnsi="Times New Roman" w:cs="Times New Roman"/>
          <w:sz w:val="28"/>
          <w:szCs w:val="28"/>
        </w:rPr>
      </w:pPr>
      <w:r w:rsidRPr="00595714">
        <w:rPr>
          <w:rFonts w:ascii="Times New Roman" w:eastAsia="Times New Roman" w:hAnsi="Times New Roman" w:cs="Times New Roman"/>
          <w:b/>
          <w:bCs/>
          <w:sz w:val="28"/>
          <w:szCs w:val="28"/>
        </w:rPr>
        <w:t>(c) Procedures.</w:t>
      </w:r>
    </w:p>
    <w:p w14:paraId="6D356DB2" w14:textId="77777777" w:rsidR="00696EDD" w:rsidRPr="00595714" w:rsidRDefault="00696EDD" w:rsidP="00696EDD">
      <w:pPr>
        <w:rPr>
          <w:rFonts w:ascii="Times New Roman" w:eastAsia="Times New Roman" w:hAnsi="Times New Roman" w:cs="Times New Roman"/>
          <w:sz w:val="28"/>
          <w:szCs w:val="28"/>
        </w:rPr>
      </w:pPr>
    </w:p>
    <w:p w14:paraId="35BE3635" w14:textId="77777777" w:rsidR="00696EDD" w:rsidRPr="00595714" w:rsidRDefault="00696EDD" w:rsidP="00595714">
      <w:pPr>
        <w:ind w:left="36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(1) </w:t>
      </w:r>
      <w:r w:rsidRPr="00595714">
        <w:rPr>
          <w:rFonts w:ascii="Times New Roman" w:eastAsia="Times New Roman" w:hAnsi="Times New Roman" w:cs="Times New Roman"/>
          <w:i/>
          <w:iCs/>
          <w:sz w:val="28"/>
          <w:szCs w:val="28"/>
        </w:rPr>
        <w:t>Hearings</w:t>
      </w:r>
      <w:r w:rsidRPr="00595714">
        <w:rPr>
          <w:rFonts w:ascii="Times New Roman" w:eastAsia="Times New Roman" w:hAnsi="Times New Roman" w:cs="Times New Roman"/>
          <w:sz w:val="28"/>
          <w:szCs w:val="28"/>
        </w:rPr>
        <w:t>. On timely request by any party, the court must set oral argument, unless it determines that the motion should be denied or the motion is uncontested. The court may set oral argument even if not requested.</w:t>
      </w:r>
    </w:p>
    <w:p w14:paraId="5D32627F" w14:textId="77777777" w:rsidR="00696EDD" w:rsidRPr="00595714" w:rsidRDefault="00696EDD" w:rsidP="00595714">
      <w:pPr>
        <w:ind w:left="360"/>
        <w:jc w:val="both"/>
        <w:rPr>
          <w:rFonts w:ascii="Times New Roman" w:eastAsia="Times New Roman" w:hAnsi="Times New Roman" w:cs="Times New Roman"/>
          <w:sz w:val="28"/>
          <w:szCs w:val="28"/>
        </w:rPr>
      </w:pPr>
    </w:p>
    <w:p w14:paraId="70F99AC5" w14:textId="77777777" w:rsidR="00696EDD" w:rsidRPr="00595714" w:rsidRDefault="00696EDD" w:rsidP="00595714">
      <w:pPr>
        <w:ind w:left="36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(2) </w:t>
      </w:r>
      <w:r w:rsidRPr="00595714">
        <w:rPr>
          <w:rFonts w:ascii="Times New Roman" w:eastAsia="Times New Roman" w:hAnsi="Times New Roman" w:cs="Times New Roman"/>
          <w:i/>
          <w:iCs/>
          <w:sz w:val="28"/>
          <w:szCs w:val="28"/>
        </w:rPr>
        <w:t>Opposition and Reply</w:t>
      </w:r>
      <w:r w:rsidRPr="00595714">
        <w:rPr>
          <w:rFonts w:ascii="Times New Roman" w:eastAsia="Times New Roman" w:hAnsi="Times New Roman" w:cs="Times New Roman"/>
          <w:sz w:val="28"/>
          <w:szCs w:val="28"/>
        </w:rPr>
        <w:t>. An opposing party must file its response and any supporting materials within 30 days after the motion is served. The moving party must serve any reply memorandum and supporting materials within 15 days after the response is served.</w:t>
      </w:r>
    </w:p>
    <w:p w14:paraId="32B36257" w14:textId="77777777" w:rsidR="00696EDD" w:rsidRPr="00595714" w:rsidRDefault="00696EDD" w:rsidP="00595714">
      <w:pPr>
        <w:ind w:left="360"/>
        <w:jc w:val="both"/>
        <w:rPr>
          <w:rFonts w:ascii="Times New Roman" w:eastAsia="Times New Roman" w:hAnsi="Times New Roman" w:cs="Times New Roman"/>
          <w:sz w:val="28"/>
          <w:szCs w:val="28"/>
        </w:rPr>
      </w:pPr>
    </w:p>
    <w:p w14:paraId="26D0774D" w14:textId="77777777" w:rsidR="00696EDD" w:rsidRPr="00595714" w:rsidRDefault="00696EDD" w:rsidP="00595714">
      <w:pPr>
        <w:ind w:left="36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(3) </w:t>
      </w:r>
      <w:r w:rsidRPr="00595714">
        <w:rPr>
          <w:rFonts w:ascii="Times New Roman" w:eastAsia="Times New Roman" w:hAnsi="Times New Roman" w:cs="Times New Roman"/>
          <w:i/>
          <w:iCs/>
          <w:sz w:val="28"/>
          <w:szCs w:val="28"/>
        </w:rPr>
        <w:t>Supporting and Opposing Statements of Fact</w:t>
      </w:r>
      <w:r w:rsidRPr="00595714">
        <w:rPr>
          <w:rFonts w:ascii="Times New Roman" w:eastAsia="Times New Roman" w:hAnsi="Times New Roman" w:cs="Times New Roman"/>
          <w:sz w:val="28"/>
          <w:szCs w:val="28"/>
        </w:rPr>
        <w:t>.</w:t>
      </w:r>
    </w:p>
    <w:p w14:paraId="267D9AB1" w14:textId="77777777" w:rsidR="00696EDD" w:rsidRPr="00595714" w:rsidRDefault="00696EDD" w:rsidP="00595714">
      <w:pPr>
        <w:ind w:left="360"/>
        <w:jc w:val="both"/>
        <w:rPr>
          <w:rFonts w:ascii="Times New Roman" w:eastAsia="Times New Roman" w:hAnsi="Times New Roman" w:cs="Times New Roman"/>
          <w:sz w:val="28"/>
          <w:szCs w:val="28"/>
        </w:rPr>
      </w:pPr>
    </w:p>
    <w:p w14:paraId="3BA44A59" w14:textId="77777777" w:rsidR="00696EDD" w:rsidRPr="00595714" w:rsidRDefault="00696EDD" w:rsidP="00595714">
      <w:pPr>
        <w:ind w:left="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(A) Moving Party's Statement. The moving party must set forth, in a statement separate from the supporting memorandum, the specific material facts relied on in support of the motion.  The separate statement must:</w:t>
      </w:r>
    </w:p>
    <w:p w14:paraId="28C50E34" w14:textId="77777777" w:rsidR="00696EDD" w:rsidRPr="00595714" w:rsidRDefault="00696EDD" w:rsidP="00595714">
      <w:pPr>
        <w:ind w:left="720"/>
        <w:jc w:val="both"/>
        <w:rPr>
          <w:rFonts w:ascii="Times New Roman" w:eastAsia="Times New Roman" w:hAnsi="Times New Roman" w:cs="Times New Roman"/>
          <w:sz w:val="28"/>
          <w:szCs w:val="28"/>
        </w:rPr>
      </w:pPr>
    </w:p>
    <w:p w14:paraId="2ABE9A83" w14:textId="77777777" w:rsidR="00696EDD" w:rsidRPr="00595714" w:rsidRDefault="00696EDD" w:rsidP="00595714">
      <w:pPr>
        <w:ind w:left="720" w:firstLine="720"/>
        <w:jc w:val="both"/>
        <w:rPr>
          <w:rFonts w:ascii="Times New Roman" w:eastAsia="Times New Roman" w:hAnsi="Times New Roman" w:cs="Times New Roman"/>
          <w:strike/>
          <w:sz w:val="28"/>
          <w:szCs w:val="28"/>
        </w:rPr>
      </w:pPr>
      <w:r w:rsidRPr="00595714">
        <w:rPr>
          <w:rFonts w:ascii="Times New Roman" w:eastAsia="Times New Roman" w:hAnsi="Times New Roman" w:cs="Times New Roman"/>
          <w:sz w:val="28"/>
          <w:szCs w:val="28"/>
        </w:rPr>
        <w:t>(i) state each fact concisely in separately numbered paragraphs;</w:t>
      </w:r>
    </w:p>
    <w:p w14:paraId="6D3A6137" w14:textId="77777777" w:rsidR="00696EDD" w:rsidRPr="00595714" w:rsidRDefault="00696EDD" w:rsidP="00595714">
      <w:pPr>
        <w:ind w:left="720" w:firstLine="720"/>
        <w:jc w:val="both"/>
        <w:rPr>
          <w:rFonts w:ascii="Times New Roman" w:eastAsia="Times New Roman" w:hAnsi="Times New Roman" w:cs="Times New Roman"/>
          <w:sz w:val="28"/>
          <w:szCs w:val="28"/>
        </w:rPr>
      </w:pPr>
    </w:p>
    <w:p w14:paraId="73B05BB6" w14:textId="73ED7026" w:rsidR="00696EDD" w:rsidRPr="00595714" w:rsidRDefault="00696EDD" w:rsidP="00595714">
      <w:pPr>
        <w:ind w:left="720" w:firstLine="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 xml:space="preserve">(ii) cite only the specific, admissible parts of the record where support for each </w:t>
      </w:r>
      <w:bookmarkStart w:id="0" w:name="_GoBack"/>
      <w:bookmarkEnd w:id="0"/>
      <w:r w:rsidRPr="00595714">
        <w:rPr>
          <w:rFonts w:ascii="Times New Roman" w:eastAsia="Times New Roman" w:hAnsi="Times New Roman" w:cs="Times New Roman"/>
          <w:sz w:val="28"/>
          <w:szCs w:val="28"/>
        </w:rPr>
        <w:t xml:space="preserve">fact may be found; </w:t>
      </w:r>
    </w:p>
    <w:p w14:paraId="4FBB4223" w14:textId="77777777" w:rsidR="00696EDD" w:rsidRPr="00595714" w:rsidRDefault="00696EDD" w:rsidP="00595714">
      <w:pPr>
        <w:ind w:left="720" w:firstLine="720"/>
        <w:jc w:val="both"/>
        <w:rPr>
          <w:rFonts w:ascii="Times New Roman" w:eastAsia="Times New Roman" w:hAnsi="Times New Roman" w:cs="Times New Roman"/>
          <w:sz w:val="28"/>
          <w:szCs w:val="28"/>
        </w:rPr>
      </w:pPr>
    </w:p>
    <w:p w14:paraId="5DE51DA4" w14:textId="1466F11C" w:rsidR="00696EDD" w:rsidRPr="00595714" w:rsidRDefault="00696EDD" w:rsidP="00595714">
      <w:pPr>
        <w:ind w:left="720" w:firstLine="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 xml:space="preserve">(iii) state only facts that are cited in the moving party’s </w:t>
      </w:r>
      <w:r w:rsidR="00A273CA" w:rsidRPr="00595714">
        <w:rPr>
          <w:rFonts w:ascii="Times New Roman" w:eastAsia="Times New Roman" w:hAnsi="Times New Roman" w:cs="Times New Roman"/>
          <w:sz w:val="28"/>
          <w:szCs w:val="28"/>
        </w:rPr>
        <w:t>memorandum</w:t>
      </w:r>
      <w:r w:rsidRPr="00595714">
        <w:rPr>
          <w:rFonts w:ascii="Times New Roman" w:eastAsia="Times New Roman" w:hAnsi="Times New Roman" w:cs="Times New Roman"/>
          <w:sz w:val="28"/>
          <w:szCs w:val="28"/>
        </w:rPr>
        <w:t>;</w:t>
      </w:r>
    </w:p>
    <w:p w14:paraId="39AF101E" w14:textId="77777777" w:rsidR="00696EDD" w:rsidRPr="00595714" w:rsidRDefault="00696EDD" w:rsidP="00595714">
      <w:pPr>
        <w:ind w:left="720" w:firstLine="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 xml:space="preserve"> </w:t>
      </w:r>
    </w:p>
    <w:p w14:paraId="0C0A2C30" w14:textId="77777777" w:rsidR="00696EDD" w:rsidRPr="00595714" w:rsidRDefault="00696EDD" w:rsidP="00595714">
      <w:pPr>
        <w:ind w:left="720" w:firstLine="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(iv) not make legal argument; and</w:t>
      </w:r>
    </w:p>
    <w:p w14:paraId="7D4DE661" w14:textId="77777777" w:rsidR="00696EDD" w:rsidRPr="00595714" w:rsidRDefault="00696EDD" w:rsidP="00595714">
      <w:pPr>
        <w:ind w:left="720" w:firstLine="720"/>
        <w:jc w:val="both"/>
        <w:rPr>
          <w:rFonts w:ascii="Times New Roman" w:eastAsia="Times New Roman" w:hAnsi="Times New Roman" w:cs="Times New Roman"/>
          <w:sz w:val="28"/>
          <w:szCs w:val="28"/>
        </w:rPr>
      </w:pPr>
    </w:p>
    <w:p w14:paraId="308C193D" w14:textId="6AEF2864" w:rsidR="00696EDD" w:rsidRPr="00595714" w:rsidRDefault="00696EDD" w:rsidP="00595714">
      <w:pPr>
        <w:ind w:left="720" w:firstLine="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(v) in Tier 1 and 2 cases, not exceed 11 pages, exclusive of attachments, unless the court orders otherwise.</w:t>
      </w:r>
    </w:p>
    <w:p w14:paraId="09B118B3" w14:textId="77777777" w:rsidR="00696EDD" w:rsidRPr="00595714" w:rsidRDefault="00696EDD" w:rsidP="00595714">
      <w:pPr>
        <w:ind w:left="720"/>
        <w:jc w:val="both"/>
        <w:rPr>
          <w:rFonts w:ascii="Times New Roman" w:eastAsia="Times New Roman" w:hAnsi="Times New Roman" w:cs="Times New Roman"/>
          <w:sz w:val="28"/>
          <w:szCs w:val="28"/>
        </w:rPr>
      </w:pPr>
    </w:p>
    <w:p w14:paraId="6A0D2ED7" w14:textId="77777777" w:rsidR="00696EDD" w:rsidRPr="00595714" w:rsidRDefault="00696EDD" w:rsidP="00595714">
      <w:pPr>
        <w:ind w:left="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(B) Opposing Party’s Statement. An opposing party must file a statement in the form prescribed by Rule 56(c)(3)(A). This statement must:</w:t>
      </w:r>
    </w:p>
    <w:p w14:paraId="16CAE791" w14:textId="77777777" w:rsidR="00696EDD" w:rsidRPr="00595714" w:rsidRDefault="00696EDD" w:rsidP="00595714">
      <w:pPr>
        <w:ind w:left="720"/>
        <w:jc w:val="both"/>
        <w:rPr>
          <w:rFonts w:ascii="Times New Roman" w:eastAsia="Times New Roman" w:hAnsi="Times New Roman" w:cs="Times New Roman"/>
          <w:sz w:val="28"/>
          <w:szCs w:val="28"/>
        </w:rPr>
      </w:pPr>
    </w:p>
    <w:p w14:paraId="01226A04" w14:textId="77777777" w:rsidR="00696EDD" w:rsidRPr="00595714" w:rsidRDefault="00696EDD" w:rsidP="00595714">
      <w:pPr>
        <w:ind w:left="1080"/>
        <w:jc w:val="both"/>
        <w:rPr>
          <w:rFonts w:ascii="Times New Roman" w:eastAsia="Times New Roman" w:hAnsi="Times New Roman" w:cs="Times New Roman"/>
          <w:strike/>
          <w:sz w:val="28"/>
          <w:szCs w:val="28"/>
        </w:rPr>
      </w:pPr>
      <w:r w:rsidRPr="00595714">
        <w:rPr>
          <w:rFonts w:ascii="Times New Roman" w:eastAsia="Times New Roman" w:hAnsi="Times New Roman" w:cs="Times New Roman"/>
          <w:sz w:val="28"/>
          <w:szCs w:val="28"/>
        </w:rPr>
        <w:t>(i) identify the numbered paragraphs in the moving party’s statement that are disputed, citing for each disputed material fact the specific, admissible parts of the record that establish the dispute;</w:t>
      </w:r>
    </w:p>
    <w:p w14:paraId="2049C1BE" w14:textId="77777777" w:rsidR="00696EDD" w:rsidRPr="00595714" w:rsidRDefault="00696EDD" w:rsidP="00595714">
      <w:pPr>
        <w:ind w:left="1080"/>
        <w:jc w:val="both"/>
        <w:rPr>
          <w:rFonts w:ascii="Times New Roman" w:eastAsia="Times New Roman" w:hAnsi="Times New Roman" w:cs="Times New Roman"/>
          <w:sz w:val="28"/>
          <w:szCs w:val="28"/>
        </w:rPr>
      </w:pPr>
    </w:p>
    <w:p w14:paraId="489A68E5" w14:textId="0858DC0F" w:rsidR="00696EDD" w:rsidRPr="00595714" w:rsidRDefault="00696EDD" w:rsidP="00595714">
      <w:pPr>
        <w:ind w:left="108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 xml:space="preserve">(ii) state concisely in separately numbered paragraphs those facts cited in the nonmoving party’s </w:t>
      </w:r>
      <w:r w:rsidR="00A273CA" w:rsidRPr="00595714">
        <w:rPr>
          <w:rFonts w:ascii="Times New Roman" w:eastAsia="Times New Roman" w:hAnsi="Times New Roman" w:cs="Times New Roman"/>
          <w:sz w:val="28"/>
          <w:szCs w:val="28"/>
        </w:rPr>
        <w:t>memorandum</w:t>
      </w:r>
      <w:r w:rsidRPr="00595714">
        <w:rPr>
          <w:rFonts w:ascii="Times New Roman" w:eastAsia="Times New Roman" w:hAnsi="Times New Roman" w:cs="Times New Roman"/>
          <w:sz w:val="28"/>
          <w:szCs w:val="28"/>
        </w:rPr>
        <w:t xml:space="preserve"> that establish a genuine dispute or </w:t>
      </w:r>
      <w:r w:rsidRPr="00595714">
        <w:rPr>
          <w:rFonts w:ascii="Times New Roman" w:eastAsia="Times New Roman" w:hAnsi="Times New Roman" w:cs="Times New Roman"/>
          <w:sz w:val="28"/>
          <w:szCs w:val="28"/>
        </w:rPr>
        <w:lastRenderedPageBreak/>
        <w:t>otherwise preclude summary judgment in favor of the moving party, citing as support for each such fact only specific, admissible parts of the record; and</w:t>
      </w:r>
    </w:p>
    <w:p w14:paraId="66B6FA7C" w14:textId="77777777" w:rsidR="00696EDD" w:rsidRPr="00595714" w:rsidRDefault="00696EDD" w:rsidP="00595714">
      <w:pPr>
        <w:ind w:left="1080"/>
        <w:jc w:val="both"/>
        <w:rPr>
          <w:rFonts w:ascii="Times New Roman" w:eastAsia="Times New Roman" w:hAnsi="Times New Roman" w:cs="Times New Roman"/>
          <w:sz w:val="28"/>
          <w:szCs w:val="28"/>
        </w:rPr>
      </w:pPr>
    </w:p>
    <w:p w14:paraId="14B44EC0" w14:textId="73AB14B3" w:rsidR="00696EDD" w:rsidRPr="00595714" w:rsidRDefault="00696EDD" w:rsidP="00595714">
      <w:pPr>
        <w:tabs>
          <w:tab w:val="left" w:pos="1080"/>
        </w:tabs>
        <w:ind w:left="108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(iii) in Tier 1 and 2 cases, not exceed 17 pages, exclusive of attachments, unless the</w:t>
      </w:r>
      <w:r w:rsidR="00A273CA" w:rsidRPr="00595714">
        <w:rPr>
          <w:rFonts w:ascii="Times New Roman" w:eastAsia="Times New Roman" w:hAnsi="Times New Roman" w:cs="Times New Roman"/>
          <w:sz w:val="28"/>
          <w:szCs w:val="28"/>
        </w:rPr>
        <w:t xml:space="preserve"> </w:t>
      </w:r>
      <w:r w:rsidRPr="00595714">
        <w:rPr>
          <w:rFonts w:ascii="Times New Roman" w:eastAsia="Times New Roman" w:hAnsi="Times New Roman" w:cs="Times New Roman"/>
          <w:sz w:val="28"/>
          <w:szCs w:val="28"/>
        </w:rPr>
        <w:t>court orders otherwise.</w:t>
      </w:r>
    </w:p>
    <w:p w14:paraId="643DDE36" w14:textId="77777777" w:rsidR="00696EDD" w:rsidRPr="00595714" w:rsidRDefault="00696EDD" w:rsidP="00595714">
      <w:pPr>
        <w:ind w:left="1080"/>
        <w:jc w:val="both"/>
        <w:rPr>
          <w:rFonts w:ascii="Times New Roman" w:eastAsia="Times New Roman" w:hAnsi="Times New Roman" w:cs="Times New Roman"/>
          <w:sz w:val="28"/>
          <w:szCs w:val="28"/>
        </w:rPr>
      </w:pPr>
    </w:p>
    <w:p w14:paraId="34829BE1" w14:textId="77777777" w:rsidR="00696EDD" w:rsidRPr="00595714" w:rsidRDefault="00696EDD" w:rsidP="00595714">
      <w:pPr>
        <w:ind w:left="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(C) No Reply Statement.  The moving party may not file a Reply Statement of Fact.  But if the nonmoving party raises new facts in their response, the moving party may attach admissible evidence to the reply memorandum to show that the new facts raised in response do not create a material issue of fact, as permitted by Rule 56(c)(2).</w:t>
      </w:r>
    </w:p>
    <w:p w14:paraId="11A2CD8C" w14:textId="77777777" w:rsidR="00696EDD" w:rsidRPr="00595714" w:rsidRDefault="00696EDD" w:rsidP="00595714">
      <w:pPr>
        <w:ind w:left="1080"/>
        <w:jc w:val="both"/>
        <w:rPr>
          <w:rFonts w:ascii="Times New Roman" w:eastAsia="Times New Roman" w:hAnsi="Times New Roman" w:cs="Times New Roman"/>
          <w:sz w:val="28"/>
          <w:szCs w:val="28"/>
        </w:rPr>
      </w:pPr>
    </w:p>
    <w:p w14:paraId="2DB4404A" w14:textId="77777777" w:rsidR="00696EDD" w:rsidRPr="00595714" w:rsidRDefault="00696EDD" w:rsidP="00595714">
      <w:pPr>
        <w:ind w:left="72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 xml:space="preserve">(D) Joint Statement; Conference. In addition or as an alternative to submitting separate statements under Rule 56(c)(3)(A) and (B), the parties may file a joint statement in the form prescribed by this rule, setting forth those facts that are undisputed, including those established by the pleadings or previously admitted under Rule 36. The joint statement may provide that any stipulation of fact is not binding for any purpose other than the summary judgment motion.  The joint statement does not count against the page limits in Rule 56(c)(3)(A)(v) or Rule 56(c)(3)(B)(iii).  If a party requests a conference to determine if a joint statement of any length is possible, the parties must confer in good faith pursuant to Rule 7.1(h) within seven calendar days of the request. </w:t>
      </w:r>
    </w:p>
    <w:p w14:paraId="771314D8" w14:textId="77777777" w:rsidR="00696EDD" w:rsidRPr="00595714" w:rsidRDefault="00696EDD" w:rsidP="00595714">
      <w:pPr>
        <w:ind w:left="720"/>
        <w:jc w:val="both"/>
        <w:rPr>
          <w:rFonts w:ascii="Times New Roman" w:eastAsia="Times New Roman" w:hAnsi="Times New Roman" w:cs="Times New Roman"/>
          <w:sz w:val="28"/>
          <w:szCs w:val="28"/>
        </w:rPr>
      </w:pPr>
    </w:p>
    <w:p w14:paraId="3213AAFD" w14:textId="77777777" w:rsidR="00696EDD" w:rsidRPr="00595714" w:rsidRDefault="00696EDD" w:rsidP="00595714">
      <w:pPr>
        <w:ind w:left="36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(4) </w:t>
      </w:r>
      <w:r w:rsidRPr="00595714">
        <w:rPr>
          <w:rFonts w:ascii="Times New Roman" w:eastAsia="Times New Roman" w:hAnsi="Times New Roman" w:cs="Times New Roman"/>
          <w:i/>
          <w:iCs/>
          <w:sz w:val="28"/>
          <w:szCs w:val="28"/>
        </w:rPr>
        <w:t>Objections to Evidence</w:t>
      </w:r>
      <w:r w:rsidRPr="00595714">
        <w:rPr>
          <w:rFonts w:ascii="Times New Roman" w:eastAsia="Times New Roman" w:hAnsi="Times New Roman" w:cs="Times New Roman"/>
          <w:sz w:val="28"/>
          <w:szCs w:val="28"/>
        </w:rPr>
        <w:t>. Rule 7.1(f)(3) governs objections to the admissibility of evidence on summary judgment motions, but an objection may be stated in either an opposing party's statement of facts or the party's response or reply memorandum. Any objection must be stated concisely and must identify the legal basis for the objection.</w:t>
      </w:r>
    </w:p>
    <w:p w14:paraId="379383F4" w14:textId="77777777" w:rsidR="00696EDD" w:rsidRPr="00595714" w:rsidRDefault="00696EDD" w:rsidP="00595714">
      <w:pPr>
        <w:ind w:left="360"/>
        <w:jc w:val="both"/>
        <w:rPr>
          <w:rFonts w:ascii="Times New Roman" w:eastAsia="Times New Roman" w:hAnsi="Times New Roman" w:cs="Times New Roman"/>
          <w:sz w:val="28"/>
          <w:szCs w:val="28"/>
        </w:rPr>
      </w:pPr>
    </w:p>
    <w:p w14:paraId="3139EB87" w14:textId="77777777" w:rsidR="00696EDD" w:rsidRPr="00595714" w:rsidRDefault="00696EDD" w:rsidP="00595714">
      <w:pPr>
        <w:ind w:left="36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(5) </w:t>
      </w:r>
      <w:r w:rsidRPr="00595714">
        <w:rPr>
          <w:rFonts w:ascii="Times New Roman" w:eastAsia="Times New Roman" w:hAnsi="Times New Roman" w:cs="Times New Roman"/>
          <w:i/>
          <w:iCs/>
          <w:sz w:val="28"/>
          <w:szCs w:val="28"/>
        </w:rPr>
        <w:t>Affidavits</w:t>
      </w:r>
      <w:r w:rsidRPr="00595714">
        <w:rPr>
          <w:rFonts w:ascii="Times New Roman" w:eastAsia="Times New Roman" w:hAnsi="Times New Roman" w:cs="Times New Roman"/>
          <w:sz w:val="28"/>
          <w:szCs w:val="28"/>
        </w:rPr>
        <w:t>. An affidavit used to support or oppose a motion must be made on personal knowledge, set out facts that would be admissible in evidence, and show that the affiant is competent to testify on the matters stated. If an affidavit refers to a document or part of a document, a properly authenticated copy must be attached to or served with the affidavit.</w:t>
      </w:r>
    </w:p>
    <w:p w14:paraId="160D6340" w14:textId="77777777" w:rsidR="00696EDD" w:rsidRPr="00595714" w:rsidRDefault="00696EDD" w:rsidP="00595714">
      <w:pPr>
        <w:ind w:left="360"/>
        <w:jc w:val="both"/>
        <w:rPr>
          <w:rFonts w:ascii="Times New Roman" w:eastAsia="Times New Roman" w:hAnsi="Times New Roman" w:cs="Times New Roman"/>
          <w:sz w:val="28"/>
          <w:szCs w:val="28"/>
        </w:rPr>
      </w:pPr>
    </w:p>
    <w:p w14:paraId="51B65707" w14:textId="60DEDCA1" w:rsidR="007E3A47" w:rsidRPr="00595714" w:rsidRDefault="00696EDD" w:rsidP="00595714">
      <w:pPr>
        <w:ind w:left="360"/>
        <w:jc w:val="both"/>
        <w:rPr>
          <w:rFonts w:ascii="Times New Roman" w:eastAsia="Times New Roman" w:hAnsi="Times New Roman" w:cs="Times New Roman"/>
          <w:sz w:val="28"/>
          <w:szCs w:val="28"/>
        </w:rPr>
      </w:pPr>
      <w:r w:rsidRPr="00595714">
        <w:rPr>
          <w:rFonts w:ascii="Times New Roman" w:eastAsia="Times New Roman" w:hAnsi="Times New Roman" w:cs="Times New Roman"/>
          <w:sz w:val="28"/>
          <w:szCs w:val="28"/>
        </w:rPr>
        <w:t>(6) </w:t>
      </w:r>
      <w:r w:rsidRPr="00595714">
        <w:rPr>
          <w:rFonts w:ascii="Times New Roman" w:eastAsia="Times New Roman" w:hAnsi="Times New Roman" w:cs="Times New Roman"/>
          <w:i/>
          <w:iCs/>
          <w:sz w:val="28"/>
          <w:szCs w:val="28"/>
        </w:rPr>
        <w:t>Other Materials</w:t>
      </w:r>
      <w:r w:rsidRPr="00595714">
        <w:rPr>
          <w:rFonts w:ascii="Times New Roman" w:eastAsia="Times New Roman" w:hAnsi="Times New Roman" w:cs="Times New Roman"/>
          <w:sz w:val="28"/>
          <w:szCs w:val="28"/>
        </w:rPr>
        <w:t>. Affidavits may be supplemented or opposed by materials that would be admissible in evidence, including deposition excerpts, interrogatory responses, admissions, and additional affidavits.</w:t>
      </w:r>
    </w:p>
    <w:sectPr w:rsidR="007E3A47" w:rsidRPr="0059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DD"/>
    <w:rsid w:val="00074BC3"/>
    <w:rsid w:val="00120B23"/>
    <w:rsid w:val="001751B5"/>
    <w:rsid w:val="001A67CC"/>
    <w:rsid w:val="003C2552"/>
    <w:rsid w:val="00595714"/>
    <w:rsid w:val="00696EDD"/>
    <w:rsid w:val="00775FD7"/>
    <w:rsid w:val="007B2800"/>
    <w:rsid w:val="007E3A47"/>
    <w:rsid w:val="00A273CA"/>
    <w:rsid w:val="00B254D0"/>
    <w:rsid w:val="00B31F1B"/>
    <w:rsid w:val="00EB4FDB"/>
    <w:rsid w:val="00EE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0E71"/>
  <w15:chartTrackingRefBased/>
  <w15:docId w15:val="{AFEFFD7C-F77F-4877-AE77-22CAF0E2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6ED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Jennings Strouss &amp; Salmon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Linton, Janet H.</dc:creator>
  <cp:keywords/>
  <dc:description/>
  <cp:lastModifiedBy>Patricia Seguin</cp:lastModifiedBy>
  <cp:revision>2</cp:revision>
  <cp:lastPrinted>2023-01-06T23:23:00Z</cp:lastPrinted>
  <dcterms:created xsi:type="dcterms:W3CDTF">2023-01-06T23:24:00Z</dcterms:created>
  <dcterms:modified xsi:type="dcterms:W3CDTF">2023-01-06T23:24:00Z</dcterms:modified>
</cp:coreProperties>
</file>