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6981B" w14:textId="29613F2D" w:rsidR="00D64F16" w:rsidRDefault="00D64F16" w:rsidP="00D64F16">
      <w:pPr>
        <w:jc w:val="both"/>
        <w:rPr>
          <w:sz w:val="28"/>
          <w:szCs w:val="28"/>
          <w:lang w:val="es-ES"/>
        </w:rPr>
      </w:pPr>
      <w:r w:rsidRPr="00D64F16">
        <w:rPr>
          <w:sz w:val="28"/>
          <w:szCs w:val="28"/>
          <w:lang w:val="es-ES"/>
        </w:rPr>
        <w:t xml:space="preserve">Patricia A. Sallen </w:t>
      </w:r>
    </w:p>
    <w:p w14:paraId="532AD503" w14:textId="77777777" w:rsidR="005630A0" w:rsidRDefault="005630A0" w:rsidP="00D64F16">
      <w:pPr>
        <w:jc w:val="both"/>
        <w:rPr>
          <w:sz w:val="28"/>
          <w:szCs w:val="28"/>
          <w:lang w:val="es-ES"/>
        </w:rPr>
      </w:pPr>
      <w:r>
        <w:rPr>
          <w:sz w:val="28"/>
          <w:szCs w:val="28"/>
          <w:lang w:val="es-ES"/>
        </w:rPr>
        <w:t xml:space="preserve">Ethics at </w:t>
      </w:r>
      <w:proofErr w:type="spellStart"/>
      <w:r>
        <w:rPr>
          <w:sz w:val="28"/>
          <w:szCs w:val="28"/>
          <w:lang w:val="es-ES"/>
        </w:rPr>
        <w:t>Law</w:t>
      </w:r>
      <w:proofErr w:type="spellEnd"/>
      <w:r>
        <w:rPr>
          <w:sz w:val="28"/>
          <w:szCs w:val="28"/>
          <w:lang w:val="es-ES"/>
        </w:rPr>
        <w:t xml:space="preserve"> PLLC</w:t>
      </w:r>
    </w:p>
    <w:p w14:paraId="4D05E62E" w14:textId="4E5C5493" w:rsidR="00D64F16" w:rsidRDefault="00D64F16" w:rsidP="00D64F16">
      <w:pPr>
        <w:jc w:val="both"/>
        <w:rPr>
          <w:sz w:val="28"/>
          <w:szCs w:val="28"/>
          <w:lang w:val="es-ES"/>
        </w:rPr>
      </w:pPr>
      <w:r>
        <w:rPr>
          <w:sz w:val="28"/>
          <w:szCs w:val="28"/>
          <w:lang w:val="es-ES"/>
        </w:rPr>
        <w:t>3420 North 42nd Street</w:t>
      </w:r>
    </w:p>
    <w:p w14:paraId="765C4115" w14:textId="2B755929" w:rsidR="00D64F16" w:rsidRDefault="00D64F16" w:rsidP="00D64F16">
      <w:pPr>
        <w:jc w:val="both"/>
        <w:rPr>
          <w:sz w:val="28"/>
          <w:szCs w:val="28"/>
          <w:lang w:val="es-ES"/>
        </w:rPr>
      </w:pPr>
      <w:r>
        <w:rPr>
          <w:sz w:val="28"/>
          <w:szCs w:val="28"/>
          <w:lang w:val="es-ES"/>
        </w:rPr>
        <w:t xml:space="preserve">Phoenix, </w:t>
      </w:r>
      <w:r w:rsidR="006B4A75">
        <w:rPr>
          <w:sz w:val="28"/>
          <w:szCs w:val="28"/>
          <w:lang w:val="es-ES"/>
        </w:rPr>
        <w:t>Arizona 85018</w:t>
      </w:r>
    </w:p>
    <w:p w14:paraId="1943B0A1" w14:textId="22178E2F" w:rsidR="005630A0" w:rsidRPr="00D64F16" w:rsidRDefault="005630A0" w:rsidP="005630A0">
      <w:pPr>
        <w:jc w:val="both"/>
        <w:rPr>
          <w:sz w:val="28"/>
          <w:szCs w:val="28"/>
          <w:lang w:val="es-ES"/>
        </w:rPr>
      </w:pPr>
      <w:r w:rsidRPr="00D64F16">
        <w:rPr>
          <w:sz w:val="28"/>
          <w:szCs w:val="28"/>
          <w:lang w:val="es-ES"/>
        </w:rPr>
        <w:t>Bar No. 012338</w:t>
      </w:r>
    </w:p>
    <w:p w14:paraId="245C314B" w14:textId="77777777" w:rsidR="00D64F16" w:rsidRPr="00D64F16" w:rsidRDefault="00D64F16" w:rsidP="00D64F16">
      <w:pPr>
        <w:jc w:val="both"/>
        <w:rPr>
          <w:sz w:val="28"/>
          <w:szCs w:val="28"/>
          <w:lang w:val="es-ES"/>
        </w:rPr>
      </w:pPr>
      <w:r w:rsidRPr="00D64F16">
        <w:rPr>
          <w:sz w:val="28"/>
          <w:szCs w:val="28"/>
          <w:lang w:val="es-ES"/>
        </w:rPr>
        <w:t>480-290-4841</w:t>
      </w:r>
    </w:p>
    <w:p w14:paraId="32FF53DE" w14:textId="47255CA0" w:rsidR="00D64F16" w:rsidRDefault="00D64F16" w:rsidP="00D64F16">
      <w:pPr>
        <w:jc w:val="both"/>
        <w:rPr>
          <w:sz w:val="28"/>
          <w:szCs w:val="28"/>
          <w:lang w:val="es-ES"/>
        </w:rPr>
      </w:pPr>
      <w:r w:rsidRPr="00D64F16">
        <w:rPr>
          <w:sz w:val="28"/>
          <w:szCs w:val="28"/>
          <w:lang w:val="es-ES"/>
        </w:rPr>
        <w:t>psallen@ethicsatlaw.co</w:t>
      </w:r>
      <w:r>
        <w:rPr>
          <w:sz w:val="28"/>
          <w:szCs w:val="28"/>
          <w:lang w:val="es-ES"/>
        </w:rPr>
        <w:t>m</w:t>
      </w:r>
    </w:p>
    <w:p w14:paraId="5DEEA9C1" w14:textId="77777777" w:rsidR="005630A0" w:rsidRDefault="005630A0" w:rsidP="005630A0">
      <w:pPr>
        <w:jc w:val="both"/>
        <w:rPr>
          <w:sz w:val="28"/>
          <w:szCs w:val="28"/>
          <w:lang w:val="es-ES"/>
        </w:rPr>
      </w:pPr>
      <w:proofErr w:type="spellStart"/>
      <w:r>
        <w:rPr>
          <w:sz w:val="28"/>
          <w:szCs w:val="28"/>
          <w:lang w:val="es-ES"/>
        </w:rPr>
        <w:t>Attorney</w:t>
      </w:r>
      <w:proofErr w:type="spellEnd"/>
      <w:r>
        <w:rPr>
          <w:sz w:val="28"/>
          <w:szCs w:val="28"/>
          <w:lang w:val="es-ES"/>
        </w:rPr>
        <w:t xml:space="preserve"> </w:t>
      </w:r>
      <w:proofErr w:type="spellStart"/>
      <w:r>
        <w:rPr>
          <w:sz w:val="28"/>
          <w:szCs w:val="28"/>
          <w:lang w:val="es-ES"/>
        </w:rPr>
        <w:t>for</w:t>
      </w:r>
      <w:proofErr w:type="spellEnd"/>
      <w:r>
        <w:rPr>
          <w:sz w:val="28"/>
          <w:szCs w:val="28"/>
          <w:lang w:val="es-ES"/>
        </w:rPr>
        <w:t xml:space="preserve"> </w:t>
      </w:r>
      <w:proofErr w:type="spellStart"/>
      <w:r>
        <w:rPr>
          <w:sz w:val="28"/>
          <w:szCs w:val="28"/>
          <w:lang w:val="es-ES"/>
        </w:rPr>
        <w:t>Petitioner</w:t>
      </w:r>
      <w:proofErr w:type="spellEnd"/>
      <w:r>
        <w:rPr>
          <w:sz w:val="28"/>
          <w:szCs w:val="28"/>
          <w:lang w:val="es-ES"/>
        </w:rPr>
        <w:t xml:space="preserve"> </w:t>
      </w:r>
    </w:p>
    <w:p w14:paraId="67F78817" w14:textId="3181DC56" w:rsidR="00D64F16" w:rsidRDefault="005630A0" w:rsidP="005630A0">
      <w:pPr>
        <w:ind w:firstLine="720"/>
        <w:jc w:val="both"/>
        <w:rPr>
          <w:sz w:val="28"/>
          <w:szCs w:val="28"/>
          <w:lang w:val="es-ES"/>
        </w:rPr>
      </w:pPr>
      <w:r>
        <w:rPr>
          <w:sz w:val="28"/>
          <w:szCs w:val="28"/>
          <w:lang w:val="es-ES"/>
        </w:rPr>
        <w:t xml:space="preserve">Arizona Bar </w:t>
      </w:r>
      <w:proofErr w:type="spellStart"/>
      <w:r>
        <w:rPr>
          <w:sz w:val="28"/>
          <w:szCs w:val="28"/>
          <w:lang w:val="es-ES"/>
        </w:rPr>
        <w:t>Foundation</w:t>
      </w:r>
      <w:proofErr w:type="spellEnd"/>
    </w:p>
    <w:p w14:paraId="4DA9859D" w14:textId="7B77C112" w:rsidR="005630A0" w:rsidRDefault="005630A0" w:rsidP="00D54086">
      <w:pPr>
        <w:spacing w:line="360" w:lineRule="auto"/>
        <w:jc w:val="both"/>
        <w:rPr>
          <w:sz w:val="28"/>
          <w:szCs w:val="28"/>
          <w:lang w:val="es-ES"/>
        </w:rPr>
      </w:pPr>
    </w:p>
    <w:p w14:paraId="3C36D9C8" w14:textId="77777777" w:rsidR="005630A0" w:rsidRPr="000E077E" w:rsidRDefault="005630A0" w:rsidP="00D54086">
      <w:pPr>
        <w:spacing w:line="360" w:lineRule="auto"/>
        <w:jc w:val="both"/>
        <w:rPr>
          <w:sz w:val="28"/>
          <w:szCs w:val="28"/>
          <w:lang w:val="es-ES"/>
        </w:rPr>
      </w:pPr>
    </w:p>
    <w:p w14:paraId="38444F3F" w14:textId="77777777" w:rsidR="00472C18" w:rsidRPr="004812AE" w:rsidRDefault="00472C18" w:rsidP="00D54086">
      <w:pPr>
        <w:spacing w:line="276" w:lineRule="auto"/>
        <w:jc w:val="center"/>
        <w:rPr>
          <w:b/>
          <w:sz w:val="28"/>
          <w:szCs w:val="28"/>
        </w:rPr>
      </w:pPr>
      <w:r w:rsidRPr="004812AE">
        <w:rPr>
          <w:b/>
          <w:sz w:val="28"/>
          <w:szCs w:val="28"/>
        </w:rPr>
        <w:t>IN THE ARIZONA SUPREME COURT</w:t>
      </w:r>
    </w:p>
    <w:p w14:paraId="2FA0FE7A" w14:textId="77777777" w:rsidR="00472C18" w:rsidRPr="004812AE" w:rsidRDefault="00472C18" w:rsidP="00D54086">
      <w:pPr>
        <w:spacing w:line="276" w:lineRule="auto"/>
        <w:jc w:val="both"/>
        <w:rPr>
          <w:b/>
          <w:color w:val="000000"/>
          <w:sz w:val="28"/>
          <w:szCs w:val="28"/>
        </w:rPr>
      </w:pPr>
    </w:p>
    <w:tbl>
      <w:tblPr>
        <w:tblW w:w="9378" w:type="dxa"/>
        <w:tblLook w:val="04A0" w:firstRow="1" w:lastRow="0" w:firstColumn="1" w:lastColumn="0" w:noHBand="0" w:noVBand="1"/>
      </w:tblPr>
      <w:tblGrid>
        <w:gridCol w:w="4608"/>
        <w:gridCol w:w="270"/>
        <w:gridCol w:w="4500"/>
      </w:tblGrid>
      <w:tr w:rsidR="00472C18" w:rsidRPr="004812AE" w14:paraId="378137F8" w14:textId="77777777" w:rsidTr="005509BD">
        <w:tc>
          <w:tcPr>
            <w:tcW w:w="4608" w:type="dxa"/>
            <w:tcBorders>
              <w:right w:val="single" w:sz="4" w:space="0" w:color="auto"/>
            </w:tcBorders>
          </w:tcPr>
          <w:p w14:paraId="2A262BBC" w14:textId="77926394" w:rsidR="004F33FF" w:rsidRPr="004812AE" w:rsidRDefault="004F33FF" w:rsidP="00D54086">
            <w:pPr>
              <w:pStyle w:val="Caption"/>
              <w:spacing w:before="240" w:line="276" w:lineRule="auto"/>
              <w:rPr>
                <w:sz w:val="28"/>
                <w:szCs w:val="28"/>
              </w:rPr>
            </w:pPr>
            <w:r w:rsidRPr="004812AE">
              <w:rPr>
                <w:sz w:val="28"/>
                <w:szCs w:val="28"/>
              </w:rPr>
              <w:t>In the Matter of:</w:t>
            </w:r>
          </w:p>
          <w:p w14:paraId="46032890" w14:textId="77777777" w:rsidR="004F33FF" w:rsidRPr="004812AE" w:rsidRDefault="004F33FF" w:rsidP="00D54086">
            <w:pPr>
              <w:spacing w:line="276" w:lineRule="auto"/>
              <w:rPr>
                <w:sz w:val="28"/>
                <w:szCs w:val="28"/>
              </w:rPr>
            </w:pPr>
          </w:p>
          <w:p w14:paraId="369B7B7B" w14:textId="33682B93" w:rsidR="00DA4CE3" w:rsidRPr="004812AE" w:rsidRDefault="004F33FF" w:rsidP="00D54086">
            <w:pPr>
              <w:spacing w:line="276" w:lineRule="auto"/>
              <w:rPr>
                <w:b/>
                <w:sz w:val="28"/>
                <w:szCs w:val="28"/>
              </w:rPr>
            </w:pPr>
            <w:r w:rsidRPr="004812AE">
              <w:rPr>
                <w:b/>
                <w:sz w:val="28"/>
                <w:szCs w:val="28"/>
              </w:rPr>
              <w:t xml:space="preserve">PETITION TO AMEND </w:t>
            </w:r>
            <w:r w:rsidR="00DA4CE3" w:rsidRPr="004812AE">
              <w:rPr>
                <w:b/>
                <w:sz w:val="28"/>
                <w:szCs w:val="28"/>
              </w:rPr>
              <w:t>ETHICAL RULES 1.15 AND 2.4, RULE 42, AND RULE 43, ARIZ. R. SUP. CT.</w:t>
            </w:r>
          </w:p>
          <w:p w14:paraId="32260F44" w14:textId="05DCE000" w:rsidR="00472C18" w:rsidRPr="004812AE" w:rsidRDefault="00472C18" w:rsidP="00D54086">
            <w:pPr>
              <w:spacing w:line="276" w:lineRule="auto"/>
              <w:rPr>
                <w:b/>
                <w:color w:val="000000"/>
                <w:sz w:val="28"/>
                <w:szCs w:val="28"/>
              </w:rPr>
            </w:pPr>
          </w:p>
        </w:tc>
        <w:tc>
          <w:tcPr>
            <w:tcW w:w="270" w:type="dxa"/>
            <w:tcBorders>
              <w:left w:val="single" w:sz="4" w:space="0" w:color="auto"/>
            </w:tcBorders>
          </w:tcPr>
          <w:p w14:paraId="792470F3" w14:textId="77777777" w:rsidR="00472C18" w:rsidRPr="004812AE" w:rsidRDefault="00472C18" w:rsidP="00D54086">
            <w:pPr>
              <w:spacing w:line="276" w:lineRule="auto"/>
              <w:jc w:val="both"/>
              <w:rPr>
                <w:b/>
                <w:color w:val="000000"/>
                <w:sz w:val="28"/>
                <w:szCs w:val="28"/>
              </w:rPr>
            </w:pPr>
          </w:p>
        </w:tc>
        <w:tc>
          <w:tcPr>
            <w:tcW w:w="4500" w:type="dxa"/>
          </w:tcPr>
          <w:p w14:paraId="7A15E5B5" w14:textId="77777777" w:rsidR="00DA4CE3" w:rsidRPr="004812AE" w:rsidRDefault="00DA4CE3" w:rsidP="00D54086">
            <w:pPr>
              <w:spacing w:line="276" w:lineRule="auto"/>
              <w:jc w:val="both"/>
              <w:rPr>
                <w:color w:val="000000"/>
                <w:sz w:val="28"/>
                <w:szCs w:val="28"/>
              </w:rPr>
            </w:pPr>
          </w:p>
          <w:p w14:paraId="060E24E6" w14:textId="746108E3" w:rsidR="00472C18" w:rsidRPr="004812AE" w:rsidRDefault="00030160" w:rsidP="00D54086">
            <w:pPr>
              <w:spacing w:line="276" w:lineRule="auto"/>
              <w:jc w:val="both"/>
              <w:rPr>
                <w:color w:val="000000"/>
                <w:sz w:val="28"/>
                <w:szCs w:val="28"/>
              </w:rPr>
            </w:pPr>
            <w:r w:rsidRPr="004812AE">
              <w:rPr>
                <w:color w:val="000000"/>
                <w:sz w:val="28"/>
                <w:szCs w:val="28"/>
              </w:rPr>
              <w:t>Supreme Court No. R-</w:t>
            </w:r>
            <w:r w:rsidR="00E63096">
              <w:rPr>
                <w:color w:val="000000"/>
                <w:sz w:val="28"/>
                <w:szCs w:val="28"/>
              </w:rPr>
              <w:t>23</w:t>
            </w:r>
            <w:r w:rsidR="003D4C95" w:rsidRPr="004812AE">
              <w:rPr>
                <w:color w:val="000000"/>
                <w:sz w:val="28"/>
                <w:szCs w:val="28"/>
              </w:rPr>
              <w:t>-_____</w:t>
            </w:r>
          </w:p>
          <w:p w14:paraId="67AA4087" w14:textId="77777777" w:rsidR="00472C18" w:rsidRPr="004812AE" w:rsidRDefault="00472C18" w:rsidP="00D54086">
            <w:pPr>
              <w:spacing w:line="276" w:lineRule="auto"/>
              <w:jc w:val="both"/>
              <w:rPr>
                <w:color w:val="000000"/>
                <w:sz w:val="28"/>
                <w:szCs w:val="28"/>
              </w:rPr>
            </w:pPr>
          </w:p>
          <w:p w14:paraId="097A64FF" w14:textId="011662DA" w:rsidR="00472C18" w:rsidRPr="004812AE" w:rsidRDefault="00472C18" w:rsidP="00D54086">
            <w:pPr>
              <w:spacing w:line="276" w:lineRule="auto"/>
              <w:jc w:val="both"/>
              <w:rPr>
                <w:b/>
                <w:color w:val="000000"/>
                <w:sz w:val="28"/>
                <w:szCs w:val="28"/>
              </w:rPr>
            </w:pPr>
          </w:p>
        </w:tc>
      </w:tr>
      <w:tr w:rsidR="00472C18" w:rsidRPr="004812AE" w14:paraId="5B73930F" w14:textId="77777777" w:rsidTr="005509BD">
        <w:tc>
          <w:tcPr>
            <w:tcW w:w="4608" w:type="dxa"/>
            <w:tcBorders>
              <w:bottom w:val="single" w:sz="4" w:space="0" w:color="auto"/>
              <w:right w:val="single" w:sz="4" w:space="0" w:color="auto"/>
            </w:tcBorders>
          </w:tcPr>
          <w:p w14:paraId="734CFACF" w14:textId="77777777" w:rsidR="00472C18" w:rsidRPr="004812AE" w:rsidRDefault="00472C18" w:rsidP="00D54086">
            <w:pPr>
              <w:spacing w:line="276" w:lineRule="auto"/>
              <w:jc w:val="both"/>
              <w:rPr>
                <w:color w:val="000000"/>
                <w:sz w:val="28"/>
                <w:szCs w:val="28"/>
              </w:rPr>
            </w:pPr>
          </w:p>
        </w:tc>
        <w:tc>
          <w:tcPr>
            <w:tcW w:w="270" w:type="dxa"/>
            <w:tcBorders>
              <w:left w:val="single" w:sz="4" w:space="0" w:color="auto"/>
            </w:tcBorders>
          </w:tcPr>
          <w:p w14:paraId="6B3ECF9B" w14:textId="77777777" w:rsidR="00472C18" w:rsidRPr="004812AE" w:rsidRDefault="00472C18" w:rsidP="00D54086">
            <w:pPr>
              <w:spacing w:line="276" w:lineRule="auto"/>
              <w:jc w:val="both"/>
              <w:rPr>
                <w:b/>
                <w:color w:val="000000"/>
                <w:sz w:val="28"/>
                <w:szCs w:val="28"/>
              </w:rPr>
            </w:pPr>
          </w:p>
        </w:tc>
        <w:tc>
          <w:tcPr>
            <w:tcW w:w="4500" w:type="dxa"/>
          </w:tcPr>
          <w:p w14:paraId="63AF699D" w14:textId="77777777" w:rsidR="00472C18" w:rsidRPr="004812AE" w:rsidRDefault="00472C18" w:rsidP="00D54086">
            <w:pPr>
              <w:spacing w:line="276" w:lineRule="auto"/>
              <w:jc w:val="both"/>
              <w:rPr>
                <w:color w:val="000000"/>
                <w:sz w:val="28"/>
                <w:szCs w:val="28"/>
              </w:rPr>
            </w:pPr>
          </w:p>
        </w:tc>
      </w:tr>
    </w:tbl>
    <w:p w14:paraId="336B4038" w14:textId="77777777" w:rsidR="00DA4CE3" w:rsidRPr="004812AE" w:rsidRDefault="00DA4CE3" w:rsidP="00D54086">
      <w:pPr>
        <w:spacing w:line="360" w:lineRule="auto"/>
        <w:ind w:firstLine="720"/>
        <w:jc w:val="both"/>
        <w:rPr>
          <w:sz w:val="28"/>
          <w:szCs w:val="28"/>
        </w:rPr>
      </w:pPr>
    </w:p>
    <w:p w14:paraId="49370AD9" w14:textId="4FE157A5" w:rsidR="003D4C95" w:rsidRPr="004812AE" w:rsidRDefault="003D4C95" w:rsidP="00D54086">
      <w:pPr>
        <w:spacing w:line="360" w:lineRule="auto"/>
        <w:ind w:firstLine="720"/>
        <w:jc w:val="both"/>
        <w:rPr>
          <w:sz w:val="28"/>
          <w:szCs w:val="28"/>
        </w:rPr>
      </w:pPr>
      <w:r w:rsidRPr="004812AE">
        <w:rPr>
          <w:sz w:val="28"/>
          <w:szCs w:val="28"/>
        </w:rPr>
        <w:t xml:space="preserve">Pursuant to Rule 28, Ariz. R. Sup. Ct., </w:t>
      </w:r>
      <w:r w:rsidR="005630A0">
        <w:rPr>
          <w:sz w:val="28"/>
          <w:szCs w:val="28"/>
        </w:rPr>
        <w:t>t</w:t>
      </w:r>
      <w:r w:rsidR="005630A0" w:rsidRPr="004812AE">
        <w:rPr>
          <w:sz w:val="28"/>
          <w:szCs w:val="28"/>
        </w:rPr>
        <w:t>he</w:t>
      </w:r>
      <w:r w:rsidRPr="004812AE">
        <w:rPr>
          <w:sz w:val="28"/>
          <w:szCs w:val="28"/>
        </w:rPr>
        <w:t xml:space="preserve"> Arizona Bar Foundation petitions the </w:t>
      </w:r>
      <w:r w:rsidR="00D64F16">
        <w:rPr>
          <w:sz w:val="28"/>
          <w:szCs w:val="28"/>
        </w:rPr>
        <w:t xml:space="preserve">Supreme </w:t>
      </w:r>
      <w:r w:rsidRPr="004812AE">
        <w:rPr>
          <w:sz w:val="28"/>
          <w:szCs w:val="28"/>
        </w:rPr>
        <w:t>Court to amend Ethical Rule (ER) 1.15 and ER 2.4, Rule 42, Ariz. R. Sup. Ct., and Rule 43(a), Ariz. R. Sup. Ct., to allow lawyers who serve as third-party neutrals or expert witnesses to hold unearned fees related to those services in their client trust accounts.</w:t>
      </w:r>
    </w:p>
    <w:p w14:paraId="5FA7FC2C" w14:textId="02E3AD20" w:rsidR="003D4C95" w:rsidRPr="004812AE" w:rsidRDefault="003D4C95" w:rsidP="00D54086">
      <w:pPr>
        <w:spacing w:line="360" w:lineRule="auto"/>
        <w:jc w:val="both"/>
        <w:rPr>
          <w:sz w:val="28"/>
          <w:szCs w:val="28"/>
        </w:rPr>
      </w:pPr>
      <w:r w:rsidRPr="004812AE">
        <w:rPr>
          <w:sz w:val="28"/>
          <w:szCs w:val="28"/>
        </w:rPr>
        <w:tab/>
        <w:t xml:space="preserve">The same societal and professional interests </w:t>
      </w:r>
      <w:r w:rsidR="00B154E5" w:rsidRPr="004812AE">
        <w:rPr>
          <w:sz w:val="28"/>
          <w:szCs w:val="28"/>
        </w:rPr>
        <w:t xml:space="preserve">that apply to protecting unearned client-related funds also apply to </w:t>
      </w:r>
      <w:r w:rsidRPr="004812AE">
        <w:rPr>
          <w:sz w:val="28"/>
          <w:szCs w:val="28"/>
        </w:rPr>
        <w:t xml:space="preserve">advance fees a lawyer who serves as a third-party neutral or expert </w:t>
      </w:r>
      <w:r w:rsidR="002F743D" w:rsidRPr="004812AE">
        <w:rPr>
          <w:sz w:val="28"/>
          <w:szCs w:val="28"/>
        </w:rPr>
        <w:t xml:space="preserve">may </w:t>
      </w:r>
      <w:r w:rsidRPr="004812AE">
        <w:rPr>
          <w:sz w:val="28"/>
          <w:szCs w:val="28"/>
        </w:rPr>
        <w:t xml:space="preserve">receive. </w:t>
      </w:r>
      <w:r w:rsidR="00B154E5" w:rsidRPr="004812AE">
        <w:rPr>
          <w:sz w:val="28"/>
          <w:szCs w:val="28"/>
        </w:rPr>
        <w:t>As with unearned client-related funds, these</w:t>
      </w:r>
      <w:r w:rsidRPr="004812AE">
        <w:rPr>
          <w:sz w:val="28"/>
          <w:szCs w:val="28"/>
        </w:rPr>
        <w:t xml:space="preserve"> funds do not belong to the lawyer until earned. For the protection of the paying party, a lawyer should have the option of safeguarding those funds in the lawyer’s client trust </w:t>
      </w:r>
      <w:r w:rsidRPr="004812AE">
        <w:rPr>
          <w:sz w:val="28"/>
          <w:szCs w:val="28"/>
        </w:rPr>
        <w:lastRenderedPageBreak/>
        <w:t>account.</w:t>
      </w:r>
    </w:p>
    <w:p w14:paraId="7D0F3E7A" w14:textId="1AF0CF5D" w:rsidR="003D4C95" w:rsidRPr="004812AE" w:rsidRDefault="003D4C95" w:rsidP="00D54086">
      <w:pPr>
        <w:spacing w:line="360" w:lineRule="auto"/>
        <w:jc w:val="both"/>
        <w:rPr>
          <w:sz w:val="28"/>
          <w:szCs w:val="28"/>
        </w:rPr>
      </w:pPr>
      <w:r w:rsidRPr="004812AE">
        <w:rPr>
          <w:sz w:val="28"/>
          <w:szCs w:val="28"/>
        </w:rPr>
        <w:tab/>
      </w:r>
      <w:r w:rsidR="00B154E5" w:rsidRPr="004812AE">
        <w:rPr>
          <w:sz w:val="28"/>
          <w:szCs w:val="28"/>
        </w:rPr>
        <w:t>But b</w:t>
      </w:r>
      <w:r w:rsidRPr="004812AE">
        <w:rPr>
          <w:sz w:val="28"/>
          <w:szCs w:val="28"/>
        </w:rPr>
        <w:t>oth ER 1.15(a) and Rule 43(a) restrict the type of funds that may be held in a client trust account to those “in connection with a representation.” Lawyers who serve as third-party neutrals or expert witnesses do not provide those services “in connection with a representation”</w:t>
      </w:r>
      <w:r w:rsidR="00B154E5" w:rsidRPr="004812AE">
        <w:rPr>
          <w:sz w:val="28"/>
          <w:szCs w:val="28"/>
        </w:rPr>
        <w:t xml:space="preserve"> because they are not representing anyone in those matters.</w:t>
      </w:r>
      <w:r w:rsidRPr="004812AE">
        <w:rPr>
          <w:sz w:val="28"/>
          <w:szCs w:val="28"/>
        </w:rPr>
        <w:t xml:space="preserve"> Funds paid in advance to a lawyer serving as a third-party neutral or expert witness therefore do not technically qualify as appropriate funds to be held in a client trust account. </w:t>
      </w:r>
      <w:r w:rsidR="00B154E5" w:rsidRPr="004812AE">
        <w:rPr>
          <w:i/>
          <w:iCs/>
          <w:sz w:val="28"/>
          <w:szCs w:val="28"/>
        </w:rPr>
        <w:t>See</w:t>
      </w:r>
      <w:r w:rsidR="00B154E5" w:rsidRPr="004812AE">
        <w:rPr>
          <w:sz w:val="28"/>
          <w:szCs w:val="28"/>
        </w:rPr>
        <w:t xml:space="preserve"> </w:t>
      </w:r>
      <w:r w:rsidRPr="004812AE">
        <w:rPr>
          <w:sz w:val="28"/>
          <w:szCs w:val="28"/>
        </w:rPr>
        <w:t>State Bar of Arizona Ethics Op. 03-07</w:t>
      </w:r>
      <w:r w:rsidR="005630A0" w:rsidRPr="005630A0">
        <w:rPr>
          <w:rStyle w:val="FootnoteReference"/>
          <w:sz w:val="28"/>
          <w:szCs w:val="28"/>
          <w:vertAlign w:val="superscript"/>
        </w:rPr>
        <w:footnoteReference w:id="1"/>
      </w:r>
      <w:r w:rsidRPr="005630A0">
        <w:rPr>
          <w:sz w:val="28"/>
          <w:szCs w:val="28"/>
          <w:vertAlign w:val="superscript"/>
        </w:rPr>
        <w:t xml:space="preserve"> </w:t>
      </w:r>
      <w:r w:rsidRPr="004812AE">
        <w:rPr>
          <w:sz w:val="28"/>
          <w:szCs w:val="28"/>
        </w:rPr>
        <w:t xml:space="preserve">(December 2003) (services provided by a lawyer as third-party neutral are not provided “in connection with a representation”); American Bar Association Formal Ethics Op. 97-407 (May 13, 1997) (“a lawyer serving solely as a testifying expert witness on behalf of another law firm’s client, as distinct from a consultant providing expert legal advice to the firm and its client, does not thereby occupy a client-lawyer relationship with the party for whom he may be called to testify….”). Regardless, both activities, when conducted by a lawyer, </w:t>
      </w:r>
      <w:r w:rsidRPr="004812AE">
        <w:rPr>
          <w:i/>
          <w:iCs/>
          <w:sz w:val="28"/>
          <w:szCs w:val="28"/>
        </w:rPr>
        <w:t>relate</w:t>
      </w:r>
      <w:r w:rsidRPr="004812AE">
        <w:rPr>
          <w:sz w:val="28"/>
          <w:szCs w:val="28"/>
        </w:rPr>
        <w:t xml:space="preserve"> to the practice of law, and the lawyer remains subject to applicable Ethical Rules.</w:t>
      </w:r>
    </w:p>
    <w:p w14:paraId="4CDCD2CB" w14:textId="62D2521F" w:rsidR="003D4C95" w:rsidRPr="004812AE" w:rsidRDefault="00B154E5" w:rsidP="00D54086">
      <w:pPr>
        <w:spacing w:line="360" w:lineRule="auto"/>
        <w:ind w:firstLine="720"/>
        <w:jc w:val="both"/>
        <w:rPr>
          <w:sz w:val="28"/>
          <w:szCs w:val="28"/>
        </w:rPr>
      </w:pPr>
      <w:r w:rsidRPr="004812AE">
        <w:rPr>
          <w:sz w:val="28"/>
          <w:szCs w:val="28"/>
        </w:rPr>
        <w:t>The</w:t>
      </w:r>
      <w:r w:rsidR="003D4C95" w:rsidRPr="004812AE">
        <w:rPr>
          <w:sz w:val="28"/>
          <w:szCs w:val="28"/>
        </w:rPr>
        <w:t xml:space="preserve"> technical solution is </w:t>
      </w:r>
      <w:r w:rsidR="00635F3D" w:rsidRPr="004812AE">
        <w:rPr>
          <w:sz w:val="28"/>
          <w:szCs w:val="28"/>
        </w:rPr>
        <w:t xml:space="preserve">for a lawyer who serves as a third-party neutral or expert witness </w:t>
      </w:r>
      <w:r w:rsidR="003D4C95" w:rsidRPr="004812AE">
        <w:rPr>
          <w:sz w:val="28"/>
          <w:szCs w:val="28"/>
        </w:rPr>
        <w:t xml:space="preserve">to have, in addition to operating and client trust accounts, a third account </w:t>
      </w:r>
      <w:r w:rsidR="00635F3D" w:rsidRPr="004812AE">
        <w:rPr>
          <w:sz w:val="28"/>
          <w:szCs w:val="28"/>
        </w:rPr>
        <w:t>for advance fees related to those activities</w:t>
      </w:r>
      <w:r w:rsidR="003D4C95" w:rsidRPr="004812AE">
        <w:rPr>
          <w:sz w:val="28"/>
          <w:szCs w:val="28"/>
        </w:rPr>
        <w:t>. Although acknowledging one is not required, State Bar Op. 03-07 suggested that it “would be wise practice” for a lawyer who serves as a third-party neutral to maintain a separate account</w:t>
      </w:r>
      <w:r w:rsidR="00635F3D" w:rsidRPr="004812AE">
        <w:rPr>
          <w:sz w:val="28"/>
          <w:szCs w:val="28"/>
        </w:rPr>
        <w:t xml:space="preserve"> for advance fees</w:t>
      </w:r>
      <w:r w:rsidR="003D4C95" w:rsidRPr="004812AE">
        <w:rPr>
          <w:sz w:val="28"/>
          <w:szCs w:val="28"/>
        </w:rPr>
        <w:t>.</w:t>
      </w:r>
    </w:p>
    <w:p w14:paraId="4E8F94FB" w14:textId="72439A1E" w:rsidR="003D4C95" w:rsidRPr="004812AE" w:rsidRDefault="003D4C95" w:rsidP="00D54086">
      <w:pPr>
        <w:spacing w:line="360" w:lineRule="auto"/>
        <w:ind w:firstLine="720"/>
        <w:jc w:val="both"/>
        <w:rPr>
          <w:sz w:val="28"/>
          <w:szCs w:val="28"/>
        </w:rPr>
      </w:pPr>
      <w:r w:rsidRPr="004812AE">
        <w:rPr>
          <w:sz w:val="28"/>
          <w:szCs w:val="28"/>
        </w:rPr>
        <w:t>Allowing lawyers to put these types of funds into their client trust accounts would obviate the need for a</w:t>
      </w:r>
      <w:r w:rsidR="00D64F16">
        <w:rPr>
          <w:sz w:val="28"/>
          <w:szCs w:val="28"/>
        </w:rPr>
        <w:t>n</w:t>
      </w:r>
      <w:r w:rsidRPr="004812AE">
        <w:rPr>
          <w:sz w:val="28"/>
          <w:szCs w:val="28"/>
        </w:rPr>
        <w:t xml:space="preserve"> additional bank account. Because the permission would be narrowly drawn and limited only to lawyers who serve as third-party </w:t>
      </w:r>
      <w:r w:rsidRPr="004812AE">
        <w:rPr>
          <w:sz w:val="28"/>
          <w:szCs w:val="28"/>
        </w:rPr>
        <w:lastRenderedPageBreak/>
        <w:t>neutrals and expert witnesses, it would not open the door to lawyers using client trust accounts for impermissible reasons, such as to hold funds not related to their work as lawyer</w:t>
      </w:r>
      <w:r w:rsidR="00635F3D" w:rsidRPr="004812AE">
        <w:rPr>
          <w:sz w:val="28"/>
          <w:szCs w:val="28"/>
        </w:rPr>
        <w:t>s.</w:t>
      </w:r>
    </w:p>
    <w:p w14:paraId="755335DA" w14:textId="30779310" w:rsidR="003D4C95" w:rsidRPr="004812AE" w:rsidRDefault="003D4C95" w:rsidP="00D54086">
      <w:pPr>
        <w:spacing w:line="360" w:lineRule="auto"/>
        <w:ind w:firstLine="720"/>
        <w:jc w:val="both"/>
        <w:rPr>
          <w:sz w:val="28"/>
          <w:szCs w:val="28"/>
        </w:rPr>
      </w:pPr>
      <w:r w:rsidRPr="004812AE">
        <w:rPr>
          <w:sz w:val="28"/>
          <w:szCs w:val="28"/>
        </w:rPr>
        <w:t xml:space="preserve">At least one other jurisdiction </w:t>
      </w:r>
      <w:r w:rsidRPr="00E63096">
        <w:rPr>
          <w:sz w:val="28"/>
          <w:szCs w:val="28"/>
        </w:rPr>
        <w:t>requires</w:t>
      </w:r>
      <w:r w:rsidRPr="004812AE">
        <w:rPr>
          <w:sz w:val="28"/>
          <w:szCs w:val="28"/>
        </w:rPr>
        <w:t xml:space="preserve"> that advance fees related to serving as an arbitrator or mediator (or in related roles, such as court-appointed special master) be deposited into a client trust account. State Bar of Oregon Op. 2005-135</w:t>
      </w:r>
      <w:r w:rsidR="005630A0" w:rsidRPr="00C70E32">
        <w:rPr>
          <w:rStyle w:val="FootnoteReference"/>
          <w:sz w:val="28"/>
          <w:szCs w:val="28"/>
          <w:vertAlign w:val="superscript"/>
        </w:rPr>
        <w:footnoteReference w:id="2"/>
      </w:r>
      <w:r w:rsidRPr="004812AE">
        <w:rPr>
          <w:sz w:val="28"/>
          <w:szCs w:val="28"/>
        </w:rPr>
        <w:t xml:space="preserve"> (August 2005). Oregon’s version of ER 1.15</w:t>
      </w:r>
      <w:r w:rsidRPr="004812AE">
        <w:rPr>
          <w:rStyle w:val="FootnoteReference"/>
          <w:sz w:val="28"/>
          <w:szCs w:val="28"/>
          <w:vertAlign w:val="superscript"/>
        </w:rPr>
        <w:footnoteReference w:id="3"/>
      </w:r>
      <w:r w:rsidR="00635F3D" w:rsidRPr="004812AE">
        <w:rPr>
          <w:sz w:val="28"/>
          <w:szCs w:val="28"/>
          <w:vertAlign w:val="superscript"/>
        </w:rPr>
        <w:t xml:space="preserve">, </w:t>
      </w:r>
      <w:r w:rsidR="00635F3D" w:rsidRPr="004812AE">
        <w:rPr>
          <w:sz w:val="28"/>
          <w:szCs w:val="28"/>
        </w:rPr>
        <w:t xml:space="preserve">however, </w:t>
      </w:r>
      <w:r w:rsidRPr="004812AE">
        <w:rPr>
          <w:sz w:val="28"/>
          <w:szCs w:val="28"/>
        </w:rPr>
        <w:t>does not include the limiting phrase “in connection with a representation.” That opinion</w:t>
      </w:r>
      <w:r w:rsidR="00D64F16">
        <w:rPr>
          <w:sz w:val="28"/>
          <w:szCs w:val="28"/>
        </w:rPr>
        <w:t>,</w:t>
      </w:r>
      <w:r w:rsidR="00635F3D" w:rsidRPr="004812AE">
        <w:rPr>
          <w:sz w:val="28"/>
          <w:szCs w:val="28"/>
        </w:rPr>
        <w:t xml:space="preserve"> nonetheless</w:t>
      </w:r>
      <w:r w:rsidRPr="004812AE">
        <w:rPr>
          <w:sz w:val="28"/>
          <w:szCs w:val="28"/>
        </w:rPr>
        <w:t>,</w:t>
      </w:r>
      <w:r w:rsidR="002F743D" w:rsidRPr="004812AE">
        <w:rPr>
          <w:sz w:val="28"/>
          <w:szCs w:val="28"/>
        </w:rPr>
        <w:t xml:space="preserve"> </w:t>
      </w:r>
      <w:r w:rsidRPr="004812AE">
        <w:rPr>
          <w:sz w:val="28"/>
          <w:szCs w:val="28"/>
        </w:rPr>
        <w:t>recognizes that funds related to serving as an arbitrator or mediator received in advance belong to third persons, not to the lawyer, and therefore should be protected in a trust account.</w:t>
      </w:r>
    </w:p>
    <w:p w14:paraId="75D5C353" w14:textId="028DF33F" w:rsidR="0053734A" w:rsidRPr="004812AE" w:rsidRDefault="00B154E5" w:rsidP="008B33A6">
      <w:pPr>
        <w:spacing w:line="360" w:lineRule="auto"/>
        <w:ind w:firstLine="720"/>
        <w:jc w:val="both"/>
        <w:rPr>
          <w:sz w:val="28"/>
          <w:szCs w:val="28"/>
        </w:rPr>
      </w:pPr>
      <w:r w:rsidRPr="004812AE">
        <w:rPr>
          <w:sz w:val="28"/>
          <w:szCs w:val="28"/>
        </w:rPr>
        <w:t>In addition to Oregon</w:t>
      </w:r>
      <w:r w:rsidR="00635F3D" w:rsidRPr="004812AE">
        <w:rPr>
          <w:sz w:val="28"/>
          <w:szCs w:val="28"/>
        </w:rPr>
        <w:t xml:space="preserve">, some other jurisdictions do not limit the character of funds required to be deposited into client trust accounts to be “in connection with a representation.” For example, </w:t>
      </w:r>
      <w:r w:rsidR="00B9368F" w:rsidRPr="004812AE">
        <w:rPr>
          <w:sz w:val="28"/>
          <w:szCs w:val="28"/>
        </w:rPr>
        <w:t xml:space="preserve">the relevant part of </w:t>
      </w:r>
      <w:r w:rsidR="00635F3D" w:rsidRPr="004812AE">
        <w:rPr>
          <w:sz w:val="28"/>
          <w:szCs w:val="28"/>
        </w:rPr>
        <w:t xml:space="preserve">California’s </w:t>
      </w:r>
      <w:r w:rsidR="00B9368F" w:rsidRPr="004812AE">
        <w:rPr>
          <w:sz w:val="28"/>
          <w:szCs w:val="28"/>
        </w:rPr>
        <w:t>Rule 1.15(a) provides that “[a]</w:t>
      </w:r>
      <w:proofErr w:type="spellStart"/>
      <w:r w:rsidR="00B9368F" w:rsidRPr="004812AE">
        <w:rPr>
          <w:sz w:val="28"/>
          <w:szCs w:val="28"/>
        </w:rPr>
        <w:t>ll</w:t>
      </w:r>
      <w:proofErr w:type="spellEnd"/>
      <w:r w:rsidR="00B9368F" w:rsidRPr="004812AE">
        <w:rPr>
          <w:sz w:val="28"/>
          <w:szCs w:val="28"/>
        </w:rPr>
        <w:t xml:space="preserve"> funds received or held … for the benefit of a client, or other person to whom the lawyer owes a contractual, statutory, or other legal duty, including advances for fees, costs and expenses,” must be held in the lawyer’s trust account.</w:t>
      </w:r>
      <w:r w:rsidR="00B9368F" w:rsidRPr="004812AE">
        <w:rPr>
          <w:rStyle w:val="FootnoteReference"/>
          <w:sz w:val="28"/>
          <w:szCs w:val="28"/>
          <w:vertAlign w:val="superscript"/>
        </w:rPr>
        <w:footnoteReference w:id="4"/>
      </w:r>
      <w:r w:rsidR="00261D23" w:rsidRPr="004812AE">
        <w:rPr>
          <w:sz w:val="28"/>
          <w:szCs w:val="28"/>
        </w:rPr>
        <w:t xml:space="preserve"> Until the California Supreme Court changed </w:t>
      </w:r>
      <w:r w:rsidR="002F743D" w:rsidRPr="004812AE">
        <w:rPr>
          <w:sz w:val="28"/>
          <w:szCs w:val="28"/>
        </w:rPr>
        <w:t>it</w:t>
      </w:r>
      <w:r w:rsidR="00261D23" w:rsidRPr="004812AE">
        <w:rPr>
          <w:sz w:val="28"/>
          <w:szCs w:val="28"/>
        </w:rPr>
        <w:t xml:space="preserve"> in late 2018, the rule had applied </w:t>
      </w:r>
      <w:r w:rsidR="002F743D" w:rsidRPr="004812AE">
        <w:rPr>
          <w:sz w:val="28"/>
          <w:szCs w:val="28"/>
        </w:rPr>
        <w:t xml:space="preserve">only </w:t>
      </w:r>
      <w:r w:rsidR="00261D23" w:rsidRPr="004812AE">
        <w:rPr>
          <w:sz w:val="28"/>
          <w:szCs w:val="28"/>
        </w:rPr>
        <w:t xml:space="preserve">to funds “received or held for the benefit of clients….” </w:t>
      </w:r>
      <w:r w:rsidR="006F6C3D" w:rsidRPr="004812AE">
        <w:rPr>
          <w:sz w:val="28"/>
          <w:szCs w:val="28"/>
        </w:rPr>
        <w:t xml:space="preserve">A commission </w:t>
      </w:r>
      <w:r w:rsidR="002F743D" w:rsidRPr="004812AE">
        <w:rPr>
          <w:sz w:val="28"/>
          <w:szCs w:val="28"/>
        </w:rPr>
        <w:t>tasked with</w:t>
      </w:r>
      <w:r w:rsidR="006F6C3D" w:rsidRPr="004812AE">
        <w:rPr>
          <w:sz w:val="28"/>
          <w:szCs w:val="28"/>
        </w:rPr>
        <w:t xml:space="preserve"> </w:t>
      </w:r>
      <w:r w:rsidR="002F743D" w:rsidRPr="004812AE">
        <w:rPr>
          <w:sz w:val="28"/>
          <w:szCs w:val="28"/>
        </w:rPr>
        <w:t xml:space="preserve">studying and proposing revisions to </w:t>
      </w:r>
      <w:r w:rsidR="006F6C3D" w:rsidRPr="004812AE">
        <w:rPr>
          <w:sz w:val="28"/>
          <w:szCs w:val="28"/>
        </w:rPr>
        <w:t xml:space="preserve">the California rule changes recommended expanding the rule from “for the benefit of clients” to encompass funds and property </w:t>
      </w:r>
      <w:r w:rsidR="006F6C3D" w:rsidRPr="004812AE">
        <w:rPr>
          <w:sz w:val="28"/>
          <w:szCs w:val="28"/>
        </w:rPr>
        <w:lastRenderedPageBreak/>
        <w:t>entrusted by non-clients.</w:t>
      </w:r>
      <w:r w:rsidR="006F6C3D" w:rsidRPr="004812AE">
        <w:rPr>
          <w:rStyle w:val="FootnoteReference"/>
          <w:sz w:val="28"/>
          <w:szCs w:val="28"/>
          <w:vertAlign w:val="superscript"/>
        </w:rPr>
        <w:footnoteReference w:id="5"/>
      </w:r>
      <w:r w:rsidR="008B33A6" w:rsidRPr="004812AE">
        <w:rPr>
          <w:sz w:val="28"/>
          <w:szCs w:val="28"/>
        </w:rPr>
        <w:t xml:space="preserve"> Such a change would encompass advance fees a lawyer holds when the lawyer serves as a third-party neutral or expert witness.</w:t>
      </w:r>
    </w:p>
    <w:p w14:paraId="79932CA0" w14:textId="70187E44" w:rsidR="002F743D" w:rsidRPr="004812AE" w:rsidRDefault="008B33A6" w:rsidP="00FD324B">
      <w:pPr>
        <w:spacing w:line="360" w:lineRule="auto"/>
        <w:ind w:firstLine="720"/>
        <w:jc w:val="both"/>
        <w:rPr>
          <w:color w:val="000000" w:themeColor="text1"/>
          <w:sz w:val="28"/>
          <w:szCs w:val="28"/>
        </w:rPr>
      </w:pPr>
      <w:r w:rsidRPr="004812AE">
        <w:rPr>
          <w:color w:val="000000" w:themeColor="text1"/>
          <w:sz w:val="28"/>
          <w:szCs w:val="28"/>
        </w:rPr>
        <w:t>Following approaches likes those taken by Oregon and California, a</w:t>
      </w:r>
      <w:r w:rsidR="003D4C95" w:rsidRPr="004812AE">
        <w:rPr>
          <w:color w:val="000000" w:themeColor="text1"/>
          <w:sz w:val="28"/>
          <w:szCs w:val="28"/>
        </w:rPr>
        <w:t>llowing lawyers who serve as third-party neutrals and expert witnesses to hold advance fees related to those areas in their client trust accounts</w:t>
      </w:r>
      <w:r w:rsidR="002F743D" w:rsidRPr="004812AE">
        <w:rPr>
          <w:color w:val="000000" w:themeColor="text1"/>
          <w:sz w:val="28"/>
          <w:szCs w:val="28"/>
        </w:rPr>
        <w:t xml:space="preserve"> </w:t>
      </w:r>
      <w:r w:rsidR="003D4C95" w:rsidRPr="004812AE">
        <w:rPr>
          <w:color w:val="000000" w:themeColor="text1"/>
          <w:sz w:val="28"/>
          <w:szCs w:val="28"/>
        </w:rPr>
        <w:t xml:space="preserve">would resolve what is no doubt a conundrum for many. Lawyers are conditioned to know that fees paid in advance and </w:t>
      </w:r>
      <w:r w:rsidR="006B4A75">
        <w:rPr>
          <w:color w:val="000000" w:themeColor="text1"/>
          <w:sz w:val="28"/>
          <w:szCs w:val="28"/>
        </w:rPr>
        <w:t>that they</w:t>
      </w:r>
      <w:r w:rsidR="003D4C95" w:rsidRPr="004812AE">
        <w:rPr>
          <w:color w:val="000000" w:themeColor="text1"/>
          <w:sz w:val="28"/>
          <w:szCs w:val="28"/>
        </w:rPr>
        <w:t xml:space="preserve"> have not earned should not be placed in their operating or other business accounts</w:t>
      </w:r>
      <w:r w:rsidR="00F24F80">
        <w:rPr>
          <w:color w:val="000000" w:themeColor="text1"/>
          <w:sz w:val="28"/>
          <w:szCs w:val="28"/>
        </w:rPr>
        <w:t>; those are funds that belong to someone other than the lawyer.</w:t>
      </w:r>
    </w:p>
    <w:p w14:paraId="1445CFC7" w14:textId="2749AC91" w:rsidR="003D4C95" w:rsidRPr="004812AE" w:rsidRDefault="003D4C95" w:rsidP="002F743D">
      <w:pPr>
        <w:spacing w:line="360" w:lineRule="auto"/>
        <w:ind w:firstLine="720"/>
        <w:jc w:val="both"/>
        <w:rPr>
          <w:color w:val="000000" w:themeColor="text1"/>
          <w:sz w:val="28"/>
          <w:szCs w:val="28"/>
        </w:rPr>
      </w:pPr>
      <w:r w:rsidRPr="004812AE">
        <w:rPr>
          <w:color w:val="000000" w:themeColor="text1"/>
          <w:sz w:val="28"/>
          <w:szCs w:val="28"/>
        </w:rPr>
        <w:t xml:space="preserve">Short of surveying all lawyers who serve as third-party neutrals or expert witnesses, it is impossible to know how many </w:t>
      </w:r>
      <w:proofErr w:type="gramStart"/>
      <w:r w:rsidRPr="004812AE">
        <w:rPr>
          <w:color w:val="000000" w:themeColor="text1"/>
          <w:sz w:val="28"/>
          <w:szCs w:val="28"/>
        </w:rPr>
        <w:t>hold</w:t>
      </w:r>
      <w:proofErr w:type="gramEnd"/>
      <w:r w:rsidRPr="004812AE">
        <w:rPr>
          <w:color w:val="000000" w:themeColor="text1"/>
          <w:sz w:val="28"/>
          <w:szCs w:val="28"/>
        </w:rPr>
        <w:t xml:space="preserve"> advance fees in their client trust accounts compared to the number who deposit advance fees in their operating accounts or maintain separate, non-</w:t>
      </w:r>
      <w:r w:rsidR="00F24F80">
        <w:rPr>
          <w:color w:val="000000" w:themeColor="text1"/>
          <w:sz w:val="28"/>
          <w:szCs w:val="28"/>
        </w:rPr>
        <w:t>client-</w:t>
      </w:r>
      <w:r w:rsidRPr="004812AE">
        <w:rPr>
          <w:color w:val="000000" w:themeColor="text1"/>
          <w:sz w:val="28"/>
          <w:szCs w:val="28"/>
        </w:rPr>
        <w:t>trust accounts for that work. However, according to the State Bar, more than 4,2</w:t>
      </w:r>
      <w:r w:rsidR="00FD324B" w:rsidRPr="004812AE">
        <w:rPr>
          <w:color w:val="000000" w:themeColor="text1"/>
          <w:sz w:val="28"/>
          <w:szCs w:val="28"/>
        </w:rPr>
        <w:t>00</w:t>
      </w:r>
      <w:r w:rsidRPr="004812AE">
        <w:rPr>
          <w:color w:val="000000" w:themeColor="text1"/>
          <w:sz w:val="28"/>
          <w:szCs w:val="28"/>
        </w:rPr>
        <w:t xml:space="preserve"> State Bar members who have client trust accounts also indicate that their practices include mediation and/or arbitration.</w:t>
      </w:r>
      <w:r w:rsidR="002F743D" w:rsidRPr="004812AE">
        <w:rPr>
          <w:color w:val="000000" w:themeColor="text1"/>
          <w:sz w:val="28"/>
          <w:szCs w:val="28"/>
        </w:rPr>
        <w:t xml:space="preserve"> </w:t>
      </w:r>
      <w:r w:rsidRPr="004812AE">
        <w:rPr>
          <w:sz w:val="28"/>
          <w:szCs w:val="28"/>
        </w:rPr>
        <w:t xml:space="preserve">Among those </w:t>
      </w:r>
      <w:r w:rsidR="002F743D" w:rsidRPr="004812AE">
        <w:rPr>
          <w:sz w:val="28"/>
          <w:szCs w:val="28"/>
        </w:rPr>
        <w:t xml:space="preserve">no doubt </w:t>
      </w:r>
      <w:r w:rsidRPr="004812AE">
        <w:rPr>
          <w:sz w:val="28"/>
          <w:szCs w:val="28"/>
        </w:rPr>
        <w:t>would be many who serve as mediators and arbitrators and who unwittingly may be violating ER 1.15(a) because they (prudently) hold advance fees relating to their third-party service in their client trust accounts.</w:t>
      </w:r>
    </w:p>
    <w:p w14:paraId="5540C834" w14:textId="77777777" w:rsidR="003D4C95" w:rsidRPr="004812AE" w:rsidRDefault="003D4C95" w:rsidP="00D54086">
      <w:pPr>
        <w:spacing w:line="360" w:lineRule="auto"/>
        <w:ind w:firstLine="720"/>
        <w:jc w:val="both"/>
        <w:rPr>
          <w:sz w:val="28"/>
          <w:szCs w:val="28"/>
        </w:rPr>
      </w:pPr>
      <w:r w:rsidRPr="004812AE">
        <w:rPr>
          <w:sz w:val="28"/>
          <w:szCs w:val="28"/>
        </w:rPr>
        <w:t>In addition to resolving this issue for lawyers, allowing additional funds to be deposited in client trust accounts would mean additional IOLTA revenue.</w:t>
      </w:r>
    </w:p>
    <w:p w14:paraId="314D5499" w14:textId="77777777" w:rsidR="003D4C95" w:rsidRPr="004812AE" w:rsidRDefault="003D4C95" w:rsidP="00D54086">
      <w:pPr>
        <w:spacing w:line="360" w:lineRule="auto"/>
        <w:ind w:firstLine="720"/>
        <w:jc w:val="both"/>
        <w:rPr>
          <w:sz w:val="28"/>
          <w:szCs w:val="28"/>
        </w:rPr>
      </w:pPr>
      <w:r w:rsidRPr="004812AE">
        <w:rPr>
          <w:sz w:val="28"/>
          <w:szCs w:val="28"/>
        </w:rPr>
        <w:t>Petitioner, therefore, proposes amending ER 1.15 and Rule 43 to specifically encompass these types of advance fees that are not “in connection with a representation.” A new paragraph (g) would be added to ER 1.15:</w:t>
      </w:r>
    </w:p>
    <w:p w14:paraId="7EB34606" w14:textId="77777777" w:rsidR="003D4C95" w:rsidRPr="004812AE" w:rsidRDefault="003D4C95" w:rsidP="00D54086">
      <w:pPr>
        <w:spacing w:line="360" w:lineRule="auto"/>
        <w:jc w:val="both"/>
        <w:rPr>
          <w:sz w:val="28"/>
          <w:szCs w:val="28"/>
        </w:rPr>
      </w:pPr>
    </w:p>
    <w:p w14:paraId="3E924938" w14:textId="77777777" w:rsidR="003D4C95" w:rsidRPr="004812AE" w:rsidRDefault="003D4C95" w:rsidP="00C70E32">
      <w:pPr>
        <w:ind w:left="720" w:right="720"/>
        <w:jc w:val="both"/>
        <w:rPr>
          <w:sz w:val="28"/>
          <w:szCs w:val="28"/>
          <w:u w:val="single"/>
        </w:rPr>
      </w:pPr>
      <w:r w:rsidRPr="004812AE">
        <w:rPr>
          <w:sz w:val="28"/>
          <w:szCs w:val="28"/>
          <w:u w:val="single"/>
        </w:rPr>
        <w:lastRenderedPageBreak/>
        <w:t>A lawyer who serves as a third-party neutral or as an expert witness may hold funds related to that service that have been paid in advance as provided for in this rule.</w:t>
      </w:r>
    </w:p>
    <w:p w14:paraId="0D0FB8B2" w14:textId="77777777" w:rsidR="003D4C95" w:rsidRPr="004812AE" w:rsidRDefault="003D4C95" w:rsidP="00D54086">
      <w:pPr>
        <w:spacing w:line="360" w:lineRule="auto"/>
        <w:ind w:left="360" w:firstLine="360"/>
        <w:jc w:val="both"/>
        <w:rPr>
          <w:sz w:val="28"/>
          <w:szCs w:val="28"/>
        </w:rPr>
      </w:pPr>
    </w:p>
    <w:p w14:paraId="2F2D45DA" w14:textId="77777777" w:rsidR="003D4C95" w:rsidRPr="004812AE" w:rsidRDefault="003D4C95" w:rsidP="00D54086">
      <w:pPr>
        <w:spacing w:line="360" w:lineRule="auto"/>
        <w:jc w:val="both"/>
        <w:rPr>
          <w:sz w:val="28"/>
          <w:szCs w:val="28"/>
        </w:rPr>
      </w:pPr>
      <w:r w:rsidRPr="004812AE">
        <w:rPr>
          <w:sz w:val="28"/>
          <w:szCs w:val="28"/>
        </w:rPr>
        <w:t>A comment would be added that advises that, if the lawyer chooses to place advance fees in the client trust account, the lawyer must treat those funds the same as any other funds belonging to clients or third parties:</w:t>
      </w:r>
    </w:p>
    <w:p w14:paraId="76DD9715" w14:textId="77777777" w:rsidR="003D4C95" w:rsidRPr="004812AE" w:rsidRDefault="003D4C95" w:rsidP="00D54086">
      <w:pPr>
        <w:spacing w:line="360" w:lineRule="auto"/>
        <w:ind w:left="360"/>
        <w:jc w:val="both"/>
        <w:rPr>
          <w:sz w:val="28"/>
          <w:szCs w:val="28"/>
        </w:rPr>
      </w:pPr>
    </w:p>
    <w:p w14:paraId="2DF9E722" w14:textId="77777777" w:rsidR="003D4C95" w:rsidRPr="004812AE" w:rsidRDefault="003D4C95" w:rsidP="00C70E32">
      <w:pPr>
        <w:ind w:left="720" w:right="720"/>
        <w:jc w:val="both"/>
        <w:rPr>
          <w:sz w:val="28"/>
          <w:szCs w:val="28"/>
          <w:u w:val="single"/>
        </w:rPr>
      </w:pPr>
      <w:r w:rsidRPr="004812AE">
        <w:rPr>
          <w:sz w:val="28"/>
          <w:szCs w:val="28"/>
          <w:u w:val="single"/>
        </w:rPr>
        <w:t>Paragraph (g) permits a lawyer who serves as a third-party neutral or as an expert witness to hold funds related to that service that have been paid in advance in the lawyer’s client trust account. If the lawyer serving as a third-party neutral or an expert witness chooses to do so, all requirements related to client trust accounts apply to those funds.</w:t>
      </w:r>
    </w:p>
    <w:p w14:paraId="6724C968" w14:textId="77777777" w:rsidR="003D4C95" w:rsidRPr="004812AE" w:rsidRDefault="003D4C95" w:rsidP="00D54086">
      <w:pPr>
        <w:spacing w:line="360" w:lineRule="auto"/>
        <w:ind w:left="360"/>
        <w:jc w:val="both"/>
        <w:rPr>
          <w:sz w:val="28"/>
          <w:szCs w:val="28"/>
        </w:rPr>
      </w:pPr>
    </w:p>
    <w:p w14:paraId="094F949E" w14:textId="376754CF" w:rsidR="003D4C95" w:rsidRPr="004812AE" w:rsidRDefault="003D4C95" w:rsidP="00D54086">
      <w:pPr>
        <w:spacing w:line="360" w:lineRule="auto"/>
        <w:jc w:val="both"/>
        <w:rPr>
          <w:sz w:val="28"/>
          <w:szCs w:val="28"/>
        </w:rPr>
      </w:pPr>
      <w:r w:rsidRPr="004812AE">
        <w:rPr>
          <w:sz w:val="28"/>
          <w:szCs w:val="28"/>
        </w:rPr>
        <w:tab/>
        <w:t>In addition, Rule 43(a) would be amended:</w:t>
      </w:r>
    </w:p>
    <w:p w14:paraId="4D053236" w14:textId="77777777" w:rsidR="003D4C95" w:rsidRPr="004812AE" w:rsidRDefault="003D4C95" w:rsidP="00D54086">
      <w:pPr>
        <w:spacing w:line="360" w:lineRule="auto"/>
        <w:jc w:val="both"/>
        <w:rPr>
          <w:sz w:val="28"/>
          <w:szCs w:val="28"/>
        </w:rPr>
      </w:pPr>
    </w:p>
    <w:p w14:paraId="5B642007" w14:textId="0FF86452" w:rsidR="003D4C95" w:rsidRPr="004812AE" w:rsidRDefault="003D4C95" w:rsidP="00C70E32">
      <w:pPr>
        <w:ind w:left="720"/>
        <w:jc w:val="both"/>
        <w:rPr>
          <w:sz w:val="28"/>
          <w:szCs w:val="28"/>
          <w:highlight w:val="yellow"/>
        </w:rPr>
      </w:pPr>
      <w:r w:rsidRPr="004812AE">
        <w:rPr>
          <w:b/>
          <w:bCs/>
          <w:sz w:val="28"/>
          <w:szCs w:val="28"/>
        </w:rPr>
        <w:t>Duty to Deposit Client Funds and Funds Belonging to Third Persons; Deposit of Funds Belonging to the Lawyer or Legal Paraprofessional</w:t>
      </w:r>
      <w:r w:rsidRPr="004812AE">
        <w:rPr>
          <w:sz w:val="28"/>
          <w:szCs w:val="28"/>
        </w:rPr>
        <w:t xml:space="preserve">. Funds belonging in whole or in part to a client or third person in connection with a representation shall be kept separate and apart from the lawyer's or legal paraprofessional's personal and business accounts. All such funds shall be deposited into one or more trust accounts that are labeled as such. </w:t>
      </w:r>
      <w:r w:rsidRPr="004812AE">
        <w:rPr>
          <w:color w:val="212529"/>
          <w:sz w:val="28"/>
          <w:szCs w:val="28"/>
          <w:u w:val="single"/>
          <w:shd w:val="clear" w:color="auto" w:fill="FAFAFA"/>
        </w:rPr>
        <w:t>A lawyer serving as a third-party neutral or as an expert witness may treat funds belonging in whole or in part to a third person in connection with that service in accordance with this rule.</w:t>
      </w:r>
      <w:r w:rsidRPr="00F24F80">
        <w:rPr>
          <w:color w:val="212529"/>
          <w:sz w:val="28"/>
          <w:szCs w:val="28"/>
          <w:shd w:val="clear" w:color="auto" w:fill="FAFAFA"/>
        </w:rPr>
        <w:t xml:space="preserve"> </w:t>
      </w:r>
      <w:r w:rsidRPr="004812AE">
        <w:rPr>
          <w:sz w:val="28"/>
          <w:szCs w:val="28"/>
        </w:rPr>
        <w:t>The location of the trust account shall be controlled by the provisions of ER 1.15(a). No trust account required by this rule may have overdraft protection. No funds belonging to the lawyer, legal paraprofessional, or firm shall be deposited into a trust account established pursuant to this rule except as follows</w:t>
      </w:r>
      <w:r w:rsidR="00C70E32">
        <w:rPr>
          <w:sz w:val="28"/>
          <w:szCs w:val="28"/>
        </w:rPr>
        <w:t>….</w:t>
      </w:r>
    </w:p>
    <w:p w14:paraId="2B2D814A" w14:textId="77777777" w:rsidR="003D4C95" w:rsidRPr="004812AE" w:rsidRDefault="003D4C95" w:rsidP="00D54086">
      <w:pPr>
        <w:spacing w:line="360" w:lineRule="auto"/>
        <w:jc w:val="both"/>
        <w:rPr>
          <w:sz w:val="28"/>
          <w:szCs w:val="28"/>
        </w:rPr>
      </w:pPr>
    </w:p>
    <w:p w14:paraId="0BC5B812" w14:textId="506DF53D" w:rsidR="003D4C95" w:rsidRDefault="003D4C95" w:rsidP="00D54086">
      <w:pPr>
        <w:spacing w:line="360" w:lineRule="auto"/>
        <w:jc w:val="both"/>
        <w:rPr>
          <w:sz w:val="28"/>
          <w:szCs w:val="28"/>
        </w:rPr>
      </w:pPr>
      <w:r w:rsidRPr="004812AE">
        <w:rPr>
          <w:sz w:val="28"/>
          <w:szCs w:val="28"/>
        </w:rPr>
        <w:tab/>
        <w:t>Finally, Petitioner proposes that ER 2.4, which specifically addresses lawyers serving as third-party neutrals, be amended to include a new paragraph (c):</w:t>
      </w:r>
    </w:p>
    <w:p w14:paraId="0184A460" w14:textId="77777777" w:rsidR="00F24F80" w:rsidRPr="004812AE" w:rsidRDefault="00F24F80" w:rsidP="00D54086">
      <w:pPr>
        <w:spacing w:line="360" w:lineRule="auto"/>
        <w:jc w:val="both"/>
        <w:rPr>
          <w:sz w:val="28"/>
          <w:szCs w:val="28"/>
        </w:rPr>
      </w:pPr>
    </w:p>
    <w:p w14:paraId="3B334941" w14:textId="77777777" w:rsidR="003D4C95" w:rsidRPr="004812AE" w:rsidRDefault="003D4C95" w:rsidP="00C70E32">
      <w:pPr>
        <w:ind w:left="720" w:right="720"/>
        <w:jc w:val="both"/>
        <w:rPr>
          <w:sz w:val="28"/>
          <w:szCs w:val="28"/>
          <w:u w:val="single"/>
        </w:rPr>
      </w:pPr>
      <w:r w:rsidRPr="004812AE">
        <w:rPr>
          <w:sz w:val="28"/>
          <w:szCs w:val="28"/>
          <w:u w:val="single"/>
        </w:rPr>
        <w:t xml:space="preserve">A lawyer serving as a third-party neutral may choose to hold advance </w:t>
      </w:r>
      <w:r w:rsidRPr="004812AE">
        <w:rPr>
          <w:sz w:val="28"/>
          <w:szCs w:val="28"/>
          <w:u w:val="single"/>
        </w:rPr>
        <w:lastRenderedPageBreak/>
        <w:t>fees related to service as a third-party neutral in the lawyer’s client trust account in compliance with ER 1.15 and Rule 43.</w:t>
      </w:r>
    </w:p>
    <w:p w14:paraId="398E1DBA" w14:textId="6655D0F9" w:rsidR="003D4C95" w:rsidRPr="004812AE" w:rsidRDefault="003D4C95" w:rsidP="00D54086">
      <w:pPr>
        <w:spacing w:line="360" w:lineRule="auto"/>
        <w:jc w:val="both"/>
        <w:rPr>
          <w:sz w:val="28"/>
          <w:szCs w:val="28"/>
        </w:rPr>
      </w:pPr>
    </w:p>
    <w:p w14:paraId="0F638488" w14:textId="67BE5174" w:rsidR="002F743D" w:rsidRPr="004812AE" w:rsidRDefault="002F743D" w:rsidP="002F743D">
      <w:pPr>
        <w:spacing w:line="360" w:lineRule="auto"/>
        <w:jc w:val="both"/>
        <w:rPr>
          <w:sz w:val="28"/>
          <w:szCs w:val="28"/>
        </w:rPr>
      </w:pPr>
      <w:r w:rsidRPr="004812AE">
        <w:rPr>
          <w:sz w:val="28"/>
          <w:szCs w:val="28"/>
        </w:rPr>
        <w:tab/>
        <w:t xml:space="preserve">These rule changes would not require that lawyers who serve as third-party neutrals or expert witnesses deposit advance fees into their trust </w:t>
      </w:r>
      <w:r w:rsidR="006B4A75" w:rsidRPr="004812AE">
        <w:rPr>
          <w:sz w:val="28"/>
          <w:szCs w:val="28"/>
        </w:rPr>
        <w:t>accounts but</w:t>
      </w:r>
      <w:r w:rsidRPr="004812AE">
        <w:rPr>
          <w:sz w:val="28"/>
          <w:szCs w:val="28"/>
        </w:rPr>
        <w:t xml:space="preserve"> would give them the option to do so.</w:t>
      </w:r>
    </w:p>
    <w:p w14:paraId="6C734D39" w14:textId="77777777" w:rsidR="002F743D" w:rsidRPr="004812AE" w:rsidRDefault="002F743D" w:rsidP="002F743D">
      <w:pPr>
        <w:spacing w:line="360" w:lineRule="auto"/>
        <w:jc w:val="both"/>
        <w:rPr>
          <w:sz w:val="28"/>
          <w:szCs w:val="28"/>
        </w:rPr>
      </w:pPr>
    </w:p>
    <w:p w14:paraId="42A39018" w14:textId="77E02188" w:rsidR="003D4C95" w:rsidRPr="004812AE" w:rsidRDefault="003D4C95" w:rsidP="002F743D">
      <w:pPr>
        <w:spacing w:line="360" w:lineRule="auto"/>
        <w:jc w:val="center"/>
        <w:rPr>
          <w:b/>
          <w:bCs/>
          <w:sz w:val="28"/>
          <w:szCs w:val="28"/>
        </w:rPr>
      </w:pPr>
      <w:r w:rsidRPr="004812AE">
        <w:rPr>
          <w:b/>
          <w:bCs/>
          <w:sz w:val="28"/>
          <w:szCs w:val="28"/>
        </w:rPr>
        <w:t>Conclusion</w:t>
      </w:r>
    </w:p>
    <w:p w14:paraId="17DBBD51" w14:textId="4A0AF518" w:rsidR="003D4C95" w:rsidRPr="004812AE" w:rsidRDefault="003D4C95" w:rsidP="00D54086">
      <w:pPr>
        <w:spacing w:line="360" w:lineRule="auto"/>
        <w:jc w:val="both"/>
        <w:rPr>
          <w:sz w:val="28"/>
          <w:szCs w:val="28"/>
        </w:rPr>
      </w:pPr>
      <w:r w:rsidRPr="004812AE">
        <w:rPr>
          <w:sz w:val="28"/>
          <w:szCs w:val="28"/>
        </w:rPr>
        <w:tab/>
        <w:t xml:space="preserve">Petitioner requests that the Court adopt the proposed rule amendments as attached </w:t>
      </w:r>
      <w:r w:rsidR="002F743D" w:rsidRPr="004812AE">
        <w:rPr>
          <w:sz w:val="28"/>
          <w:szCs w:val="28"/>
        </w:rPr>
        <w:t>in</w:t>
      </w:r>
      <w:r w:rsidRPr="004812AE">
        <w:rPr>
          <w:sz w:val="28"/>
          <w:szCs w:val="28"/>
        </w:rPr>
        <w:t xml:space="preserve"> Appendices A (ER 1.15), B (Rule 43(a)), and C (ER 2.4).</w:t>
      </w:r>
    </w:p>
    <w:p w14:paraId="5A1534CD" w14:textId="73E73BE8" w:rsidR="00472C18" w:rsidRPr="004812AE" w:rsidRDefault="00472C18" w:rsidP="00D54086">
      <w:pPr>
        <w:spacing w:line="360" w:lineRule="auto"/>
        <w:ind w:right="18" w:firstLine="720"/>
        <w:jc w:val="both"/>
        <w:rPr>
          <w:color w:val="000000"/>
          <w:sz w:val="28"/>
          <w:szCs w:val="28"/>
        </w:rPr>
      </w:pPr>
      <w:r w:rsidRPr="004812AE">
        <w:rPr>
          <w:color w:val="000000"/>
          <w:sz w:val="28"/>
          <w:szCs w:val="28"/>
        </w:rPr>
        <w:t>R</w:t>
      </w:r>
      <w:r w:rsidR="00723838" w:rsidRPr="004812AE">
        <w:rPr>
          <w:color w:val="000000"/>
          <w:sz w:val="28"/>
          <w:szCs w:val="28"/>
        </w:rPr>
        <w:t xml:space="preserve">espectfully submitted </w:t>
      </w:r>
      <w:r w:rsidR="005630A0">
        <w:rPr>
          <w:color w:val="000000"/>
          <w:sz w:val="28"/>
          <w:szCs w:val="28"/>
        </w:rPr>
        <w:t xml:space="preserve">January 4, </w:t>
      </w:r>
      <w:r w:rsidR="00856FDA" w:rsidRPr="004812AE">
        <w:rPr>
          <w:color w:val="000000"/>
          <w:sz w:val="28"/>
          <w:szCs w:val="28"/>
        </w:rPr>
        <w:t>202</w:t>
      </w:r>
      <w:r w:rsidR="007F5754">
        <w:rPr>
          <w:color w:val="000000"/>
          <w:sz w:val="28"/>
          <w:szCs w:val="28"/>
        </w:rPr>
        <w:t>3</w:t>
      </w:r>
      <w:r w:rsidRPr="004812AE">
        <w:rPr>
          <w:color w:val="000000"/>
          <w:sz w:val="28"/>
          <w:szCs w:val="28"/>
        </w:rPr>
        <w:t>.</w:t>
      </w:r>
    </w:p>
    <w:p w14:paraId="54113FB1" w14:textId="4DD886AC" w:rsidR="004F33FF" w:rsidRPr="004812AE" w:rsidRDefault="004F33FF" w:rsidP="00D54086">
      <w:pPr>
        <w:spacing w:line="360" w:lineRule="auto"/>
        <w:jc w:val="both"/>
        <w:rPr>
          <w:sz w:val="28"/>
          <w:szCs w:val="28"/>
        </w:rPr>
      </w:pPr>
    </w:p>
    <w:p w14:paraId="7E617376" w14:textId="12714488" w:rsidR="004F33FF" w:rsidRPr="004812AE" w:rsidRDefault="004F33FF" w:rsidP="00D54086">
      <w:pPr>
        <w:spacing w:line="360" w:lineRule="auto"/>
        <w:jc w:val="both"/>
        <w:rPr>
          <w:sz w:val="28"/>
          <w:szCs w:val="28"/>
          <w:u w:val="single"/>
        </w:rPr>
      </w:pPr>
      <w:r w:rsidRPr="004812AE">
        <w:rPr>
          <w:sz w:val="28"/>
          <w:szCs w:val="28"/>
        </w:rPr>
        <w:tab/>
      </w:r>
      <w:r w:rsidRPr="004812AE">
        <w:rPr>
          <w:sz w:val="28"/>
          <w:szCs w:val="28"/>
        </w:rPr>
        <w:tab/>
      </w:r>
      <w:r w:rsidRPr="004812AE">
        <w:rPr>
          <w:sz w:val="28"/>
          <w:szCs w:val="28"/>
        </w:rPr>
        <w:tab/>
      </w:r>
      <w:r w:rsidRPr="004812AE">
        <w:rPr>
          <w:sz w:val="28"/>
          <w:szCs w:val="28"/>
        </w:rPr>
        <w:tab/>
      </w:r>
      <w:r w:rsidRPr="004812AE">
        <w:rPr>
          <w:sz w:val="28"/>
          <w:szCs w:val="28"/>
        </w:rPr>
        <w:tab/>
      </w:r>
      <w:r w:rsidRPr="004812AE">
        <w:rPr>
          <w:sz w:val="28"/>
          <w:szCs w:val="28"/>
        </w:rPr>
        <w:tab/>
      </w:r>
      <w:r w:rsidRPr="004812AE">
        <w:rPr>
          <w:sz w:val="28"/>
          <w:szCs w:val="28"/>
          <w:u w:val="single"/>
        </w:rPr>
        <w:tab/>
      </w:r>
      <w:r w:rsidRPr="004812AE">
        <w:rPr>
          <w:sz w:val="28"/>
          <w:szCs w:val="28"/>
          <w:u w:val="single"/>
        </w:rPr>
        <w:tab/>
      </w:r>
      <w:r w:rsidRPr="004812AE">
        <w:rPr>
          <w:sz w:val="28"/>
          <w:szCs w:val="28"/>
          <w:u w:val="single"/>
        </w:rPr>
        <w:tab/>
      </w:r>
      <w:r w:rsidRPr="004812AE">
        <w:rPr>
          <w:sz w:val="28"/>
          <w:szCs w:val="28"/>
          <w:u w:val="single"/>
        </w:rPr>
        <w:tab/>
      </w:r>
      <w:r w:rsidRPr="004812AE">
        <w:rPr>
          <w:sz w:val="28"/>
          <w:szCs w:val="28"/>
          <w:u w:val="single"/>
        </w:rPr>
        <w:tab/>
      </w:r>
    </w:p>
    <w:p w14:paraId="4F3565FF" w14:textId="77777777" w:rsidR="007F5754" w:rsidRDefault="007F5754" w:rsidP="007F5754">
      <w:pPr>
        <w:ind w:left="4320"/>
        <w:jc w:val="both"/>
        <w:rPr>
          <w:sz w:val="28"/>
          <w:szCs w:val="28"/>
          <w:lang w:val="es-ES"/>
        </w:rPr>
      </w:pPr>
      <w:r w:rsidRPr="00D64F16">
        <w:rPr>
          <w:sz w:val="28"/>
          <w:szCs w:val="28"/>
          <w:lang w:val="es-ES"/>
        </w:rPr>
        <w:t xml:space="preserve">Patricia A. Sallen </w:t>
      </w:r>
    </w:p>
    <w:p w14:paraId="1BE5425B" w14:textId="77777777" w:rsidR="007F5754" w:rsidRDefault="007F5754" w:rsidP="007F5754">
      <w:pPr>
        <w:ind w:left="4320"/>
        <w:jc w:val="both"/>
        <w:rPr>
          <w:sz w:val="28"/>
          <w:szCs w:val="28"/>
          <w:lang w:val="es-ES"/>
        </w:rPr>
      </w:pPr>
      <w:r>
        <w:rPr>
          <w:sz w:val="28"/>
          <w:szCs w:val="28"/>
          <w:lang w:val="es-ES"/>
        </w:rPr>
        <w:t xml:space="preserve">Ethics at </w:t>
      </w:r>
      <w:proofErr w:type="spellStart"/>
      <w:r>
        <w:rPr>
          <w:sz w:val="28"/>
          <w:szCs w:val="28"/>
          <w:lang w:val="es-ES"/>
        </w:rPr>
        <w:t>Law</w:t>
      </w:r>
      <w:proofErr w:type="spellEnd"/>
      <w:r>
        <w:rPr>
          <w:sz w:val="28"/>
          <w:szCs w:val="28"/>
          <w:lang w:val="es-ES"/>
        </w:rPr>
        <w:t xml:space="preserve"> PLLC</w:t>
      </w:r>
    </w:p>
    <w:p w14:paraId="2D139602" w14:textId="77777777" w:rsidR="005630A0" w:rsidRDefault="007F5754" w:rsidP="005630A0">
      <w:pPr>
        <w:ind w:left="4320"/>
        <w:jc w:val="both"/>
        <w:rPr>
          <w:sz w:val="28"/>
          <w:szCs w:val="28"/>
          <w:lang w:val="es-ES"/>
        </w:rPr>
      </w:pPr>
      <w:proofErr w:type="spellStart"/>
      <w:r>
        <w:rPr>
          <w:sz w:val="28"/>
          <w:szCs w:val="28"/>
          <w:lang w:val="es-ES"/>
        </w:rPr>
        <w:t>Attorney</w:t>
      </w:r>
      <w:proofErr w:type="spellEnd"/>
      <w:r>
        <w:rPr>
          <w:sz w:val="28"/>
          <w:szCs w:val="28"/>
          <w:lang w:val="es-ES"/>
        </w:rPr>
        <w:t xml:space="preserve"> </w:t>
      </w:r>
      <w:proofErr w:type="spellStart"/>
      <w:r>
        <w:rPr>
          <w:sz w:val="28"/>
          <w:szCs w:val="28"/>
          <w:lang w:val="es-ES"/>
        </w:rPr>
        <w:t>for</w:t>
      </w:r>
      <w:proofErr w:type="spellEnd"/>
      <w:r>
        <w:rPr>
          <w:sz w:val="28"/>
          <w:szCs w:val="28"/>
          <w:lang w:val="es-ES"/>
        </w:rPr>
        <w:t xml:space="preserve"> </w:t>
      </w:r>
      <w:proofErr w:type="spellStart"/>
      <w:r>
        <w:rPr>
          <w:sz w:val="28"/>
          <w:szCs w:val="28"/>
          <w:lang w:val="es-ES"/>
        </w:rPr>
        <w:t>Petitioner</w:t>
      </w:r>
      <w:proofErr w:type="spellEnd"/>
      <w:r>
        <w:rPr>
          <w:sz w:val="28"/>
          <w:szCs w:val="28"/>
          <w:lang w:val="es-ES"/>
        </w:rPr>
        <w:t xml:space="preserve"> </w:t>
      </w:r>
    </w:p>
    <w:p w14:paraId="689CE42D" w14:textId="4D5ABD0E" w:rsidR="007F5754" w:rsidRDefault="007F5754" w:rsidP="005630A0">
      <w:pPr>
        <w:ind w:left="4320" w:firstLine="720"/>
        <w:jc w:val="both"/>
        <w:rPr>
          <w:sz w:val="28"/>
          <w:szCs w:val="28"/>
          <w:lang w:val="es-ES"/>
        </w:rPr>
      </w:pPr>
      <w:r>
        <w:rPr>
          <w:sz w:val="28"/>
          <w:szCs w:val="28"/>
          <w:lang w:val="es-ES"/>
        </w:rPr>
        <w:t xml:space="preserve">Arizona Bar </w:t>
      </w:r>
      <w:r w:rsidRPr="00A144F4">
        <w:rPr>
          <w:sz w:val="28"/>
          <w:szCs w:val="28"/>
        </w:rPr>
        <w:t>Foundation</w:t>
      </w:r>
    </w:p>
    <w:p w14:paraId="2F1EFC66" w14:textId="0B0AF56C" w:rsidR="004F33FF" w:rsidRPr="004812AE" w:rsidRDefault="004F33FF" w:rsidP="00D54086">
      <w:pPr>
        <w:spacing w:line="360" w:lineRule="auto"/>
        <w:ind w:left="3600" w:firstLine="720"/>
        <w:jc w:val="both"/>
        <w:rPr>
          <w:sz w:val="28"/>
          <w:szCs w:val="28"/>
        </w:rPr>
      </w:pPr>
    </w:p>
    <w:p w14:paraId="505C9C9F" w14:textId="7F097B35" w:rsidR="000E077E" w:rsidRPr="004812AE" w:rsidRDefault="000E077E" w:rsidP="006B4BB3">
      <w:pPr>
        <w:widowControl/>
        <w:autoSpaceDE/>
        <w:autoSpaceDN/>
        <w:adjustRightInd/>
        <w:rPr>
          <w:sz w:val="28"/>
          <w:szCs w:val="28"/>
        </w:rPr>
      </w:pPr>
    </w:p>
    <w:sectPr w:rsidR="000E077E" w:rsidRPr="004812AE" w:rsidSect="0086011A">
      <w:footerReference w:type="default" r:id="rId8"/>
      <w:pgSz w:w="12240" w:h="15840"/>
      <w:pgMar w:top="1440" w:right="1440" w:bottom="1440" w:left="1440" w:header="720" w:footer="432"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9CAAB" w14:textId="77777777" w:rsidR="00843BD6" w:rsidRDefault="00843BD6" w:rsidP="007B1902">
      <w:r>
        <w:separator/>
      </w:r>
    </w:p>
  </w:endnote>
  <w:endnote w:type="continuationSeparator" w:id="0">
    <w:p w14:paraId="4ED03D36" w14:textId="77777777" w:rsidR="00843BD6" w:rsidRDefault="00843BD6" w:rsidP="007B1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4849806"/>
      <w:docPartObj>
        <w:docPartGallery w:val="Page Numbers (Bottom of Page)"/>
        <w:docPartUnique/>
      </w:docPartObj>
    </w:sdtPr>
    <w:sdtEndPr>
      <w:rPr>
        <w:noProof/>
        <w:sz w:val="28"/>
        <w:szCs w:val="28"/>
      </w:rPr>
    </w:sdtEndPr>
    <w:sdtContent>
      <w:p w14:paraId="0C0792B5" w14:textId="77777777" w:rsidR="00AA0A3C" w:rsidRPr="00353DFA" w:rsidRDefault="00AA0A3C">
        <w:pPr>
          <w:pStyle w:val="Footer"/>
          <w:jc w:val="center"/>
          <w:rPr>
            <w:sz w:val="28"/>
            <w:szCs w:val="28"/>
          </w:rPr>
        </w:pPr>
        <w:r w:rsidRPr="00135D9B">
          <w:rPr>
            <w:sz w:val="21"/>
            <w:szCs w:val="21"/>
          </w:rPr>
          <w:fldChar w:fldCharType="begin"/>
        </w:r>
        <w:r w:rsidRPr="00135D9B">
          <w:rPr>
            <w:sz w:val="21"/>
            <w:szCs w:val="21"/>
          </w:rPr>
          <w:instrText xml:space="preserve"> PAGE   \* MERGEFORMAT </w:instrText>
        </w:r>
        <w:r w:rsidRPr="00135D9B">
          <w:rPr>
            <w:sz w:val="21"/>
            <w:szCs w:val="21"/>
          </w:rPr>
          <w:fldChar w:fldCharType="separate"/>
        </w:r>
        <w:r w:rsidR="00EB3C34" w:rsidRPr="00135D9B">
          <w:rPr>
            <w:noProof/>
            <w:sz w:val="21"/>
            <w:szCs w:val="21"/>
          </w:rPr>
          <w:t>10</w:t>
        </w:r>
        <w:r w:rsidRPr="00135D9B">
          <w:rPr>
            <w:noProof/>
            <w:sz w:val="21"/>
            <w:szCs w:val="21"/>
          </w:rPr>
          <w:fldChar w:fldCharType="end"/>
        </w:r>
      </w:p>
    </w:sdtContent>
  </w:sdt>
  <w:p w14:paraId="1993E566" w14:textId="77777777" w:rsidR="00AA0A3C" w:rsidRDefault="00AA0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D0C3E" w14:textId="77777777" w:rsidR="00843BD6" w:rsidRDefault="00843BD6" w:rsidP="007B1902">
      <w:r>
        <w:separator/>
      </w:r>
    </w:p>
  </w:footnote>
  <w:footnote w:type="continuationSeparator" w:id="0">
    <w:p w14:paraId="712FE84F" w14:textId="77777777" w:rsidR="00843BD6" w:rsidRDefault="00843BD6" w:rsidP="007B1902">
      <w:r>
        <w:continuationSeparator/>
      </w:r>
    </w:p>
  </w:footnote>
  <w:footnote w:id="1">
    <w:p w14:paraId="4080536D" w14:textId="4D8A4415" w:rsidR="005630A0" w:rsidRPr="005630A0" w:rsidRDefault="005630A0">
      <w:pPr>
        <w:pStyle w:val="FootnoteText"/>
        <w:rPr>
          <w:sz w:val="28"/>
          <w:szCs w:val="28"/>
        </w:rPr>
      </w:pPr>
      <w:r w:rsidRPr="005630A0">
        <w:rPr>
          <w:rStyle w:val="FootnoteReference"/>
          <w:vertAlign w:val="superscript"/>
        </w:rPr>
        <w:footnoteRef/>
      </w:r>
      <w:r w:rsidRPr="005630A0">
        <w:rPr>
          <w:sz w:val="28"/>
          <w:szCs w:val="28"/>
        </w:rPr>
        <w:t xml:space="preserve"> Available at https://www.azbar.org/for-lawyers/ethics/ethics-opinions/</w:t>
      </w:r>
    </w:p>
    <w:p w14:paraId="001907FD" w14:textId="77777777" w:rsidR="005630A0" w:rsidRDefault="005630A0">
      <w:pPr>
        <w:pStyle w:val="FootnoteText"/>
      </w:pPr>
    </w:p>
  </w:footnote>
  <w:footnote w:id="2">
    <w:p w14:paraId="64789AA1" w14:textId="02A86777" w:rsidR="005630A0" w:rsidRDefault="005630A0">
      <w:pPr>
        <w:pStyle w:val="FootnoteText"/>
      </w:pPr>
      <w:r w:rsidRPr="005630A0">
        <w:rPr>
          <w:rStyle w:val="FootnoteReference"/>
          <w:vertAlign w:val="superscript"/>
        </w:rPr>
        <w:footnoteRef/>
      </w:r>
      <w:r w:rsidRPr="005630A0">
        <w:rPr>
          <w:vertAlign w:val="superscript"/>
        </w:rPr>
        <w:t xml:space="preserve"> </w:t>
      </w:r>
      <w:r w:rsidRPr="005630A0">
        <w:rPr>
          <w:sz w:val="28"/>
          <w:szCs w:val="28"/>
        </w:rPr>
        <w:t>Available at https://www.osbar.org/_docs/ethics/2005-135.pdf</w:t>
      </w:r>
      <w:r>
        <w:t>.</w:t>
      </w:r>
    </w:p>
  </w:footnote>
  <w:footnote w:id="3">
    <w:p w14:paraId="619A5469" w14:textId="42BB8105" w:rsidR="005630A0" w:rsidRPr="007F5754" w:rsidRDefault="003D4C95" w:rsidP="003D4C95">
      <w:pPr>
        <w:pStyle w:val="FootnoteText"/>
        <w:jc w:val="both"/>
        <w:rPr>
          <w:sz w:val="28"/>
          <w:szCs w:val="28"/>
        </w:rPr>
      </w:pPr>
      <w:r w:rsidRPr="007F5754">
        <w:rPr>
          <w:rStyle w:val="FootnoteReference"/>
          <w:vertAlign w:val="superscript"/>
        </w:rPr>
        <w:footnoteRef/>
      </w:r>
      <w:r w:rsidRPr="007F5754">
        <w:rPr>
          <w:vertAlign w:val="superscript"/>
        </w:rPr>
        <w:t xml:space="preserve"> </w:t>
      </w:r>
      <w:r w:rsidRPr="007F5754">
        <w:rPr>
          <w:sz w:val="28"/>
          <w:szCs w:val="28"/>
        </w:rPr>
        <w:t>Oregon Rule 1.15-1(a): “A lawyer shall hold property of clients or third persons that is in a lawyer's possession separate from the lawyer's own property. Funds, including advances for costs and expenses and escrow and other funds held for another, shall be kept in a separate ‘Lawyer Trust Account’ maintained in the jurisdiction where the lawyer's office is situated….”</w:t>
      </w:r>
      <w:r w:rsidR="005630A0">
        <w:rPr>
          <w:sz w:val="28"/>
          <w:szCs w:val="28"/>
        </w:rPr>
        <w:t xml:space="preserve"> Rule available at </w:t>
      </w:r>
      <w:r w:rsidR="005630A0" w:rsidRPr="005630A0">
        <w:rPr>
          <w:sz w:val="28"/>
          <w:szCs w:val="28"/>
        </w:rPr>
        <w:t>https://www.osbar.org/_docs/rulesregs/orpc.pdf</w:t>
      </w:r>
      <w:r w:rsidR="005630A0">
        <w:rPr>
          <w:sz w:val="28"/>
          <w:szCs w:val="28"/>
        </w:rPr>
        <w:t>.</w:t>
      </w:r>
    </w:p>
  </w:footnote>
  <w:footnote w:id="4">
    <w:p w14:paraId="0AD2A780" w14:textId="07169323" w:rsidR="00B9368F" w:rsidRPr="007F5754" w:rsidRDefault="00B9368F">
      <w:pPr>
        <w:pStyle w:val="FootnoteText"/>
        <w:rPr>
          <w:sz w:val="28"/>
          <w:szCs w:val="28"/>
        </w:rPr>
      </w:pPr>
      <w:r w:rsidRPr="007F5754">
        <w:rPr>
          <w:rStyle w:val="FootnoteReference"/>
          <w:vertAlign w:val="superscript"/>
        </w:rPr>
        <w:footnoteRef/>
      </w:r>
      <w:r w:rsidRPr="007F5754">
        <w:rPr>
          <w:vertAlign w:val="superscript"/>
        </w:rPr>
        <w:t xml:space="preserve"> </w:t>
      </w:r>
      <w:r w:rsidR="008B33A6" w:rsidRPr="007F5754">
        <w:rPr>
          <w:sz w:val="28"/>
          <w:szCs w:val="28"/>
        </w:rPr>
        <w:t>Rule available at</w:t>
      </w:r>
      <w:r w:rsidR="008B33A6" w:rsidRPr="007F5754">
        <w:rPr>
          <w:i/>
          <w:iCs/>
          <w:sz w:val="28"/>
          <w:szCs w:val="28"/>
        </w:rPr>
        <w:t xml:space="preserve"> </w:t>
      </w:r>
      <w:r w:rsidRPr="005630A0">
        <w:rPr>
          <w:sz w:val="28"/>
          <w:szCs w:val="28"/>
        </w:rPr>
        <w:t>https://www.calbar.ca.gov/Portals/0/documents/rules/New-Rules-of-Professional-Conduct-2018.pdf</w:t>
      </w:r>
      <w:r w:rsidRPr="007F5754">
        <w:rPr>
          <w:color w:val="000000"/>
          <w:sz w:val="28"/>
          <w:szCs w:val="28"/>
        </w:rPr>
        <w:t>.</w:t>
      </w:r>
    </w:p>
  </w:footnote>
  <w:footnote w:id="5">
    <w:p w14:paraId="31A40A92" w14:textId="02FEFBE4" w:rsidR="006F6C3D" w:rsidRPr="007F5754" w:rsidRDefault="006F6C3D">
      <w:pPr>
        <w:pStyle w:val="FootnoteText"/>
        <w:rPr>
          <w:sz w:val="28"/>
          <w:szCs w:val="28"/>
        </w:rPr>
      </w:pPr>
      <w:r w:rsidRPr="007F5754">
        <w:rPr>
          <w:rStyle w:val="FootnoteReference"/>
          <w:vertAlign w:val="superscript"/>
        </w:rPr>
        <w:footnoteRef/>
      </w:r>
      <w:r>
        <w:t xml:space="preserve"> </w:t>
      </w:r>
      <w:r w:rsidRPr="007F5754">
        <w:rPr>
          <w:sz w:val="28"/>
          <w:szCs w:val="28"/>
        </w:rPr>
        <w:t>The</w:t>
      </w:r>
      <w:r w:rsidRPr="007F5754">
        <w:rPr>
          <w:i/>
          <w:iCs/>
          <w:sz w:val="28"/>
          <w:szCs w:val="28"/>
        </w:rPr>
        <w:t xml:space="preserve"> </w:t>
      </w:r>
      <w:r w:rsidRPr="007F5754">
        <w:rPr>
          <w:sz w:val="28"/>
          <w:szCs w:val="28"/>
        </w:rPr>
        <w:t xml:space="preserve">executive summary of the rule, which includes the California commission’s explanations for the proposed changes, is available at </w:t>
      </w:r>
      <w:r w:rsidRPr="005630A0">
        <w:rPr>
          <w:sz w:val="28"/>
          <w:szCs w:val="28"/>
        </w:rPr>
        <w:t>https://www.calbar.ca.gov/Portals/0/documents/rules/Rule_1.15-Exec_Summary-Redline.pdf</w:t>
      </w:r>
      <w:r w:rsidRPr="007F5754">
        <w:rPr>
          <w:sz w:val="28"/>
          <w:szCs w:val="2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58E2"/>
    <w:multiLevelType w:val="hybridMultilevel"/>
    <w:tmpl w:val="4372D6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5F48BD"/>
    <w:multiLevelType w:val="hybridMultilevel"/>
    <w:tmpl w:val="C7767C02"/>
    <w:lvl w:ilvl="0" w:tplc="15907480">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86474F"/>
    <w:multiLevelType w:val="hybridMultilevel"/>
    <w:tmpl w:val="FEB02CA0"/>
    <w:lvl w:ilvl="0" w:tplc="FE3040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BF58A6"/>
    <w:multiLevelType w:val="hybridMultilevel"/>
    <w:tmpl w:val="D7489B10"/>
    <w:lvl w:ilvl="0" w:tplc="9556A0CA">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DA6275"/>
    <w:multiLevelType w:val="hybridMultilevel"/>
    <w:tmpl w:val="FD5A0D74"/>
    <w:lvl w:ilvl="0" w:tplc="66449476">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4380E5C"/>
    <w:multiLevelType w:val="hybridMultilevel"/>
    <w:tmpl w:val="3A2E61C0"/>
    <w:lvl w:ilvl="0" w:tplc="BE9CF9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5A6320F"/>
    <w:multiLevelType w:val="hybridMultilevel"/>
    <w:tmpl w:val="F61AF4B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D07103"/>
    <w:multiLevelType w:val="hybridMultilevel"/>
    <w:tmpl w:val="536CE192"/>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8" w15:restartNumberingAfterBreak="0">
    <w:nsid w:val="566D5388"/>
    <w:multiLevelType w:val="hybridMultilevel"/>
    <w:tmpl w:val="7A50B0E0"/>
    <w:lvl w:ilvl="0" w:tplc="2422A3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6303E0"/>
    <w:multiLevelType w:val="hybridMultilevel"/>
    <w:tmpl w:val="20CEF8A6"/>
    <w:lvl w:ilvl="0" w:tplc="5740B17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A0709F"/>
    <w:multiLevelType w:val="hybridMultilevel"/>
    <w:tmpl w:val="BD72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D0751"/>
    <w:multiLevelType w:val="hybridMultilevel"/>
    <w:tmpl w:val="83362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AA63B6E"/>
    <w:multiLevelType w:val="hybridMultilevel"/>
    <w:tmpl w:val="3050D2B6"/>
    <w:lvl w:ilvl="0" w:tplc="8EE20B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945CD2"/>
    <w:multiLevelType w:val="hybridMultilevel"/>
    <w:tmpl w:val="C6566B38"/>
    <w:lvl w:ilvl="0" w:tplc="971481B0">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066F24"/>
    <w:multiLevelType w:val="multilevel"/>
    <w:tmpl w:val="15CA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61037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4184863">
    <w:abstractNumId w:val="13"/>
  </w:num>
  <w:num w:numId="3" w16cid:durableId="776027664">
    <w:abstractNumId w:val="4"/>
  </w:num>
  <w:num w:numId="4" w16cid:durableId="483013690">
    <w:abstractNumId w:val="10"/>
  </w:num>
  <w:num w:numId="5" w16cid:durableId="1699046304">
    <w:abstractNumId w:val="2"/>
  </w:num>
  <w:num w:numId="6" w16cid:durableId="152110839">
    <w:abstractNumId w:val="1"/>
  </w:num>
  <w:num w:numId="7" w16cid:durableId="577249287">
    <w:abstractNumId w:val="6"/>
  </w:num>
  <w:num w:numId="8" w16cid:durableId="516694457">
    <w:abstractNumId w:val="3"/>
  </w:num>
  <w:num w:numId="9" w16cid:durableId="152374379">
    <w:abstractNumId w:val="11"/>
  </w:num>
  <w:num w:numId="10" w16cid:durableId="1713072631">
    <w:abstractNumId w:val="8"/>
  </w:num>
  <w:num w:numId="11" w16cid:durableId="2039815140">
    <w:abstractNumId w:val="14"/>
  </w:num>
  <w:num w:numId="12" w16cid:durableId="409158686">
    <w:abstractNumId w:val="0"/>
  </w:num>
  <w:num w:numId="13" w16cid:durableId="1651447300">
    <w:abstractNumId w:val="7"/>
  </w:num>
  <w:num w:numId="14" w16cid:durableId="760953862">
    <w:abstractNumId w:val="9"/>
  </w:num>
  <w:num w:numId="15" w16cid:durableId="36511710">
    <w:abstractNumId w:val="5"/>
  </w:num>
  <w:num w:numId="16" w16cid:durableId="16165242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8"/>
  <w:removePersonalInformation/>
  <w:removeDateAndTime/>
  <w:embedSystemFonts/>
  <w:bordersDoNotSurroundHeader/>
  <w:bordersDoNotSurroundFooter/>
  <w:activeWritingStyle w:appName="MSWord" w:lang="es-ES"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D7A"/>
    <w:rsid w:val="00000A80"/>
    <w:rsid w:val="0000412D"/>
    <w:rsid w:val="000129DE"/>
    <w:rsid w:val="00013480"/>
    <w:rsid w:val="00015EF8"/>
    <w:rsid w:val="0001600A"/>
    <w:rsid w:val="000165CE"/>
    <w:rsid w:val="00021357"/>
    <w:rsid w:val="0002191D"/>
    <w:rsid w:val="00025175"/>
    <w:rsid w:val="0002675D"/>
    <w:rsid w:val="00027B80"/>
    <w:rsid w:val="00030160"/>
    <w:rsid w:val="0003216B"/>
    <w:rsid w:val="000434D0"/>
    <w:rsid w:val="00043BF9"/>
    <w:rsid w:val="00062D8B"/>
    <w:rsid w:val="00064B3B"/>
    <w:rsid w:val="0007020D"/>
    <w:rsid w:val="0007135F"/>
    <w:rsid w:val="00082E05"/>
    <w:rsid w:val="00083D7A"/>
    <w:rsid w:val="00084046"/>
    <w:rsid w:val="0008675F"/>
    <w:rsid w:val="00086A2C"/>
    <w:rsid w:val="00092683"/>
    <w:rsid w:val="000947B0"/>
    <w:rsid w:val="000A5901"/>
    <w:rsid w:val="000C6AEA"/>
    <w:rsid w:val="000C7860"/>
    <w:rsid w:val="000D1B07"/>
    <w:rsid w:val="000D3A5A"/>
    <w:rsid w:val="000D405F"/>
    <w:rsid w:val="000D5EDC"/>
    <w:rsid w:val="000D6713"/>
    <w:rsid w:val="000D78AB"/>
    <w:rsid w:val="000E077E"/>
    <w:rsid w:val="000E5D9C"/>
    <w:rsid w:val="000E5E55"/>
    <w:rsid w:val="000E762B"/>
    <w:rsid w:val="000F2721"/>
    <w:rsid w:val="000F340F"/>
    <w:rsid w:val="000F6188"/>
    <w:rsid w:val="000F723D"/>
    <w:rsid w:val="00102ADC"/>
    <w:rsid w:val="00116074"/>
    <w:rsid w:val="00116676"/>
    <w:rsid w:val="00135D9B"/>
    <w:rsid w:val="00136D96"/>
    <w:rsid w:val="001446C1"/>
    <w:rsid w:val="00150F49"/>
    <w:rsid w:val="0015608B"/>
    <w:rsid w:val="00156155"/>
    <w:rsid w:val="00162698"/>
    <w:rsid w:val="00162A9E"/>
    <w:rsid w:val="00162ACF"/>
    <w:rsid w:val="00162BC2"/>
    <w:rsid w:val="00162DA6"/>
    <w:rsid w:val="00163522"/>
    <w:rsid w:val="001709B9"/>
    <w:rsid w:val="00170C01"/>
    <w:rsid w:val="00174886"/>
    <w:rsid w:val="00176991"/>
    <w:rsid w:val="00182572"/>
    <w:rsid w:val="00191B7C"/>
    <w:rsid w:val="00191BFD"/>
    <w:rsid w:val="00197F5E"/>
    <w:rsid w:val="001A7CE9"/>
    <w:rsid w:val="001A7EC9"/>
    <w:rsid w:val="001B509F"/>
    <w:rsid w:val="001B7D2B"/>
    <w:rsid w:val="001C31D0"/>
    <w:rsid w:val="001C45C2"/>
    <w:rsid w:val="001C6E50"/>
    <w:rsid w:val="001D035E"/>
    <w:rsid w:val="001D1922"/>
    <w:rsid w:val="001D2E70"/>
    <w:rsid w:val="001D41C2"/>
    <w:rsid w:val="001E0E4D"/>
    <w:rsid w:val="001E12C9"/>
    <w:rsid w:val="001E144F"/>
    <w:rsid w:val="001E1475"/>
    <w:rsid w:val="001E37B7"/>
    <w:rsid w:val="001E3BCF"/>
    <w:rsid w:val="001E5D95"/>
    <w:rsid w:val="001F1128"/>
    <w:rsid w:val="001F40ED"/>
    <w:rsid w:val="001F7E4A"/>
    <w:rsid w:val="00202DB0"/>
    <w:rsid w:val="002031EB"/>
    <w:rsid w:val="00210BDE"/>
    <w:rsid w:val="002110DD"/>
    <w:rsid w:val="002170D3"/>
    <w:rsid w:val="00225A67"/>
    <w:rsid w:val="00230115"/>
    <w:rsid w:val="00237115"/>
    <w:rsid w:val="00240548"/>
    <w:rsid w:val="00240A5E"/>
    <w:rsid w:val="00240E94"/>
    <w:rsid w:val="00243409"/>
    <w:rsid w:val="00245D8F"/>
    <w:rsid w:val="00261D23"/>
    <w:rsid w:val="00263694"/>
    <w:rsid w:val="0026391D"/>
    <w:rsid w:val="0026653A"/>
    <w:rsid w:val="002665A7"/>
    <w:rsid w:val="00270326"/>
    <w:rsid w:val="002750DF"/>
    <w:rsid w:val="00277FEA"/>
    <w:rsid w:val="00284FBD"/>
    <w:rsid w:val="0028522D"/>
    <w:rsid w:val="00286EC4"/>
    <w:rsid w:val="00287BC0"/>
    <w:rsid w:val="00291C6C"/>
    <w:rsid w:val="002941F1"/>
    <w:rsid w:val="00294AD7"/>
    <w:rsid w:val="00294D35"/>
    <w:rsid w:val="00297270"/>
    <w:rsid w:val="00297E31"/>
    <w:rsid w:val="002A72A2"/>
    <w:rsid w:val="002A7CE6"/>
    <w:rsid w:val="002B1B1F"/>
    <w:rsid w:val="002B7C7E"/>
    <w:rsid w:val="002C329E"/>
    <w:rsid w:val="002C4095"/>
    <w:rsid w:val="002C5711"/>
    <w:rsid w:val="002C7394"/>
    <w:rsid w:val="002C7824"/>
    <w:rsid w:val="002D4B04"/>
    <w:rsid w:val="002D6DCB"/>
    <w:rsid w:val="002D77E0"/>
    <w:rsid w:val="002E08D2"/>
    <w:rsid w:val="002E0A67"/>
    <w:rsid w:val="002E5402"/>
    <w:rsid w:val="002F2277"/>
    <w:rsid w:val="002F4049"/>
    <w:rsid w:val="002F41E8"/>
    <w:rsid w:val="002F4B26"/>
    <w:rsid w:val="002F5D60"/>
    <w:rsid w:val="002F6B54"/>
    <w:rsid w:val="002F743D"/>
    <w:rsid w:val="003115EC"/>
    <w:rsid w:val="00315A15"/>
    <w:rsid w:val="003235E1"/>
    <w:rsid w:val="003242B7"/>
    <w:rsid w:val="003267A3"/>
    <w:rsid w:val="00336232"/>
    <w:rsid w:val="0034408B"/>
    <w:rsid w:val="00344655"/>
    <w:rsid w:val="00345248"/>
    <w:rsid w:val="00353DFA"/>
    <w:rsid w:val="003640FD"/>
    <w:rsid w:val="00366A98"/>
    <w:rsid w:val="003672AB"/>
    <w:rsid w:val="00372CAE"/>
    <w:rsid w:val="00375B35"/>
    <w:rsid w:val="00376CDD"/>
    <w:rsid w:val="0038135C"/>
    <w:rsid w:val="003816DE"/>
    <w:rsid w:val="00383F5C"/>
    <w:rsid w:val="00386B61"/>
    <w:rsid w:val="0039187B"/>
    <w:rsid w:val="00393BA1"/>
    <w:rsid w:val="003A06CC"/>
    <w:rsid w:val="003A098E"/>
    <w:rsid w:val="003A5D69"/>
    <w:rsid w:val="003B139D"/>
    <w:rsid w:val="003B1696"/>
    <w:rsid w:val="003B4BF4"/>
    <w:rsid w:val="003B6010"/>
    <w:rsid w:val="003B6BE9"/>
    <w:rsid w:val="003C0C10"/>
    <w:rsid w:val="003C22D5"/>
    <w:rsid w:val="003C7308"/>
    <w:rsid w:val="003D4469"/>
    <w:rsid w:val="003D4BF2"/>
    <w:rsid w:val="003D4C95"/>
    <w:rsid w:val="003E093F"/>
    <w:rsid w:val="003E1715"/>
    <w:rsid w:val="003E45D1"/>
    <w:rsid w:val="003E47DF"/>
    <w:rsid w:val="003F46D6"/>
    <w:rsid w:val="003F63EE"/>
    <w:rsid w:val="00401DCA"/>
    <w:rsid w:val="00402DEF"/>
    <w:rsid w:val="0040695C"/>
    <w:rsid w:val="00410B01"/>
    <w:rsid w:val="00414631"/>
    <w:rsid w:val="004162D2"/>
    <w:rsid w:val="0042007C"/>
    <w:rsid w:val="00421B56"/>
    <w:rsid w:val="0042356C"/>
    <w:rsid w:val="00426F92"/>
    <w:rsid w:val="00430DF4"/>
    <w:rsid w:val="0043305D"/>
    <w:rsid w:val="00436459"/>
    <w:rsid w:val="00443BB2"/>
    <w:rsid w:val="00451CC7"/>
    <w:rsid w:val="00452E3D"/>
    <w:rsid w:val="004576B0"/>
    <w:rsid w:val="00461060"/>
    <w:rsid w:val="0046218B"/>
    <w:rsid w:val="00465102"/>
    <w:rsid w:val="00466918"/>
    <w:rsid w:val="00466ECC"/>
    <w:rsid w:val="00467166"/>
    <w:rsid w:val="004673EC"/>
    <w:rsid w:val="0046785A"/>
    <w:rsid w:val="004704D5"/>
    <w:rsid w:val="00472C18"/>
    <w:rsid w:val="00473A50"/>
    <w:rsid w:val="004805F2"/>
    <w:rsid w:val="004812AE"/>
    <w:rsid w:val="00482442"/>
    <w:rsid w:val="00492FE2"/>
    <w:rsid w:val="0049394C"/>
    <w:rsid w:val="00493DA5"/>
    <w:rsid w:val="00494378"/>
    <w:rsid w:val="004A1116"/>
    <w:rsid w:val="004A1DA1"/>
    <w:rsid w:val="004B27F7"/>
    <w:rsid w:val="004B5C3E"/>
    <w:rsid w:val="004C0376"/>
    <w:rsid w:val="004D1F8E"/>
    <w:rsid w:val="004D5309"/>
    <w:rsid w:val="004E4130"/>
    <w:rsid w:val="004E68C8"/>
    <w:rsid w:val="004F084A"/>
    <w:rsid w:val="004F303C"/>
    <w:rsid w:val="004F33FF"/>
    <w:rsid w:val="004F514D"/>
    <w:rsid w:val="005007D4"/>
    <w:rsid w:val="00501BA2"/>
    <w:rsid w:val="005036B2"/>
    <w:rsid w:val="00503987"/>
    <w:rsid w:val="005060AD"/>
    <w:rsid w:val="0050664A"/>
    <w:rsid w:val="00514A65"/>
    <w:rsid w:val="0052680E"/>
    <w:rsid w:val="00526CA6"/>
    <w:rsid w:val="0052767A"/>
    <w:rsid w:val="0053734A"/>
    <w:rsid w:val="00541978"/>
    <w:rsid w:val="00542C16"/>
    <w:rsid w:val="005448E7"/>
    <w:rsid w:val="005504F6"/>
    <w:rsid w:val="005509BD"/>
    <w:rsid w:val="00551965"/>
    <w:rsid w:val="005532BA"/>
    <w:rsid w:val="00553568"/>
    <w:rsid w:val="00554BF3"/>
    <w:rsid w:val="00560228"/>
    <w:rsid w:val="00560513"/>
    <w:rsid w:val="00561949"/>
    <w:rsid w:val="00562A43"/>
    <w:rsid w:val="005630A0"/>
    <w:rsid w:val="00565EF5"/>
    <w:rsid w:val="00567E2B"/>
    <w:rsid w:val="0057145A"/>
    <w:rsid w:val="00575251"/>
    <w:rsid w:val="00576CAF"/>
    <w:rsid w:val="00577254"/>
    <w:rsid w:val="00581F4B"/>
    <w:rsid w:val="005822C8"/>
    <w:rsid w:val="005827C9"/>
    <w:rsid w:val="00585AF9"/>
    <w:rsid w:val="005876B8"/>
    <w:rsid w:val="0059191C"/>
    <w:rsid w:val="00596A0D"/>
    <w:rsid w:val="005A27B7"/>
    <w:rsid w:val="005A4C3D"/>
    <w:rsid w:val="005A4F79"/>
    <w:rsid w:val="005A5E42"/>
    <w:rsid w:val="005A7296"/>
    <w:rsid w:val="005B1229"/>
    <w:rsid w:val="005B143A"/>
    <w:rsid w:val="005B3E39"/>
    <w:rsid w:val="005B5AB0"/>
    <w:rsid w:val="005C3BB7"/>
    <w:rsid w:val="005C79FC"/>
    <w:rsid w:val="005D47A0"/>
    <w:rsid w:val="005E2D1C"/>
    <w:rsid w:val="005E476D"/>
    <w:rsid w:val="005F0E0B"/>
    <w:rsid w:val="005F1408"/>
    <w:rsid w:val="00600400"/>
    <w:rsid w:val="0060070E"/>
    <w:rsid w:val="00606348"/>
    <w:rsid w:val="00607702"/>
    <w:rsid w:val="00613C70"/>
    <w:rsid w:val="006153C4"/>
    <w:rsid w:val="00624B14"/>
    <w:rsid w:val="00625535"/>
    <w:rsid w:val="0062611E"/>
    <w:rsid w:val="00627AE1"/>
    <w:rsid w:val="00627CC3"/>
    <w:rsid w:val="006308F0"/>
    <w:rsid w:val="00635F3D"/>
    <w:rsid w:val="00636AE7"/>
    <w:rsid w:val="00637A48"/>
    <w:rsid w:val="00642199"/>
    <w:rsid w:val="00644D09"/>
    <w:rsid w:val="00645C22"/>
    <w:rsid w:val="0065723A"/>
    <w:rsid w:val="00660150"/>
    <w:rsid w:val="00660BA4"/>
    <w:rsid w:val="0066148B"/>
    <w:rsid w:val="006627F9"/>
    <w:rsid w:val="00662D62"/>
    <w:rsid w:val="006641CF"/>
    <w:rsid w:val="00672B4B"/>
    <w:rsid w:val="0067351B"/>
    <w:rsid w:val="00675A7F"/>
    <w:rsid w:val="00680C65"/>
    <w:rsid w:val="006826A5"/>
    <w:rsid w:val="00685757"/>
    <w:rsid w:val="006934B4"/>
    <w:rsid w:val="006939DF"/>
    <w:rsid w:val="006A7731"/>
    <w:rsid w:val="006B4A75"/>
    <w:rsid w:val="006B4BB3"/>
    <w:rsid w:val="006B6CE9"/>
    <w:rsid w:val="006C0082"/>
    <w:rsid w:val="006C0BC5"/>
    <w:rsid w:val="006D3DB7"/>
    <w:rsid w:val="006D4303"/>
    <w:rsid w:val="006D55AC"/>
    <w:rsid w:val="006D5736"/>
    <w:rsid w:val="006D6DCA"/>
    <w:rsid w:val="006F27C6"/>
    <w:rsid w:val="006F5418"/>
    <w:rsid w:val="006F58D2"/>
    <w:rsid w:val="006F6C3D"/>
    <w:rsid w:val="00705A58"/>
    <w:rsid w:val="00713DA4"/>
    <w:rsid w:val="00717609"/>
    <w:rsid w:val="00722197"/>
    <w:rsid w:val="00722C26"/>
    <w:rsid w:val="00723838"/>
    <w:rsid w:val="00724929"/>
    <w:rsid w:val="007332C3"/>
    <w:rsid w:val="00733D11"/>
    <w:rsid w:val="0073638B"/>
    <w:rsid w:val="007455C3"/>
    <w:rsid w:val="00747DC3"/>
    <w:rsid w:val="007547BE"/>
    <w:rsid w:val="0075733D"/>
    <w:rsid w:val="00757EB1"/>
    <w:rsid w:val="0076155F"/>
    <w:rsid w:val="007669F2"/>
    <w:rsid w:val="00766F51"/>
    <w:rsid w:val="007673DC"/>
    <w:rsid w:val="007703C2"/>
    <w:rsid w:val="00773320"/>
    <w:rsid w:val="007748C1"/>
    <w:rsid w:val="007926D1"/>
    <w:rsid w:val="007A0629"/>
    <w:rsid w:val="007A352A"/>
    <w:rsid w:val="007A57DE"/>
    <w:rsid w:val="007A6ADA"/>
    <w:rsid w:val="007B0DA8"/>
    <w:rsid w:val="007B1902"/>
    <w:rsid w:val="007B6CBC"/>
    <w:rsid w:val="007C1076"/>
    <w:rsid w:val="007C19AF"/>
    <w:rsid w:val="007C3DE0"/>
    <w:rsid w:val="007D40B5"/>
    <w:rsid w:val="007D4FE9"/>
    <w:rsid w:val="007D5E7F"/>
    <w:rsid w:val="007E4483"/>
    <w:rsid w:val="007E4C2B"/>
    <w:rsid w:val="007F0F31"/>
    <w:rsid w:val="007F5754"/>
    <w:rsid w:val="00805406"/>
    <w:rsid w:val="00806384"/>
    <w:rsid w:val="00812C56"/>
    <w:rsid w:val="008142AE"/>
    <w:rsid w:val="008158A0"/>
    <w:rsid w:val="00824C39"/>
    <w:rsid w:val="00830A61"/>
    <w:rsid w:val="0083612D"/>
    <w:rsid w:val="008403F6"/>
    <w:rsid w:val="008425DF"/>
    <w:rsid w:val="00843BD6"/>
    <w:rsid w:val="008523FC"/>
    <w:rsid w:val="00852A3E"/>
    <w:rsid w:val="00856FDA"/>
    <w:rsid w:val="0085745A"/>
    <w:rsid w:val="00857CE6"/>
    <w:rsid w:val="00857FE8"/>
    <w:rsid w:val="0086011A"/>
    <w:rsid w:val="00862988"/>
    <w:rsid w:val="00862F13"/>
    <w:rsid w:val="00864D75"/>
    <w:rsid w:val="008660F2"/>
    <w:rsid w:val="00866C91"/>
    <w:rsid w:val="0086744D"/>
    <w:rsid w:val="00867C08"/>
    <w:rsid w:val="008712FC"/>
    <w:rsid w:val="00882783"/>
    <w:rsid w:val="00885F03"/>
    <w:rsid w:val="00887320"/>
    <w:rsid w:val="00890A6C"/>
    <w:rsid w:val="00893B3D"/>
    <w:rsid w:val="00894678"/>
    <w:rsid w:val="00896428"/>
    <w:rsid w:val="008976DC"/>
    <w:rsid w:val="008B14A9"/>
    <w:rsid w:val="008B33A6"/>
    <w:rsid w:val="008C61E3"/>
    <w:rsid w:val="008C70B4"/>
    <w:rsid w:val="008D138F"/>
    <w:rsid w:val="008D2222"/>
    <w:rsid w:val="008D4B51"/>
    <w:rsid w:val="008E14BB"/>
    <w:rsid w:val="008F475F"/>
    <w:rsid w:val="008F5611"/>
    <w:rsid w:val="008F6C85"/>
    <w:rsid w:val="008F779E"/>
    <w:rsid w:val="0091254C"/>
    <w:rsid w:val="0091506E"/>
    <w:rsid w:val="0091657E"/>
    <w:rsid w:val="00917D92"/>
    <w:rsid w:val="00921467"/>
    <w:rsid w:val="0092191B"/>
    <w:rsid w:val="00922309"/>
    <w:rsid w:val="00923807"/>
    <w:rsid w:val="00924100"/>
    <w:rsid w:val="00925489"/>
    <w:rsid w:val="00930BED"/>
    <w:rsid w:val="00932777"/>
    <w:rsid w:val="00955E00"/>
    <w:rsid w:val="00960A85"/>
    <w:rsid w:val="00962CA8"/>
    <w:rsid w:val="00962D4E"/>
    <w:rsid w:val="009634DD"/>
    <w:rsid w:val="009637FB"/>
    <w:rsid w:val="00972C2A"/>
    <w:rsid w:val="0097400C"/>
    <w:rsid w:val="00974A6A"/>
    <w:rsid w:val="00977D51"/>
    <w:rsid w:val="00982406"/>
    <w:rsid w:val="00982FD0"/>
    <w:rsid w:val="0098375C"/>
    <w:rsid w:val="0099203F"/>
    <w:rsid w:val="00992719"/>
    <w:rsid w:val="009949B1"/>
    <w:rsid w:val="009A2FE7"/>
    <w:rsid w:val="009B66D0"/>
    <w:rsid w:val="009C0717"/>
    <w:rsid w:val="009C3A5C"/>
    <w:rsid w:val="009C44A6"/>
    <w:rsid w:val="009C5C47"/>
    <w:rsid w:val="009C6753"/>
    <w:rsid w:val="009D0E12"/>
    <w:rsid w:val="009D2533"/>
    <w:rsid w:val="009D2F9F"/>
    <w:rsid w:val="009D66E4"/>
    <w:rsid w:val="009D6BA9"/>
    <w:rsid w:val="009D78B5"/>
    <w:rsid w:val="009E0F16"/>
    <w:rsid w:val="009F09C0"/>
    <w:rsid w:val="009F1827"/>
    <w:rsid w:val="009F1C78"/>
    <w:rsid w:val="009F5E02"/>
    <w:rsid w:val="00A144F4"/>
    <w:rsid w:val="00A1796D"/>
    <w:rsid w:val="00A17C23"/>
    <w:rsid w:val="00A20CC6"/>
    <w:rsid w:val="00A22F0B"/>
    <w:rsid w:val="00A25E68"/>
    <w:rsid w:val="00A322E7"/>
    <w:rsid w:val="00A325A3"/>
    <w:rsid w:val="00A36C0A"/>
    <w:rsid w:val="00A37D7B"/>
    <w:rsid w:val="00A51367"/>
    <w:rsid w:val="00A51609"/>
    <w:rsid w:val="00A5556D"/>
    <w:rsid w:val="00A57D87"/>
    <w:rsid w:val="00A60403"/>
    <w:rsid w:val="00A645E3"/>
    <w:rsid w:val="00A65893"/>
    <w:rsid w:val="00A65D0D"/>
    <w:rsid w:val="00A70C62"/>
    <w:rsid w:val="00A77882"/>
    <w:rsid w:val="00A81E4D"/>
    <w:rsid w:val="00A86A58"/>
    <w:rsid w:val="00A928E2"/>
    <w:rsid w:val="00A9296D"/>
    <w:rsid w:val="00A941DF"/>
    <w:rsid w:val="00A94E56"/>
    <w:rsid w:val="00A965E6"/>
    <w:rsid w:val="00AA0A3C"/>
    <w:rsid w:val="00AA0EA9"/>
    <w:rsid w:val="00AA296E"/>
    <w:rsid w:val="00AA2A80"/>
    <w:rsid w:val="00AA32F9"/>
    <w:rsid w:val="00AA5713"/>
    <w:rsid w:val="00AB1D47"/>
    <w:rsid w:val="00AB565A"/>
    <w:rsid w:val="00AB6BBE"/>
    <w:rsid w:val="00AB6FEF"/>
    <w:rsid w:val="00AC0454"/>
    <w:rsid w:val="00AC1F88"/>
    <w:rsid w:val="00AC28A4"/>
    <w:rsid w:val="00AC301D"/>
    <w:rsid w:val="00AC6A09"/>
    <w:rsid w:val="00AD4854"/>
    <w:rsid w:val="00AD4A0F"/>
    <w:rsid w:val="00AD4D2B"/>
    <w:rsid w:val="00AE0357"/>
    <w:rsid w:val="00AE1476"/>
    <w:rsid w:val="00AF1656"/>
    <w:rsid w:val="00AF50F7"/>
    <w:rsid w:val="00AF6152"/>
    <w:rsid w:val="00AF689A"/>
    <w:rsid w:val="00B009F0"/>
    <w:rsid w:val="00B00C06"/>
    <w:rsid w:val="00B03E1B"/>
    <w:rsid w:val="00B06220"/>
    <w:rsid w:val="00B06603"/>
    <w:rsid w:val="00B07C4C"/>
    <w:rsid w:val="00B10F58"/>
    <w:rsid w:val="00B14106"/>
    <w:rsid w:val="00B154E5"/>
    <w:rsid w:val="00B204AD"/>
    <w:rsid w:val="00B22274"/>
    <w:rsid w:val="00B33FBB"/>
    <w:rsid w:val="00B352CC"/>
    <w:rsid w:val="00B36B55"/>
    <w:rsid w:val="00B371C0"/>
    <w:rsid w:val="00B37428"/>
    <w:rsid w:val="00B40811"/>
    <w:rsid w:val="00B411CE"/>
    <w:rsid w:val="00B422DB"/>
    <w:rsid w:val="00B43CFC"/>
    <w:rsid w:val="00B510B3"/>
    <w:rsid w:val="00B516D7"/>
    <w:rsid w:val="00B53ACF"/>
    <w:rsid w:val="00B61F99"/>
    <w:rsid w:val="00B654E0"/>
    <w:rsid w:val="00B7220C"/>
    <w:rsid w:val="00B73227"/>
    <w:rsid w:val="00B756B6"/>
    <w:rsid w:val="00B80B00"/>
    <w:rsid w:val="00B86175"/>
    <w:rsid w:val="00B9368F"/>
    <w:rsid w:val="00B959E9"/>
    <w:rsid w:val="00B95C1A"/>
    <w:rsid w:val="00BB0150"/>
    <w:rsid w:val="00BB46D3"/>
    <w:rsid w:val="00BB51A6"/>
    <w:rsid w:val="00BB51B6"/>
    <w:rsid w:val="00BB6F57"/>
    <w:rsid w:val="00BC1932"/>
    <w:rsid w:val="00BD10EE"/>
    <w:rsid w:val="00BD348F"/>
    <w:rsid w:val="00BD36CE"/>
    <w:rsid w:val="00BE127E"/>
    <w:rsid w:val="00BE1CEA"/>
    <w:rsid w:val="00BE5938"/>
    <w:rsid w:val="00BE6B93"/>
    <w:rsid w:val="00BF268D"/>
    <w:rsid w:val="00BF2D5E"/>
    <w:rsid w:val="00BF6BD2"/>
    <w:rsid w:val="00C02E1A"/>
    <w:rsid w:val="00C076C0"/>
    <w:rsid w:val="00C1609D"/>
    <w:rsid w:val="00C223A6"/>
    <w:rsid w:val="00C23F0F"/>
    <w:rsid w:val="00C2787B"/>
    <w:rsid w:val="00C27E0E"/>
    <w:rsid w:val="00C32090"/>
    <w:rsid w:val="00C34485"/>
    <w:rsid w:val="00C40F81"/>
    <w:rsid w:val="00C426EC"/>
    <w:rsid w:val="00C44805"/>
    <w:rsid w:val="00C44A52"/>
    <w:rsid w:val="00C568CC"/>
    <w:rsid w:val="00C60189"/>
    <w:rsid w:val="00C60832"/>
    <w:rsid w:val="00C657AC"/>
    <w:rsid w:val="00C70E32"/>
    <w:rsid w:val="00C71B2A"/>
    <w:rsid w:val="00C76CE7"/>
    <w:rsid w:val="00C8079B"/>
    <w:rsid w:val="00C83C5D"/>
    <w:rsid w:val="00C855B8"/>
    <w:rsid w:val="00C86DCA"/>
    <w:rsid w:val="00C9779C"/>
    <w:rsid w:val="00CA6109"/>
    <w:rsid w:val="00CB3035"/>
    <w:rsid w:val="00CB469E"/>
    <w:rsid w:val="00CB59F5"/>
    <w:rsid w:val="00CB5EE5"/>
    <w:rsid w:val="00CB6FDA"/>
    <w:rsid w:val="00CC0B6A"/>
    <w:rsid w:val="00CC21DC"/>
    <w:rsid w:val="00CC4367"/>
    <w:rsid w:val="00CC6986"/>
    <w:rsid w:val="00CD447B"/>
    <w:rsid w:val="00CE16E0"/>
    <w:rsid w:val="00CE3CFC"/>
    <w:rsid w:val="00CE5F8C"/>
    <w:rsid w:val="00CF0FD2"/>
    <w:rsid w:val="00CF18E0"/>
    <w:rsid w:val="00CF1FD4"/>
    <w:rsid w:val="00CF2A97"/>
    <w:rsid w:val="00CF33AA"/>
    <w:rsid w:val="00CF3F51"/>
    <w:rsid w:val="00D01C0A"/>
    <w:rsid w:val="00D10473"/>
    <w:rsid w:val="00D10CF3"/>
    <w:rsid w:val="00D118C8"/>
    <w:rsid w:val="00D13467"/>
    <w:rsid w:val="00D1603B"/>
    <w:rsid w:val="00D168DA"/>
    <w:rsid w:val="00D219B9"/>
    <w:rsid w:val="00D275E4"/>
    <w:rsid w:val="00D32CE6"/>
    <w:rsid w:val="00D36169"/>
    <w:rsid w:val="00D40AC6"/>
    <w:rsid w:val="00D44E86"/>
    <w:rsid w:val="00D50316"/>
    <w:rsid w:val="00D52570"/>
    <w:rsid w:val="00D53AF7"/>
    <w:rsid w:val="00D5405C"/>
    <w:rsid w:val="00D54086"/>
    <w:rsid w:val="00D60454"/>
    <w:rsid w:val="00D64F16"/>
    <w:rsid w:val="00D72698"/>
    <w:rsid w:val="00D734AA"/>
    <w:rsid w:val="00D7508B"/>
    <w:rsid w:val="00D76C58"/>
    <w:rsid w:val="00D85135"/>
    <w:rsid w:val="00D95C50"/>
    <w:rsid w:val="00D95C5A"/>
    <w:rsid w:val="00DA20EB"/>
    <w:rsid w:val="00DA4CE3"/>
    <w:rsid w:val="00DA6E0F"/>
    <w:rsid w:val="00DB063A"/>
    <w:rsid w:val="00DB441D"/>
    <w:rsid w:val="00DB7F9D"/>
    <w:rsid w:val="00DC023C"/>
    <w:rsid w:val="00DC0A98"/>
    <w:rsid w:val="00DC61AD"/>
    <w:rsid w:val="00DD17AB"/>
    <w:rsid w:val="00DD24FC"/>
    <w:rsid w:val="00DD4DA3"/>
    <w:rsid w:val="00DF4B7C"/>
    <w:rsid w:val="00E066D4"/>
    <w:rsid w:val="00E11955"/>
    <w:rsid w:val="00E1229F"/>
    <w:rsid w:val="00E1592D"/>
    <w:rsid w:val="00E1756C"/>
    <w:rsid w:val="00E20773"/>
    <w:rsid w:val="00E2124E"/>
    <w:rsid w:val="00E31A40"/>
    <w:rsid w:val="00E32BC5"/>
    <w:rsid w:val="00E33990"/>
    <w:rsid w:val="00E36A12"/>
    <w:rsid w:val="00E44300"/>
    <w:rsid w:val="00E45DA2"/>
    <w:rsid w:val="00E4620A"/>
    <w:rsid w:val="00E604AE"/>
    <w:rsid w:val="00E61190"/>
    <w:rsid w:val="00E63096"/>
    <w:rsid w:val="00E633CE"/>
    <w:rsid w:val="00E67CB9"/>
    <w:rsid w:val="00E72E2D"/>
    <w:rsid w:val="00E80875"/>
    <w:rsid w:val="00E85DDE"/>
    <w:rsid w:val="00E862F8"/>
    <w:rsid w:val="00E9248E"/>
    <w:rsid w:val="00EA40DC"/>
    <w:rsid w:val="00EA6B09"/>
    <w:rsid w:val="00EB3C34"/>
    <w:rsid w:val="00EB3F67"/>
    <w:rsid w:val="00EB5B91"/>
    <w:rsid w:val="00EC1ED2"/>
    <w:rsid w:val="00EC26CA"/>
    <w:rsid w:val="00EC4032"/>
    <w:rsid w:val="00EC4763"/>
    <w:rsid w:val="00EC58D4"/>
    <w:rsid w:val="00ED178A"/>
    <w:rsid w:val="00ED2F69"/>
    <w:rsid w:val="00ED3424"/>
    <w:rsid w:val="00ED661D"/>
    <w:rsid w:val="00EE13EB"/>
    <w:rsid w:val="00EE467B"/>
    <w:rsid w:val="00EE73A7"/>
    <w:rsid w:val="00EE7486"/>
    <w:rsid w:val="00EF0209"/>
    <w:rsid w:val="00EF2330"/>
    <w:rsid w:val="00EF36B1"/>
    <w:rsid w:val="00EF3E5E"/>
    <w:rsid w:val="00EF5554"/>
    <w:rsid w:val="00F0171F"/>
    <w:rsid w:val="00F01D6D"/>
    <w:rsid w:val="00F048A1"/>
    <w:rsid w:val="00F067EF"/>
    <w:rsid w:val="00F068A8"/>
    <w:rsid w:val="00F07228"/>
    <w:rsid w:val="00F11D1A"/>
    <w:rsid w:val="00F1220B"/>
    <w:rsid w:val="00F16C36"/>
    <w:rsid w:val="00F24F80"/>
    <w:rsid w:val="00F31451"/>
    <w:rsid w:val="00F31539"/>
    <w:rsid w:val="00F31687"/>
    <w:rsid w:val="00F32E10"/>
    <w:rsid w:val="00F43B2D"/>
    <w:rsid w:val="00F473BC"/>
    <w:rsid w:val="00F56A9B"/>
    <w:rsid w:val="00F65AD4"/>
    <w:rsid w:val="00F66C0C"/>
    <w:rsid w:val="00F70E7B"/>
    <w:rsid w:val="00F7183C"/>
    <w:rsid w:val="00F72422"/>
    <w:rsid w:val="00F72BFB"/>
    <w:rsid w:val="00F76B62"/>
    <w:rsid w:val="00F834EA"/>
    <w:rsid w:val="00F84088"/>
    <w:rsid w:val="00F874AD"/>
    <w:rsid w:val="00F95015"/>
    <w:rsid w:val="00F97434"/>
    <w:rsid w:val="00F9752D"/>
    <w:rsid w:val="00FA280C"/>
    <w:rsid w:val="00FA3F8B"/>
    <w:rsid w:val="00FA462E"/>
    <w:rsid w:val="00FA6DD0"/>
    <w:rsid w:val="00FB5B96"/>
    <w:rsid w:val="00FC2734"/>
    <w:rsid w:val="00FC4B29"/>
    <w:rsid w:val="00FD3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4C386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ListParagraph">
    <w:name w:val="List Paragraph"/>
    <w:basedOn w:val="Normal"/>
    <w:uiPriority w:val="34"/>
    <w:qFormat/>
    <w:rsid w:val="002F41E8"/>
    <w:pPr>
      <w:widowControl/>
      <w:autoSpaceDE/>
      <w:autoSpaceDN/>
      <w:adjustRightInd/>
      <w:ind w:left="720"/>
    </w:pPr>
    <w:rPr>
      <w:rFonts w:ascii="Calibri" w:eastAsia="Calibri" w:hAnsi="Calibri"/>
      <w:sz w:val="22"/>
      <w:szCs w:val="22"/>
    </w:rPr>
  </w:style>
  <w:style w:type="paragraph" w:styleId="Header">
    <w:name w:val="header"/>
    <w:basedOn w:val="Normal"/>
    <w:link w:val="HeaderChar"/>
    <w:uiPriority w:val="99"/>
    <w:unhideWhenUsed/>
    <w:rsid w:val="007B1902"/>
    <w:pPr>
      <w:tabs>
        <w:tab w:val="center" w:pos="4680"/>
        <w:tab w:val="right" w:pos="9360"/>
      </w:tabs>
    </w:pPr>
  </w:style>
  <w:style w:type="character" w:customStyle="1" w:styleId="HeaderChar">
    <w:name w:val="Header Char"/>
    <w:link w:val="Header"/>
    <w:uiPriority w:val="99"/>
    <w:rsid w:val="007B1902"/>
    <w:rPr>
      <w:sz w:val="24"/>
      <w:szCs w:val="24"/>
    </w:rPr>
  </w:style>
  <w:style w:type="paragraph" w:styleId="Footer">
    <w:name w:val="footer"/>
    <w:basedOn w:val="Normal"/>
    <w:link w:val="FooterChar"/>
    <w:uiPriority w:val="99"/>
    <w:unhideWhenUsed/>
    <w:rsid w:val="007B1902"/>
    <w:pPr>
      <w:tabs>
        <w:tab w:val="center" w:pos="4680"/>
        <w:tab w:val="right" w:pos="9360"/>
      </w:tabs>
    </w:pPr>
  </w:style>
  <w:style w:type="character" w:customStyle="1" w:styleId="FooterChar">
    <w:name w:val="Footer Char"/>
    <w:link w:val="Footer"/>
    <w:uiPriority w:val="99"/>
    <w:rsid w:val="007B1902"/>
    <w:rPr>
      <w:sz w:val="24"/>
      <w:szCs w:val="24"/>
    </w:rPr>
  </w:style>
  <w:style w:type="paragraph" w:styleId="BalloonText">
    <w:name w:val="Balloon Text"/>
    <w:basedOn w:val="Normal"/>
    <w:link w:val="BalloonTextChar"/>
    <w:uiPriority w:val="99"/>
    <w:semiHidden/>
    <w:unhideWhenUsed/>
    <w:rsid w:val="0008675F"/>
    <w:rPr>
      <w:rFonts w:ascii="Tahoma" w:hAnsi="Tahoma" w:cs="Tahoma"/>
      <w:sz w:val="16"/>
      <w:szCs w:val="16"/>
    </w:rPr>
  </w:style>
  <w:style w:type="character" w:customStyle="1" w:styleId="BalloonTextChar">
    <w:name w:val="Balloon Text Char"/>
    <w:link w:val="BalloonText"/>
    <w:uiPriority w:val="99"/>
    <w:semiHidden/>
    <w:rsid w:val="0008675F"/>
    <w:rPr>
      <w:rFonts w:ascii="Tahoma" w:hAnsi="Tahoma" w:cs="Tahoma"/>
      <w:sz w:val="16"/>
      <w:szCs w:val="16"/>
    </w:rPr>
  </w:style>
  <w:style w:type="table" w:styleId="TableGrid">
    <w:name w:val="Table Grid"/>
    <w:basedOn w:val="TableNormal"/>
    <w:rsid w:val="00DB7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007D4"/>
    <w:rPr>
      <w:sz w:val="16"/>
      <w:szCs w:val="16"/>
    </w:rPr>
  </w:style>
  <w:style w:type="paragraph" w:styleId="CommentText">
    <w:name w:val="annotation text"/>
    <w:basedOn w:val="Normal"/>
    <w:link w:val="CommentTextChar"/>
    <w:uiPriority w:val="99"/>
    <w:semiHidden/>
    <w:unhideWhenUsed/>
    <w:rsid w:val="005007D4"/>
    <w:pPr>
      <w:widowControl/>
      <w:autoSpaceDE/>
      <w:autoSpaceDN/>
      <w:adjustRightInd/>
      <w:ind w:left="720"/>
      <w:contextualSpacing/>
      <w:jc w:val="both"/>
    </w:pPr>
    <w:rPr>
      <w:rFonts w:eastAsia="Calibri"/>
      <w:sz w:val="20"/>
      <w:szCs w:val="20"/>
    </w:rPr>
  </w:style>
  <w:style w:type="character" w:customStyle="1" w:styleId="CommentTextChar">
    <w:name w:val="Comment Text Char"/>
    <w:link w:val="CommentText"/>
    <w:uiPriority w:val="99"/>
    <w:semiHidden/>
    <w:rsid w:val="005007D4"/>
    <w:rPr>
      <w:rFonts w:eastAsia="Calibri"/>
    </w:rPr>
  </w:style>
  <w:style w:type="paragraph" w:styleId="FootnoteText">
    <w:name w:val="footnote text"/>
    <w:basedOn w:val="Normal"/>
    <w:link w:val="FootnoteTextChar"/>
    <w:uiPriority w:val="99"/>
    <w:unhideWhenUsed/>
    <w:rsid w:val="0038135C"/>
    <w:rPr>
      <w:sz w:val="20"/>
      <w:szCs w:val="20"/>
    </w:rPr>
  </w:style>
  <w:style w:type="character" w:customStyle="1" w:styleId="FootnoteTextChar">
    <w:name w:val="Footnote Text Char"/>
    <w:basedOn w:val="DefaultParagraphFont"/>
    <w:link w:val="FootnoteText"/>
    <w:uiPriority w:val="99"/>
    <w:rsid w:val="0038135C"/>
  </w:style>
  <w:style w:type="paragraph" w:styleId="PlainText">
    <w:name w:val="Plain Text"/>
    <w:basedOn w:val="Normal"/>
    <w:link w:val="PlainTextChar"/>
    <w:uiPriority w:val="99"/>
    <w:rsid w:val="00472C18"/>
    <w:pPr>
      <w:widowControl/>
      <w:autoSpaceDE/>
      <w:autoSpaceDN/>
      <w:adjustRightInd/>
    </w:pPr>
    <w:rPr>
      <w:rFonts w:ascii="Bookman Old Style" w:hAnsi="Bookman Old Style" w:cs="Courier New"/>
      <w:szCs w:val="20"/>
    </w:rPr>
  </w:style>
  <w:style w:type="character" w:customStyle="1" w:styleId="PlainTextChar">
    <w:name w:val="Plain Text Char"/>
    <w:basedOn w:val="DefaultParagraphFont"/>
    <w:link w:val="PlainText"/>
    <w:uiPriority w:val="99"/>
    <w:rsid w:val="00472C18"/>
    <w:rPr>
      <w:rFonts w:ascii="Bookman Old Style" w:hAnsi="Bookman Old Style" w:cs="Courier New"/>
      <w:sz w:val="24"/>
    </w:rPr>
  </w:style>
  <w:style w:type="character" w:styleId="Strong">
    <w:name w:val="Strong"/>
    <w:basedOn w:val="DefaultParagraphFont"/>
    <w:qFormat/>
    <w:rsid w:val="00472C18"/>
    <w:rPr>
      <w:b/>
      <w:bCs/>
    </w:rPr>
  </w:style>
  <w:style w:type="character" w:styleId="Hyperlink">
    <w:name w:val="Hyperlink"/>
    <w:basedOn w:val="DefaultParagraphFont"/>
    <w:semiHidden/>
    <w:rsid w:val="00472C18"/>
    <w:rPr>
      <w:color w:val="0000FF"/>
      <w:u w:val="single"/>
    </w:rPr>
  </w:style>
  <w:style w:type="paragraph" w:styleId="NormalWeb">
    <w:name w:val="Normal (Web)"/>
    <w:basedOn w:val="Normal"/>
    <w:uiPriority w:val="99"/>
    <w:rsid w:val="00472C18"/>
    <w:pPr>
      <w:widowControl/>
      <w:autoSpaceDE/>
      <w:autoSpaceDN/>
      <w:adjustRightInd/>
      <w:spacing w:before="100" w:beforeAutospacing="1" w:after="100" w:afterAutospacing="1"/>
    </w:pPr>
    <w:rPr>
      <w:sz w:val="28"/>
    </w:rPr>
  </w:style>
  <w:style w:type="paragraph" w:styleId="HTMLPreformatted">
    <w:name w:val="HTML Preformatted"/>
    <w:basedOn w:val="Normal"/>
    <w:link w:val="HTMLPreformattedChar"/>
    <w:uiPriority w:val="99"/>
    <w:semiHidden/>
    <w:unhideWhenUsed/>
    <w:rsid w:val="00AA571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A5713"/>
    <w:rPr>
      <w:rFonts w:ascii="Consolas" w:hAnsi="Consolas"/>
    </w:rPr>
  </w:style>
  <w:style w:type="character" w:customStyle="1" w:styleId="apple-converted-space">
    <w:name w:val="apple-converted-space"/>
    <w:basedOn w:val="DefaultParagraphFont"/>
    <w:rsid w:val="00EA40DC"/>
  </w:style>
  <w:style w:type="paragraph" w:styleId="BodyText">
    <w:name w:val="Body Text"/>
    <w:basedOn w:val="Normal"/>
    <w:link w:val="BodyTextChar"/>
    <w:uiPriority w:val="1"/>
    <w:qFormat/>
    <w:rsid w:val="00EC26CA"/>
    <w:pPr>
      <w:widowControl/>
      <w:autoSpaceDE/>
      <w:autoSpaceDN/>
      <w:adjustRightInd/>
    </w:pPr>
    <w:rPr>
      <w:sz w:val="28"/>
      <w:szCs w:val="20"/>
    </w:rPr>
  </w:style>
  <w:style w:type="character" w:customStyle="1" w:styleId="BodyTextChar">
    <w:name w:val="Body Text Char"/>
    <w:basedOn w:val="DefaultParagraphFont"/>
    <w:link w:val="BodyText"/>
    <w:uiPriority w:val="1"/>
    <w:rsid w:val="00EC26CA"/>
    <w:rPr>
      <w:sz w:val="28"/>
    </w:rPr>
  </w:style>
  <w:style w:type="paragraph" w:styleId="Caption">
    <w:name w:val="caption"/>
    <w:basedOn w:val="Normal"/>
    <w:next w:val="Normal"/>
    <w:qFormat/>
    <w:rsid w:val="004F33FF"/>
    <w:pPr>
      <w:autoSpaceDE/>
      <w:autoSpaceDN/>
      <w:adjustRightInd/>
      <w:spacing w:line="240" w:lineRule="exact"/>
    </w:pPr>
    <w:rPr>
      <w:bCs/>
      <w:sz w:val="26"/>
      <w:szCs w:val="20"/>
    </w:rPr>
  </w:style>
  <w:style w:type="paragraph" w:customStyle="1" w:styleId="Body">
    <w:name w:val="Body"/>
    <w:basedOn w:val="Normal"/>
    <w:rsid w:val="00240E94"/>
    <w:pPr>
      <w:widowControl/>
      <w:autoSpaceDE/>
      <w:autoSpaceDN/>
      <w:adjustRightInd/>
      <w:spacing w:line="480" w:lineRule="exact"/>
      <w:ind w:firstLine="1440"/>
    </w:pPr>
    <w:rPr>
      <w:sz w:val="26"/>
      <w:szCs w:val="20"/>
    </w:rPr>
  </w:style>
  <w:style w:type="paragraph" w:styleId="EndnoteText">
    <w:name w:val="endnote text"/>
    <w:basedOn w:val="Normal"/>
    <w:link w:val="EndnoteTextChar"/>
    <w:uiPriority w:val="99"/>
    <w:semiHidden/>
    <w:unhideWhenUsed/>
    <w:rsid w:val="00662D62"/>
    <w:rPr>
      <w:sz w:val="20"/>
      <w:szCs w:val="20"/>
    </w:rPr>
  </w:style>
  <w:style w:type="character" w:customStyle="1" w:styleId="EndnoteTextChar">
    <w:name w:val="Endnote Text Char"/>
    <w:basedOn w:val="DefaultParagraphFont"/>
    <w:link w:val="EndnoteText"/>
    <w:uiPriority w:val="99"/>
    <w:semiHidden/>
    <w:rsid w:val="00662D62"/>
  </w:style>
  <w:style w:type="character" w:styleId="EndnoteReference">
    <w:name w:val="endnote reference"/>
    <w:basedOn w:val="DefaultParagraphFont"/>
    <w:uiPriority w:val="99"/>
    <w:semiHidden/>
    <w:unhideWhenUsed/>
    <w:rsid w:val="00662D62"/>
    <w:rPr>
      <w:vertAlign w:val="superscript"/>
    </w:rPr>
  </w:style>
  <w:style w:type="paragraph" w:styleId="Revision">
    <w:name w:val="Revision"/>
    <w:hidden/>
    <w:uiPriority w:val="99"/>
    <w:semiHidden/>
    <w:rsid w:val="00A37D7B"/>
    <w:rPr>
      <w:sz w:val="24"/>
      <w:szCs w:val="24"/>
    </w:rPr>
  </w:style>
  <w:style w:type="character" w:styleId="UnresolvedMention">
    <w:name w:val="Unresolved Mention"/>
    <w:basedOn w:val="DefaultParagraphFont"/>
    <w:uiPriority w:val="99"/>
    <w:rsid w:val="001A7CE9"/>
    <w:rPr>
      <w:color w:val="605E5C"/>
      <w:shd w:val="clear" w:color="auto" w:fill="E1DFDD"/>
    </w:rPr>
  </w:style>
  <w:style w:type="character" w:styleId="FollowedHyperlink">
    <w:name w:val="FollowedHyperlink"/>
    <w:basedOn w:val="DefaultParagraphFont"/>
    <w:uiPriority w:val="99"/>
    <w:semiHidden/>
    <w:unhideWhenUsed/>
    <w:rsid w:val="00635F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5539">
      <w:bodyDiv w:val="1"/>
      <w:marLeft w:val="0"/>
      <w:marRight w:val="0"/>
      <w:marTop w:val="0"/>
      <w:marBottom w:val="0"/>
      <w:divBdr>
        <w:top w:val="none" w:sz="0" w:space="0" w:color="auto"/>
        <w:left w:val="none" w:sz="0" w:space="0" w:color="auto"/>
        <w:bottom w:val="none" w:sz="0" w:space="0" w:color="auto"/>
        <w:right w:val="none" w:sz="0" w:space="0" w:color="auto"/>
      </w:divBdr>
    </w:div>
    <w:div w:id="162474113">
      <w:bodyDiv w:val="1"/>
      <w:marLeft w:val="0"/>
      <w:marRight w:val="0"/>
      <w:marTop w:val="0"/>
      <w:marBottom w:val="0"/>
      <w:divBdr>
        <w:top w:val="none" w:sz="0" w:space="0" w:color="auto"/>
        <w:left w:val="none" w:sz="0" w:space="0" w:color="auto"/>
        <w:bottom w:val="none" w:sz="0" w:space="0" w:color="auto"/>
        <w:right w:val="none" w:sz="0" w:space="0" w:color="auto"/>
      </w:divBdr>
    </w:div>
    <w:div w:id="550380845">
      <w:bodyDiv w:val="1"/>
      <w:marLeft w:val="0"/>
      <w:marRight w:val="0"/>
      <w:marTop w:val="0"/>
      <w:marBottom w:val="0"/>
      <w:divBdr>
        <w:top w:val="none" w:sz="0" w:space="0" w:color="auto"/>
        <w:left w:val="none" w:sz="0" w:space="0" w:color="auto"/>
        <w:bottom w:val="none" w:sz="0" w:space="0" w:color="auto"/>
        <w:right w:val="none" w:sz="0" w:space="0" w:color="auto"/>
      </w:divBdr>
    </w:div>
    <w:div w:id="650015190">
      <w:bodyDiv w:val="1"/>
      <w:marLeft w:val="0"/>
      <w:marRight w:val="0"/>
      <w:marTop w:val="0"/>
      <w:marBottom w:val="0"/>
      <w:divBdr>
        <w:top w:val="none" w:sz="0" w:space="0" w:color="auto"/>
        <w:left w:val="none" w:sz="0" w:space="0" w:color="auto"/>
        <w:bottom w:val="none" w:sz="0" w:space="0" w:color="auto"/>
        <w:right w:val="none" w:sz="0" w:space="0" w:color="auto"/>
      </w:divBdr>
      <w:divsChild>
        <w:div w:id="512113622">
          <w:marLeft w:val="0"/>
          <w:marRight w:val="0"/>
          <w:marTop w:val="0"/>
          <w:marBottom w:val="0"/>
          <w:divBdr>
            <w:top w:val="none" w:sz="0" w:space="0" w:color="auto"/>
            <w:left w:val="none" w:sz="0" w:space="0" w:color="auto"/>
            <w:bottom w:val="none" w:sz="0" w:space="0" w:color="auto"/>
            <w:right w:val="none" w:sz="0" w:space="0" w:color="auto"/>
          </w:divBdr>
        </w:div>
      </w:divsChild>
    </w:div>
    <w:div w:id="928194782">
      <w:bodyDiv w:val="1"/>
      <w:marLeft w:val="0"/>
      <w:marRight w:val="0"/>
      <w:marTop w:val="0"/>
      <w:marBottom w:val="0"/>
      <w:divBdr>
        <w:top w:val="none" w:sz="0" w:space="0" w:color="auto"/>
        <w:left w:val="none" w:sz="0" w:space="0" w:color="auto"/>
        <w:bottom w:val="none" w:sz="0" w:space="0" w:color="auto"/>
        <w:right w:val="none" w:sz="0" w:space="0" w:color="auto"/>
      </w:divBdr>
    </w:div>
    <w:div w:id="950623466">
      <w:bodyDiv w:val="1"/>
      <w:marLeft w:val="0"/>
      <w:marRight w:val="0"/>
      <w:marTop w:val="0"/>
      <w:marBottom w:val="0"/>
      <w:divBdr>
        <w:top w:val="none" w:sz="0" w:space="0" w:color="auto"/>
        <w:left w:val="none" w:sz="0" w:space="0" w:color="auto"/>
        <w:bottom w:val="none" w:sz="0" w:space="0" w:color="auto"/>
        <w:right w:val="none" w:sz="0" w:space="0" w:color="auto"/>
      </w:divBdr>
    </w:div>
    <w:div w:id="1146698210">
      <w:bodyDiv w:val="1"/>
      <w:marLeft w:val="0"/>
      <w:marRight w:val="0"/>
      <w:marTop w:val="0"/>
      <w:marBottom w:val="0"/>
      <w:divBdr>
        <w:top w:val="none" w:sz="0" w:space="0" w:color="auto"/>
        <w:left w:val="none" w:sz="0" w:space="0" w:color="auto"/>
        <w:bottom w:val="none" w:sz="0" w:space="0" w:color="auto"/>
        <w:right w:val="none" w:sz="0" w:space="0" w:color="auto"/>
      </w:divBdr>
    </w:div>
    <w:div w:id="1397507693">
      <w:bodyDiv w:val="1"/>
      <w:marLeft w:val="0"/>
      <w:marRight w:val="0"/>
      <w:marTop w:val="0"/>
      <w:marBottom w:val="0"/>
      <w:divBdr>
        <w:top w:val="none" w:sz="0" w:space="0" w:color="auto"/>
        <w:left w:val="none" w:sz="0" w:space="0" w:color="auto"/>
        <w:bottom w:val="none" w:sz="0" w:space="0" w:color="auto"/>
        <w:right w:val="none" w:sz="0" w:space="0" w:color="auto"/>
      </w:divBdr>
    </w:div>
    <w:div w:id="1578855472">
      <w:bodyDiv w:val="1"/>
      <w:marLeft w:val="0"/>
      <w:marRight w:val="0"/>
      <w:marTop w:val="0"/>
      <w:marBottom w:val="0"/>
      <w:divBdr>
        <w:top w:val="none" w:sz="0" w:space="0" w:color="auto"/>
        <w:left w:val="none" w:sz="0" w:space="0" w:color="auto"/>
        <w:bottom w:val="none" w:sz="0" w:space="0" w:color="auto"/>
        <w:right w:val="none" w:sz="0" w:space="0" w:color="auto"/>
      </w:divBdr>
    </w:div>
    <w:div w:id="1633320954">
      <w:bodyDiv w:val="1"/>
      <w:marLeft w:val="0"/>
      <w:marRight w:val="0"/>
      <w:marTop w:val="0"/>
      <w:marBottom w:val="0"/>
      <w:divBdr>
        <w:top w:val="none" w:sz="0" w:space="0" w:color="auto"/>
        <w:left w:val="none" w:sz="0" w:space="0" w:color="auto"/>
        <w:bottom w:val="none" w:sz="0" w:space="0" w:color="auto"/>
        <w:right w:val="none" w:sz="0" w:space="0" w:color="auto"/>
      </w:divBdr>
    </w:div>
    <w:div w:id="194754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7BDA2-AC5E-BB49-A804-17101FDFC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cp:revision>
  <cp:lastPrinted>2022-08-18T17:52:00Z</cp:lastPrinted>
  <dcterms:created xsi:type="dcterms:W3CDTF">2023-01-04T18:08:00Z</dcterms:created>
  <dcterms:modified xsi:type="dcterms:W3CDTF">2023-01-04T20:50:00Z</dcterms:modified>
</cp:coreProperties>
</file>