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72078" w14:textId="77777777" w:rsidR="002477F1" w:rsidRPr="00C02762" w:rsidRDefault="002477F1" w:rsidP="002477F1">
      <w:pPr>
        <w:spacing w:before="120"/>
        <w:rPr>
          <w:sz w:val="28"/>
          <w:szCs w:val="28"/>
        </w:rPr>
      </w:pPr>
      <w:bookmarkStart w:id="0" w:name="_Hlk96335432"/>
      <w:r w:rsidRPr="00C02762">
        <w:rPr>
          <w:sz w:val="28"/>
          <w:szCs w:val="28"/>
        </w:rPr>
        <w:t xml:space="preserve">Kathleen E. Brody (#026331)  </w:t>
      </w:r>
    </w:p>
    <w:bookmarkStart w:id="1" w:name="Email"/>
    <w:bookmarkEnd w:id="1"/>
    <w:p w14:paraId="4CF5518B" w14:textId="77777777" w:rsidR="002477F1" w:rsidRPr="00C02762" w:rsidRDefault="002477F1" w:rsidP="002477F1">
      <w:pPr>
        <w:rPr>
          <w:sz w:val="28"/>
          <w:szCs w:val="28"/>
        </w:rPr>
      </w:pPr>
      <w:r w:rsidRPr="00C02762">
        <w:rPr>
          <w:sz w:val="28"/>
          <w:szCs w:val="28"/>
        </w:rPr>
        <w:fldChar w:fldCharType="begin"/>
      </w:r>
      <w:r w:rsidRPr="00C02762">
        <w:rPr>
          <w:sz w:val="28"/>
          <w:szCs w:val="28"/>
        </w:rPr>
        <w:instrText xml:space="preserve"> HYPERLINK "mailto:kathy@mscclaw.com" </w:instrText>
      </w:r>
      <w:r w:rsidRPr="00C02762">
        <w:rPr>
          <w:sz w:val="28"/>
          <w:szCs w:val="28"/>
        </w:rPr>
      </w:r>
      <w:r w:rsidRPr="00C02762">
        <w:rPr>
          <w:sz w:val="28"/>
          <w:szCs w:val="28"/>
        </w:rPr>
        <w:fldChar w:fldCharType="separate"/>
      </w:r>
      <w:r w:rsidRPr="00C02762">
        <w:rPr>
          <w:rStyle w:val="Hyperlink"/>
          <w:sz w:val="28"/>
          <w:szCs w:val="28"/>
        </w:rPr>
        <w:t>kathy@mscclaw.com</w:t>
      </w:r>
      <w:r w:rsidRPr="00C02762">
        <w:rPr>
          <w:sz w:val="28"/>
          <w:szCs w:val="28"/>
        </w:rPr>
        <w:fldChar w:fldCharType="end"/>
      </w:r>
    </w:p>
    <w:p w14:paraId="7A4629F1" w14:textId="77777777" w:rsidR="002477F1" w:rsidRPr="00C02762" w:rsidRDefault="002477F1" w:rsidP="002477F1">
      <w:pPr>
        <w:rPr>
          <w:sz w:val="28"/>
          <w:szCs w:val="28"/>
        </w:rPr>
      </w:pPr>
      <w:r w:rsidRPr="00C02762">
        <w:rPr>
          <w:sz w:val="28"/>
          <w:szCs w:val="28"/>
        </w:rPr>
        <w:t>MITCHELL | STEIN | CAREY | CHAPMAN, PC</w:t>
      </w:r>
    </w:p>
    <w:p w14:paraId="70C40AB1" w14:textId="77777777" w:rsidR="002477F1" w:rsidRPr="00C02762" w:rsidRDefault="002477F1" w:rsidP="002477F1">
      <w:pPr>
        <w:rPr>
          <w:sz w:val="28"/>
          <w:szCs w:val="28"/>
        </w:rPr>
      </w:pPr>
      <w:r w:rsidRPr="00C02762">
        <w:rPr>
          <w:sz w:val="28"/>
          <w:szCs w:val="28"/>
        </w:rPr>
        <w:t>2600 North Central Avenue, Suite 1000</w:t>
      </w:r>
    </w:p>
    <w:p w14:paraId="2BDB2A27" w14:textId="77777777" w:rsidR="002477F1" w:rsidRPr="00C02762" w:rsidRDefault="002477F1" w:rsidP="002477F1">
      <w:pPr>
        <w:rPr>
          <w:sz w:val="28"/>
          <w:szCs w:val="28"/>
        </w:rPr>
      </w:pPr>
      <w:r w:rsidRPr="00C02762">
        <w:rPr>
          <w:sz w:val="28"/>
          <w:szCs w:val="28"/>
        </w:rPr>
        <w:t>Phoenix, AZ 85004</w:t>
      </w:r>
    </w:p>
    <w:p w14:paraId="11ECEBC5" w14:textId="77777777" w:rsidR="002477F1" w:rsidRPr="00C02762" w:rsidRDefault="002477F1" w:rsidP="002477F1">
      <w:pPr>
        <w:rPr>
          <w:sz w:val="28"/>
          <w:szCs w:val="28"/>
        </w:rPr>
      </w:pPr>
      <w:r w:rsidRPr="00C02762">
        <w:rPr>
          <w:sz w:val="28"/>
          <w:szCs w:val="28"/>
        </w:rPr>
        <w:t>Telephone:  (602) 358-0290</w:t>
      </w:r>
    </w:p>
    <w:p w14:paraId="491D90A0" w14:textId="4FE07A6A" w:rsidR="002477F1" w:rsidRPr="00C02762" w:rsidRDefault="002477F1" w:rsidP="002477F1">
      <w:pPr>
        <w:rPr>
          <w:sz w:val="28"/>
          <w:szCs w:val="28"/>
        </w:rPr>
      </w:pPr>
      <w:r w:rsidRPr="00C02762">
        <w:rPr>
          <w:sz w:val="28"/>
          <w:szCs w:val="28"/>
        </w:rPr>
        <w:t>Facsimile:   (602) 358-0291</w:t>
      </w:r>
    </w:p>
    <w:p w14:paraId="71C50B59" w14:textId="2F51432E" w:rsidR="002037D3" w:rsidRPr="00C02762" w:rsidRDefault="002037D3" w:rsidP="002477F1">
      <w:pPr>
        <w:rPr>
          <w:sz w:val="28"/>
          <w:szCs w:val="28"/>
        </w:rPr>
      </w:pPr>
    </w:p>
    <w:p w14:paraId="4C29C8EA" w14:textId="77777777" w:rsidR="007F6B47" w:rsidRDefault="007F6B47" w:rsidP="007F6B47">
      <w:pPr>
        <w:rPr>
          <w:snapToGrid/>
          <w:sz w:val="28"/>
          <w:szCs w:val="28"/>
        </w:rPr>
      </w:pPr>
      <w:r>
        <w:rPr>
          <w:sz w:val="28"/>
          <w:szCs w:val="28"/>
        </w:rPr>
        <w:t>Jared G. Keenan (#027068)</w:t>
      </w:r>
    </w:p>
    <w:p w14:paraId="7A0D8761" w14:textId="77777777" w:rsidR="007F6B47" w:rsidRDefault="007F6B47" w:rsidP="007F6B47">
      <w:pPr>
        <w:rPr>
          <w:sz w:val="28"/>
          <w:szCs w:val="28"/>
        </w:rPr>
      </w:pPr>
      <w:hyperlink r:id="rId7" w:history="1">
        <w:r>
          <w:rPr>
            <w:rStyle w:val="Hyperlink"/>
            <w:sz w:val="28"/>
            <w:szCs w:val="28"/>
          </w:rPr>
          <w:t>jkeenan@acluaz.org</w:t>
        </w:r>
      </w:hyperlink>
    </w:p>
    <w:p w14:paraId="740F944A" w14:textId="77777777" w:rsidR="007F6B47" w:rsidRDefault="007F6B47" w:rsidP="007F6B47">
      <w:pPr>
        <w:rPr>
          <w:sz w:val="28"/>
          <w:szCs w:val="28"/>
        </w:rPr>
      </w:pPr>
      <w:r>
        <w:rPr>
          <w:sz w:val="28"/>
          <w:szCs w:val="28"/>
        </w:rPr>
        <w:t>American Civil Liberties Union Foundation of Arizona</w:t>
      </w:r>
    </w:p>
    <w:p w14:paraId="14B8C50F" w14:textId="77777777" w:rsidR="007F6B47" w:rsidRDefault="007F6B47" w:rsidP="007F6B47">
      <w:pPr>
        <w:rPr>
          <w:sz w:val="28"/>
          <w:szCs w:val="28"/>
        </w:rPr>
      </w:pPr>
      <w:r>
        <w:rPr>
          <w:sz w:val="28"/>
          <w:szCs w:val="28"/>
        </w:rPr>
        <w:t>3707 N. 7th Street, Suite 235</w:t>
      </w:r>
    </w:p>
    <w:p w14:paraId="0F6C92C4" w14:textId="77777777" w:rsidR="007F6B47" w:rsidRDefault="007F6B47" w:rsidP="007F6B47">
      <w:pPr>
        <w:rPr>
          <w:sz w:val="28"/>
          <w:szCs w:val="28"/>
        </w:rPr>
      </w:pPr>
      <w:r>
        <w:rPr>
          <w:sz w:val="28"/>
          <w:szCs w:val="28"/>
        </w:rPr>
        <w:t>Phoenix, AZ 85014</w:t>
      </w:r>
    </w:p>
    <w:p w14:paraId="096D71E3" w14:textId="391A8B8A" w:rsidR="004D6B3D" w:rsidRDefault="007F6B47" w:rsidP="007F6B47">
      <w:pPr>
        <w:rPr>
          <w:sz w:val="28"/>
          <w:szCs w:val="28"/>
        </w:rPr>
      </w:pPr>
      <w:r>
        <w:rPr>
          <w:sz w:val="28"/>
          <w:szCs w:val="28"/>
        </w:rPr>
        <w:t>Telephone:  (602) 773-6021</w:t>
      </w:r>
    </w:p>
    <w:p w14:paraId="4A67F3CA" w14:textId="77777777" w:rsidR="007F6B47" w:rsidRPr="00C02762" w:rsidRDefault="007F6B47" w:rsidP="007F6B47">
      <w:pPr>
        <w:rPr>
          <w:sz w:val="28"/>
          <w:szCs w:val="28"/>
        </w:rPr>
      </w:pPr>
    </w:p>
    <w:p w14:paraId="6CF0403F" w14:textId="4E8B8332" w:rsidR="004D6B3D" w:rsidRPr="00C02762" w:rsidRDefault="004D6B3D" w:rsidP="002477F1">
      <w:pPr>
        <w:rPr>
          <w:i/>
          <w:iCs/>
          <w:sz w:val="28"/>
          <w:szCs w:val="28"/>
        </w:rPr>
      </w:pPr>
      <w:r w:rsidRPr="00C02762">
        <w:rPr>
          <w:i/>
          <w:iCs/>
          <w:sz w:val="28"/>
          <w:szCs w:val="28"/>
        </w:rPr>
        <w:t>Attorneys for Arizona Attorneys for Criminal Justice</w:t>
      </w:r>
    </w:p>
    <w:p w14:paraId="7117C7BD" w14:textId="77777777" w:rsidR="002477F1" w:rsidRPr="00C02762" w:rsidRDefault="002477F1" w:rsidP="002477F1">
      <w:pPr>
        <w:rPr>
          <w:sz w:val="28"/>
          <w:szCs w:val="28"/>
        </w:rPr>
      </w:pPr>
    </w:p>
    <w:p w14:paraId="38569326" w14:textId="77777777" w:rsidR="002477F1" w:rsidRPr="00C02762" w:rsidRDefault="002477F1" w:rsidP="002477F1">
      <w:pPr>
        <w:jc w:val="center"/>
        <w:rPr>
          <w:b/>
          <w:bCs/>
          <w:sz w:val="28"/>
          <w:szCs w:val="28"/>
        </w:rPr>
      </w:pPr>
      <w:r w:rsidRPr="00C02762">
        <w:rPr>
          <w:b/>
          <w:bCs/>
          <w:sz w:val="28"/>
          <w:szCs w:val="28"/>
        </w:rPr>
        <w:t>SUPREME COURT OF ARIZONA</w:t>
      </w:r>
    </w:p>
    <w:p w14:paraId="6C57EB73" w14:textId="77777777" w:rsidR="002477F1" w:rsidRPr="00C02762" w:rsidRDefault="002477F1" w:rsidP="002477F1">
      <w:pPr>
        <w:jc w:val="center"/>
        <w:rPr>
          <w:sz w:val="28"/>
          <w:szCs w:val="28"/>
        </w:rPr>
      </w:pPr>
    </w:p>
    <w:tbl>
      <w:tblPr>
        <w:tblW w:w="0" w:type="auto"/>
        <w:tblLayout w:type="fixed"/>
        <w:tblCellMar>
          <w:left w:w="0" w:type="dxa"/>
          <w:right w:w="0" w:type="dxa"/>
        </w:tblCellMar>
        <w:tblLook w:val="0000" w:firstRow="0" w:lastRow="0" w:firstColumn="0" w:lastColumn="0" w:noHBand="0" w:noVBand="0"/>
      </w:tblPr>
      <w:tblGrid>
        <w:gridCol w:w="4500"/>
        <w:gridCol w:w="318"/>
        <w:gridCol w:w="4542"/>
      </w:tblGrid>
      <w:tr w:rsidR="002477F1" w:rsidRPr="00C02762" w14:paraId="50CF5E5C" w14:textId="77777777" w:rsidTr="00A60328">
        <w:tc>
          <w:tcPr>
            <w:tcW w:w="4500" w:type="dxa"/>
            <w:tcBorders>
              <w:bottom w:val="single" w:sz="4" w:space="0" w:color="auto"/>
            </w:tcBorders>
          </w:tcPr>
          <w:p w14:paraId="03F08208" w14:textId="2FFD8FE9" w:rsidR="002477F1" w:rsidRPr="00C02762" w:rsidRDefault="00C209F2" w:rsidP="00A60328">
            <w:pPr>
              <w:rPr>
                <w:sz w:val="28"/>
                <w:szCs w:val="28"/>
              </w:rPr>
            </w:pPr>
            <w:bookmarkStart w:id="2" w:name="Parties"/>
            <w:bookmarkEnd w:id="2"/>
            <w:r w:rsidRPr="00C02762">
              <w:rPr>
                <w:sz w:val="28"/>
                <w:szCs w:val="28"/>
              </w:rPr>
              <w:t xml:space="preserve">In the </w:t>
            </w:r>
            <w:r w:rsidR="004D6B3D" w:rsidRPr="00C02762">
              <w:rPr>
                <w:sz w:val="28"/>
                <w:szCs w:val="28"/>
              </w:rPr>
              <w:t>m</w:t>
            </w:r>
            <w:r w:rsidRPr="00C02762">
              <w:rPr>
                <w:sz w:val="28"/>
                <w:szCs w:val="28"/>
              </w:rPr>
              <w:t>atter of</w:t>
            </w:r>
            <w:r w:rsidR="004D6B3D" w:rsidRPr="00C02762">
              <w:rPr>
                <w:sz w:val="28"/>
                <w:szCs w:val="28"/>
              </w:rPr>
              <w:t>:</w:t>
            </w:r>
          </w:p>
          <w:p w14:paraId="7FA59031" w14:textId="0D9996FF" w:rsidR="00C209F2" w:rsidRPr="00C02762" w:rsidRDefault="00C209F2" w:rsidP="00A60328">
            <w:pPr>
              <w:rPr>
                <w:sz w:val="28"/>
                <w:szCs w:val="28"/>
              </w:rPr>
            </w:pPr>
          </w:p>
          <w:p w14:paraId="0B73AD37" w14:textId="2DC5D92D" w:rsidR="002477F1" w:rsidRPr="00C02762" w:rsidRDefault="004D6B3D" w:rsidP="00A60328">
            <w:pPr>
              <w:rPr>
                <w:sz w:val="28"/>
                <w:szCs w:val="28"/>
              </w:rPr>
            </w:pPr>
            <w:r w:rsidRPr="00C02762">
              <w:rPr>
                <w:sz w:val="28"/>
                <w:szCs w:val="28"/>
              </w:rPr>
              <w:t>Petition to Amend Arizona Rule of Criminal Procedure 39(</w:t>
            </w:r>
            <w:r w:rsidR="00BA350B" w:rsidRPr="00C02762">
              <w:rPr>
                <w:sz w:val="28"/>
                <w:szCs w:val="28"/>
              </w:rPr>
              <w:t>b)(12)</w:t>
            </w:r>
          </w:p>
        </w:tc>
        <w:tc>
          <w:tcPr>
            <w:tcW w:w="318" w:type="dxa"/>
          </w:tcPr>
          <w:p w14:paraId="6FC8C9C7" w14:textId="77777777" w:rsidR="002477F1" w:rsidRPr="00C02762" w:rsidRDefault="002477F1" w:rsidP="00A60328">
            <w:pPr>
              <w:rPr>
                <w:sz w:val="28"/>
                <w:szCs w:val="28"/>
              </w:rPr>
            </w:pPr>
            <w:r w:rsidRPr="00C02762">
              <w:rPr>
                <w:sz w:val="28"/>
                <w:szCs w:val="28"/>
              </w:rPr>
              <w:t>)</w:t>
            </w:r>
          </w:p>
          <w:p w14:paraId="04F1DD58" w14:textId="77777777" w:rsidR="002477F1" w:rsidRPr="00C02762" w:rsidRDefault="002477F1" w:rsidP="00A60328">
            <w:pPr>
              <w:rPr>
                <w:sz w:val="28"/>
                <w:szCs w:val="28"/>
              </w:rPr>
            </w:pPr>
            <w:r w:rsidRPr="00C02762">
              <w:rPr>
                <w:sz w:val="28"/>
                <w:szCs w:val="28"/>
              </w:rPr>
              <w:t>)</w:t>
            </w:r>
          </w:p>
          <w:p w14:paraId="4DC52ACC" w14:textId="77777777" w:rsidR="002477F1" w:rsidRPr="00C02762" w:rsidRDefault="002477F1" w:rsidP="00A60328">
            <w:pPr>
              <w:rPr>
                <w:sz w:val="28"/>
                <w:szCs w:val="28"/>
              </w:rPr>
            </w:pPr>
            <w:r w:rsidRPr="00C02762">
              <w:rPr>
                <w:sz w:val="28"/>
                <w:szCs w:val="28"/>
              </w:rPr>
              <w:t>)</w:t>
            </w:r>
          </w:p>
          <w:p w14:paraId="2007A5EF" w14:textId="77777777" w:rsidR="002477F1" w:rsidRPr="00C02762" w:rsidRDefault="002477F1" w:rsidP="00A60328">
            <w:pPr>
              <w:rPr>
                <w:sz w:val="28"/>
                <w:szCs w:val="28"/>
              </w:rPr>
            </w:pPr>
            <w:r w:rsidRPr="00C02762">
              <w:rPr>
                <w:sz w:val="28"/>
                <w:szCs w:val="28"/>
              </w:rPr>
              <w:t>)</w:t>
            </w:r>
          </w:p>
          <w:p w14:paraId="607582C9" w14:textId="77777777" w:rsidR="002477F1" w:rsidRPr="00C02762" w:rsidRDefault="002477F1" w:rsidP="00A60328">
            <w:pPr>
              <w:rPr>
                <w:sz w:val="28"/>
                <w:szCs w:val="28"/>
              </w:rPr>
            </w:pPr>
            <w:r w:rsidRPr="00C02762">
              <w:rPr>
                <w:sz w:val="28"/>
                <w:szCs w:val="28"/>
              </w:rPr>
              <w:t>)</w:t>
            </w:r>
          </w:p>
          <w:p w14:paraId="53B53278" w14:textId="77777777" w:rsidR="002477F1" w:rsidRPr="00C02762" w:rsidRDefault="002477F1" w:rsidP="00A60328">
            <w:pPr>
              <w:rPr>
                <w:sz w:val="28"/>
                <w:szCs w:val="28"/>
              </w:rPr>
            </w:pPr>
            <w:r w:rsidRPr="00C02762">
              <w:rPr>
                <w:sz w:val="28"/>
                <w:szCs w:val="28"/>
              </w:rPr>
              <w:t>)</w:t>
            </w:r>
          </w:p>
          <w:p w14:paraId="08069D6B" w14:textId="77777777" w:rsidR="00DF74A9" w:rsidRDefault="00DF74A9" w:rsidP="00A60328">
            <w:pPr>
              <w:rPr>
                <w:sz w:val="28"/>
                <w:szCs w:val="28"/>
              </w:rPr>
            </w:pPr>
            <w:r w:rsidRPr="00C02762">
              <w:rPr>
                <w:sz w:val="28"/>
                <w:szCs w:val="28"/>
              </w:rPr>
              <w:t>)</w:t>
            </w:r>
          </w:p>
          <w:p w14:paraId="33FCD0AA" w14:textId="77777777" w:rsidR="008D0D96" w:rsidRDefault="008D0D96" w:rsidP="00A60328">
            <w:pPr>
              <w:rPr>
                <w:sz w:val="28"/>
                <w:szCs w:val="28"/>
              </w:rPr>
            </w:pPr>
            <w:r>
              <w:rPr>
                <w:sz w:val="28"/>
                <w:szCs w:val="28"/>
              </w:rPr>
              <w:t>)</w:t>
            </w:r>
          </w:p>
          <w:p w14:paraId="5E322891" w14:textId="04DDD8D9" w:rsidR="008D0D96" w:rsidRPr="00C02762" w:rsidRDefault="008D0D96" w:rsidP="00A60328">
            <w:pPr>
              <w:rPr>
                <w:sz w:val="28"/>
                <w:szCs w:val="28"/>
              </w:rPr>
            </w:pPr>
            <w:r>
              <w:rPr>
                <w:sz w:val="28"/>
                <w:szCs w:val="28"/>
              </w:rPr>
              <w:t>)</w:t>
            </w:r>
          </w:p>
        </w:tc>
        <w:tc>
          <w:tcPr>
            <w:tcW w:w="4542" w:type="dxa"/>
          </w:tcPr>
          <w:p w14:paraId="454B25E1" w14:textId="77777777" w:rsidR="002477F1" w:rsidRPr="00C02762" w:rsidRDefault="002477F1" w:rsidP="00A60328">
            <w:pPr>
              <w:rPr>
                <w:sz w:val="28"/>
                <w:szCs w:val="28"/>
              </w:rPr>
            </w:pPr>
            <w:r w:rsidRPr="00C02762">
              <w:rPr>
                <w:sz w:val="28"/>
                <w:szCs w:val="28"/>
              </w:rPr>
              <w:t>Arizona Supreme Court</w:t>
            </w:r>
          </w:p>
          <w:p w14:paraId="6EF91575" w14:textId="2D76FD44" w:rsidR="002477F1" w:rsidRPr="00C02762" w:rsidRDefault="002477F1" w:rsidP="00A60328">
            <w:pPr>
              <w:rPr>
                <w:sz w:val="28"/>
                <w:szCs w:val="28"/>
              </w:rPr>
            </w:pPr>
            <w:r w:rsidRPr="00C02762">
              <w:rPr>
                <w:sz w:val="28"/>
                <w:szCs w:val="28"/>
              </w:rPr>
              <w:t xml:space="preserve">No. </w:t>
            </w:r>
            <w:r w:rsidR="00C209F2" w:rsidRPr="00C02762">
              <w:rPr>
                <w:sz w:val="28"/>
                <w:szCs w:val="28"/>
              </w:rPr>
              <w:t>R-22- ___________</w:t>
            </w:r>
          </w:p>
          <w:p w14:paraId="64B918D8" w14:textId="77777777" w:rsidR="002477F1" w:rsidRPr="00C02762" w:rsidRDefault="002477F1" w:rsidP="00A60328">
            <w:pPr>
              <w:rPr>
                <w:sz w:val="28"/>
                <w:szCs w:val="28"/>
              </w:rPr>
            </w:pPr>
          </w:p>
          <w:p w14:paraId="5A2E9B54" w14:textId="0B1CE3ED" w:rsidR="002477F1" w:rsidRDefault="00237CCB" w:rsidP="00A60328">
            <w:pPr>
              <w:rPr>
                <w:sz w:val="28"/>
                <w:szCs w:val="28"/>
              </w:rPr>
            </w:pPr>
            <w:r w:rsidRPr="00C02762">
              <w:rPr>
                <w:sz w:val="28"/>
                <w:szCs w:val="28"/>
              </w:rPr>
              <w:t>PETITION TO AMEND ARIZONA R</w:t>
            </w:r>
            <w:r w:rsidR="006C5E32" w:rsidRPr="00C02762">
              <w:rPr>
                <w:sz w:val="28"/>
                <w:szCs w:val="28"/>
              </w:rPr>
              <w:t xml:space="preserve">ULE </w:t>
            </w:r>
            <w:r w:rsidR="00DF74A9" w:rsidRPr="00C02762">
              <w:rPr>
                <w:sz w:val="28"/>
                <w:szCs w:val="28"/>
              </w:rPr>
              <w:t>OF CRIMINAL PROCEDURE 39(b)(12)</w:t>
            </w:r>
          </w:p>
          <w:p w14:paraId="6E60B025" w14:textId="0E526C5D" w:rsidR="004E7FD1" w:rsidRDefault="004E7FD1" w:rsidP="00A60328">
            <w:pPr>
              <w:rPr>
                <w:sz w:val="28"/>
                <w:szCs w:val="28"/>
              </w:rPr>
            </w:pPr>
          </w:p>
          <w:p w14:paraId="0B13D513" w14:textId="0EA3CB21" w:rsidR="004E7FD1" w:rsidRPr="00CF4B32" w:rsidRDefault="004E7FD1" w:rsidP="00A60328">
            <w:pPr>
              <w:rPr>
                <w:b/>
                <w:bCs/>
                <w:sz w:val="28"/>
                <w:szCs w:val="28"/>
              </w:rPr>
            </w:pPr>
            <w:r w:rsidRPr="00CF4B32">
              <w:rPr>
                <w:b/>
                <w:bCs/>
                <w:sz w:val="28"/>
                <w:szCs w:val="28"/>
              </w:rPr>
              <w:t>Expedited Consideration Requested</w:t>
            </w:r>
          </w:p>
          <w:p w14:paraId="17A284DA" w14:textId="77777777" w:rsidR="002477F1" w:rsidRPr="00C02762" w:rsidRDefault="002477F1" w:rsidP="00A60328">
            <w:pPr>
              <w:rPr>
                <w:sz w:val="28"/>
                <w:szCs w:val="28"/>
              </w:rPr>
            </w:pPr>
          </w:p>
        </w:tc>
      </w:tr>
      <w:bookmarkEnd w:id="0"/>
    </w:tbl>
    <w:p w14:paraId="3E63CDFB" w14:textId="0099CB84" w:rsidR="002477F1" w:rsidRPr="00C02762" w:rsidRDefault="002477F1" w:rsidP="002477F1">
      <w:pPr>
        <w:pStyle w:val="Default"/>
        <w:rPr>
          <w:snapToGrid w:val="0"/>
          <w:color w:val="auto"/>
          <w:sz w:val="28"/>
          <w:szCs w:val="28"/>
        </w:rPr>
      </w:pPr>
    </w:p>
    <w:p w14:paraId="357EC488" w14:textId="77777777" w:rsidR="00C209F2" w:rsidRPr="00C02762" w:rsidRDefault="00C209F2" w:rsidP="00C209F2">
      <w:pPr>
        <w:rPr>
          <w:sz w:val="28"/>
          <w:szCs w:val="28"/>
        </w:rPr>
      </w:pPr>
    </w:p>
    <w:p w14:paraId="48E53042" w14:textId="5F9019C0" w:rsidR="00B160FD" w:rsidRPr="00C02762" w:rsidRDefault="00C209F2" w:rsidP="0044388D">
      <w:pPr>
        <w:pStyle w:val="BodyText"/>
      </w:pPr>
      <w:r w:rsidRPr="00C02762">
        <w:t xml:space="preserve">Pursuant to Rule 28, Rules of the Supreme Court of Arizona, </w:t>
      </w:r>
      <w:r w:rsidR="00F5321D" w:rsidRPr="00C02762">
        <w:t xml:space="preserve">Arizona Attorneys for Criminal Justice </w:t>
      </w:r>
      <w:r w:rsidRPr="00C02762">
        <w:t>(“</w:t>
      </w:r>
      <w:r w:rsidR="00F5321D" w:rsidRPr="00C02762">
        <w:t>AACJ</w:t>
      </w:r>
      <w:r w:rsidRPr="00C02762">
        <w:t xml:space="preserve">”) petitions the Court to amend Arizona Rule of </w:t>
      </w:r>
      <w:r w:rsidR="00F5321D" w:rsidRPr="00C02762">
        <w:t>Criminal Procedure 39(b)(12)</w:t>
      </w:r>
      <w:r w:rsidR="009F2BF7" w:rsidRPr="00C02762">
        <w:t>(A) and (B)</w:t>
      </w:r>
      <w:r w:rsidRPr="00C02762">
        <w:t xml:space="preserve">, as reflected in </w:t>
      </w:r>
      <w:r w:rsidR="00401ACF" w:rsidRPr="00C02762">
        <w:t>Exhibit 1</w:t>
      </w:r>
      <w:r w:rsidR="00F5321D" w:rsidRPr="00C02762">
        <w:t xml:space="preserve"> this </w:t>
      </w:r>
      <w:r w:rsidR="00F5321D" w:rsidRPr="00C02762">
        <w:lastRenderedPageBreak/>
        <w:t>petition</w:t>
      </w:r>
      <w:r w:rsidRPr="00C02762">
        <w:t>.</w:t>
      </w:r>
      <w:r w:rsidR="00373430" w:rsidRPr="00C02762">
        <w:rPr>
          <w:rStyle w:val="FootnoteReference"/>
        </w:rPr>
        <w:footnoteReference w:id="1"/>
      </w:r>
      <w:r w:rsidR="00F5321D" w:rsidRPr="00C02762">
        <w:t xml:space="preserve"> AACJ also requests that the </w:t>
      </w:r>
      <w:r w:rsidR="004D6B3D" w:rsidRPr="00C02762">
        <w:t xml:space="preserve">Court give this petition expedited consideration. Ariz. R. Sup. Ct. 28(h)(1). As explained below, there are compelling circumstances requiring the Court’s consideration before </w:t>
      </w:r>
      <w:r w:rsidR="00872564" w:rsidRPr="00C02762">
        <w:t>its</w:t>
      </w:r>
      <w:r w:rsidR="004D6B3D" w:rsidRPr="00C02762">
        <w:t xml:space="preserve"> annual rules agenda.</w:t>
      </w:r>
      <w:r w:rsidR="008B44D6" w:rsidRPr="00C02762">
        <w:t xml:space="preserve"> In </w:t>
      </w:r>
      <w:r w:rsidR="00F915EB" w:rsidRPr="00C02762">
        <w:t>short</w:t>
      </w:r>
      <w:r w:rsidR="008B44D6" w:rsidRPr="00C02762">
        <w:t>, Rule 39(b)(12)</w:t>
      </w:r>
      <w:r w:rsidR="009F2BF7" w:rsidRPr="00C02762">
        <w:t>’s analogue statute</w:t>
      </w:r>
      <w:r w:rsidR="00872564" w:rsidRPr="00C02762">
        <w:t>, A.R.S. §</w:t>
      </w:r>
      <w:r w:rsidR="000221B3" w:rsidRPr="00C02762">
        <w:t> </w:t>
      </w:r>
      <w:r w:rsidR="00872564" w:rsidRPr="00C02762">
        <w:t>13-4433(B),</w:t>
      </w:r>
      <w:r w:rsidR="008B44D6" w:rsidRPr="00C02762">
        <w:t xml:space="preserve"> has been found unconstitutional in violation of the First Amendment by the U.S. District Court for the District of Arizona. </w:t>
      </w:r>
      <w:r w:rsidR="00F67CFA" w:rsidRPr="00C02762">
        <w:rPr>
          <w:i/>
          <w:iCs/>
        </w:rPr>
        <w:t>AACJ et al. v. Brnovich et al.</w:t>
      </w:r>
      <w:r w:rsidR="00F67CFA" w:rsidRPr="00C02762">
        <w:t xml:space="preserve">, </w:t>
      </w:r>
      <w:r w:rsidR="006C5207" w:rsidRPr="00C02762">
        <w:t>No. CV-17-01422-PHX-SPL</w:t>
      </w:r>
      <w:r w:rsidR="00491A2C" w:rsidRPr="00C02762">
        <w:t xml:space="preserve"> (Nov. 2, 2022).</w:t>
      </w:r>
      <w:r w:rsidR="00491A2C" w:rsidRPr="00C02762">
        <w:rPr>
          <w:rStyle w:val="FootnoteReference"/>
        </w:rPr>
        <w:footnoteReference w:id="2"/>
      </w:r>
      <w:r w:rsidR="006C5207" w:rsidRPr="00C02762">
        <w:t xml:space="preserve"> </w:t>
      </w:r>
      <w:r w:rsidR="0044388D" w:rsidRPr="00C02762">
        <w:t xml:space="preserve">There is thus no reason for the continued existence of </w:t>
      </w:r>
      <w:r w:rsidR="00872564" w:rsidRPr="00C02762">
        <w:t>that</w:t>
      </w:r>
      <w:r w:rsidR="0044388D" w:rsidRPr="00C02762">
        <w:t xml:space="preserve"> rule</w:t>
      </w:r>
      <w:r w:rsidR="00872564" w:rsidRPr="00C02762">
        <w:t>.</w:t>
      </w:r>
    </w:p>
    <w:p w14:paraId="11FA12E9" w14:textId="2D1BD1FA" w:rsidR="008B44D6" w:rsidRPr="00C02762" w:rsidRDefault="00872564" w:rsidP="0044388D">
      <w:pPr>
        <w:pStyle w:val="BodyText"/>
      </w:pPr>
      <w:r w:rsidRPr="00C02762">
        <w:t>In fact, the District Court’s order declaring the statute unconstitutional and leaving the rule in place is already causing confusion among judges</w:t>
      </w:r>
      <w:r w:rsidR="004B694C" w:rsidRPr="00C02762">
        <w:t xml:space="preserve"> presiding over criminal cases in Arizona,</w:t>
      </w:r>
      <w:r w:rsidRPr="00C02762">
        <w:t xml:space="preserve"> lawyers involved in</w:t>
      </w:r>
      <w:r w:rsidR="004B694C" w:rsidRPr="00C02762">
        <w:t xml:space="preserve"> litigating those cases, the State Bar of Arizona</w:t>
      </w:r>
      <w:r w:rsidR="00F859ED" w:rsidRPr="00C02762">
        <w:t>, and others</w:t>
      </w:r>
      <w:r w:rsidRPr="00C02762">
        <w:t xml:space="preserve">. This Court should amend Rule 39(b)(12) </w:t>
      </w:r>
      <w:r w:rsidR="00F915EB" w:rsidRPr="00C02762">
        <w:t>on an emergency basis</w:t>
      </w:r>
      <w:r w:rsidRPr="00C02762">
        <w:t xml:space="preserve"> to alleviate this confusion. </w:t>
      </w:r>
      <w:r w:rsidR="00F859ED" w:rsidRPr="00C02762">
        <w:t>More</w:t>
      </w:r>
      <w:r w:rsidRPr="00C02762">
        <w:t xml:space="preserve"> importantly, however, the Court should amend the rule because, for the </w:t>
      </w:r>
      <w:r w:rsidR="00A3051E" w:rsidRPr="00C02762">
        <w:t>reasons thoroughly explained by the District Court</w:t>
      </w:r>
      <w:r w:rsidR="00061DCE" w:rsidRPr="00C02762">
        <w:t xml:space="preserve"> regarding A.R.S. § 13-4433(B)</w:t>
      </w:r>
      <w:r w:rsidR="00A3051E" w:rsidRPr="00C02762">
        <w:t xml:space="preserve">, </w:t>
      </w:r>
      <w:r w:rsidR="00061DCE" w:rsidRPr="00C02762">
        <w:t>Rule 39(b)(12)</w:t>
      </w:r>
      <w:r w:rsidR="004B694C" w:rsidRPr="00C02762">
        <w:t>’s</w:t>
      </w:r>
      <w:r w:rsidR="00A3051E" w:rsidRPr="00C02762">
        <w:t xml:space="preserve"> restriction</w:t>
      </w:r>
      <w:r w:rsidR="00357805" w:rsidRPr="00C02762">
        <w:t>s</w:t>
      </w:r>
      <w:r w:rsidR="00A3051E" w:rsidRPr="00C02762">
        <w:t xml:space="preserve"> on </w:t>
      </w:r>
      <w:r w:rsidR="00357805" w:rsidRPr="00C02762">
        <w:t>communications between criminal-defense lawyers and crime victims violates their free-speech rights under the U.S. and Arizona Constitutions. U.S. Const. amend. I; Ariz. Const. art. 2, § 6.</w:t>
      </w:r>
    </w:p>
    <w:p w14:paraId="4C0B315F" w14:textId="5087B886" w:rsidR="00655507" w:rsidRPr="00C02762" w:rsidRDefault="00655507" w:rsidP="00EA01C3">
      <w:pPr>
        <w:pStyle w:val="Heading1"/>
        <w:keepNext/>
      </w:pPr>
      <w:r w:rsidRPr="00C02762">
        <w:lastRenderedPageBreak/>
        <w:t xml:space="preserve">Background on AACJ </w:t>
      </w:r>
    </w:p>
    <w:p w14:paraId="57EE94E3" w14:textId="6E1BDE61" w:rsidR="00BA350B" w:rsidRPr="00C02762" w:rsidRDefault="00BA350B" w:rsidP="007911B6">
      <w:pPr>
        <w:pStyle w:val="BodyText"/>
      </w:pPr>
      <w:r w:rsidRPr="00C02762">
        <w:t>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w:t>
      </w:r>
      <w:r w:rsidR="00255EC4" w:rsidRPr="00C02762">
        <w:t>-</w:t>
      </w:r>
      <w:r w:rsidRPr="00C02762">
        <w:t xml:space="preserve">defense lawyers, law students, and associated professionals dedicated to protecting the rights of the accused in the courts and in the legislature, promoting excellence in the practice of criminal law through education, training and mutual assistance, and fostering public awareness of citizens’ rights, the criminal </w:t>
      </w:r>
      <w:r w:rsidR="009F2BF7" w:rsidRPr="00C02762">
        <w:t>legal</w:t>
      </w:r>
      <w:r w:rsidRPr="00C02762">
        <w:t xml:space="preserve"> system, and the role of the defense lawyer.</w:t>
      </w:r>
    </w:p>
    <w:p w14:paraId="0DF837D2" w14:textId="0701ECD3" w:rsidR="00826234" w:rsidRPr="00C02762" w:rsidRDefault="00826234" w:rsidP="00826234">
      <w:pPr>
        <w:pStyle w:val="Heading1"/>
      </w:pPr>
      <w:r w:rsidRPr="00C02762">
        <w:t xml:space="preserve">Background on </w:t>
      </w:r>
      <w:r w:rsidRPr="00C02762">
        <w:rPr>
          <w:i/>
          <w:iCs/>
        </w:rPr>
        <w:t>AACJ v. Brnovich</w:t>
      </w:r>
    </w:p>
    <w:p w14:paraId="2478A174" w14:textId="24D7FD2C" w:rsidR="00655507" w:rsidRPr="00C02762" w:rsidRDefault="00655507" w:rsidP="007911B6">
      <w:pPr>
        <w:pStyle w:val="BodyText"/>
      </w:pPr>
      <w:r w:rsidRPr="00C02762">
        <w:t xml:space="preserve">AACJ is a plaintiff in the federal litigation, first filed in May 2017, challenging the constitutionality of A.R.S. § 13-4433(B), along with five individual criminal-defense lawyers and an investigator who regularly works with defense lawyers. The defendants in the case are the Arizona Attorney General, the Chief Counsel of the State Bar of Arizona, and the Director of the Arizona Department of Public Safety. </w:t>
      </w:r>
      <w:r w:rsidR="00E47B79" w:rsidRPr="00C02762">
        <w:t>AACJ’s litigation challenge</w:t>
      </w:r>
      <w:r w:rsidR="003F7529" w:rsidRPr="00C02762">
        <w:t>d</w:t>
      </w:r>
      <w:r w:rsidR="00E47B79" w:rsidRPr="00C02762">
        <w:t xml:space="preserve"> the constitutionality of the statute, but did not challenge the analogous provision</w:t>
      </w:r>
      <w:r w:rsidR="00CF4600" w:rsidRPr="00C02762">
        <w:t>s</w:t>
      </w:r>
      <w:r w:rsidR="00E47B79" w:rsidRPr="00C02762">
        <w:t xml:space="preserve"> in Rule 39(b)(12). </w:t>
      </w:r>
      <w:r w:rsidRPr="00C02762">
        <w:t xml:space="preserve">After a long procedural history that addressed and eventually disposed of numerous </w:t>
      </w:r>
      <w:r w:rsidRPr="00C02762">
        <w:lastRenderedPageBreak/>
        <w:t xml:space="preserve">procedural defenses, </w:t>
      </w:r>
      <w:r w:rsidR="00C01647" w:rsidRPr="00C02762">
        <w:t xml:space="preserve">the District Court held a bench trial </w:t>
      </w:r>
      <w:r w:rsidR="00B160FD" w:rsidRPr="00C02762">
        <w:t xml:space="preserve">on the merits </w:t>
      </w:r>
      <w:r w:rsidR="00C01647" w:rsidRPr="00C02762">
        <w:t xml:space="preserve">on </w:t>
      </w:r>
      <w:r w:rsidR="00F824AE" w:rsidRPr="00C02762">
        <w:t>September 22, 2022</w:t>
      </w:r>
      <w:r w:rsidR="00C01647" w:rsidRPr="00C02762">
        <w:t>.</w:t>
      </w:r>
    </w:p>
    <w:p w14:paraId="061EF4E7" w14:textId="3112D713" w:rsidR="00C01647" w:rsidRPr="00C02762" w:rsidRDefault="00C01647" w:rsidP="007911B6">
      <w:pPr>
        <w:pStyle w:val="BodyText"/>
      </w:pPr>
      <w:r w:rsidRPr="00C02762">
        <w:t xml:space="preserve">Following post-trial briefing, the District Court </w:t>
      </w:r>
      <w:r w:rsidR="0001776C" w:rsidRPr="00C02762">
        <w:t xml:space="preserve">held </w:t>
      </w:r>
      <w:r w:rsidR="000268D9" w:rsidRPr="00C02762">
        <w:t xml:space="preserve">on November 2, 2022, </w:t>
      </w:r>
      <w:r w:rsidR="0001776C" w:rsidRPr="00C02762">
        <w:t xml:space="preserve">that § 13-4433(B), which </w:t>
      </w:r>
      <w:r w:rsidR="00512CA1" w:rsidRPr="00C02762">
        <w:t xml:space="preserve">requires that defense lawyers “shall only initiate contact with the victim through the prosecutor’s office,” </w:t>
      </w:r>
      <w:r w:rsidR="001351F2" w:rsidRPr="00C02762">
        <w:t>violates the First Amendment rights of defense lawyers and others working on the defense team.</w:t>
      </w:r>
      <w:r w:rsidR="00255EC4" w:rsidRPr="00C02762">
        <w:rPr>
          <w:rStyle w:val="FootnoteReference"/>
        </w:rPr>
        <w:footnoteReference w:id="3"/>
      </w:r>
      <w:r w:rsidR="000268D9" w:rsidRPr="00C02762">
        <w:t xml:space="preserve"> The court’s thorough Findings of Fact and Conclusions of Law make clear that criminal</w:t>
      </w:r>
      <w:r w:rsidR="001F6AA7" w:rsidRPr="00C02762">
        <w:t>-</w:t>
      </w:r>
      <w:r w:rsidR="000268D9" w:rsidRPr="00C02762">
        <w:t>defense attorneys have a First Amendment right to initiate contact with crime victims and to engage with those victims in robust communications, including discussion and questions about the facts and circumstances of any crime with which the attorney’s client is charged.</w:t>
      </w:r>
      <w:r w:rsidR="00DC30A2" w:rsidRPr="00C02762">
        <w:rPr>
          <w:rStyle w:val="FootnoteReference"/>
        </w:rPr>
        <w:footnoteReference w:id="4"/>
      </w:r>
    </w:p>
    <w:p w14:paraId="0DC210DE" w14:textId="546476B9" w:rsidR="007C3AC1" w:rsidRPr="00C02762" w:rsidRDefault="007C3AC1" w:rsidP="007C3AC1">
      <w:pPr>
        <w:pStyle w:val="BodyText"/>
      </w:pPr>
      <w:r w:rsidRPr="00C02762">
        <w:t xml:space="preserve">As most relevant to this petition, the District Court </w:t>
      </w:r>
      <w:r w:rsidR="0050233E" w:rsidRPr="00C02762">
        <w:t xml:space="preserve">found that </w:t>
      </w:r>
      <w:r w:rsidRPr="00C02762">
        <w:t>criminal-defense lawyers and investigators “wish to speak to crime victims to investigate the facts and circumstances of the alleged criminal offense.”</w:t>
      </w:r>
      <w:r w:rsidR="009D5D5A" w:rsidRPr="00C02762">
        <w:rPr>
          <w:rStyle w:val="FootnoteReference"/>
        </w:rPr>
        <w:footnoteReference w:id="5"/>
      </w:r>
      <w:r w:rsidRPr="00C02762">
        <w:t xml:space="preserve"> The court noted that “law enforcement investigations often fail to capture an accurate or complete accounting of the events—especially the background history and surrounding circumstances of the crime,” and thus defense lawyers want to speak with crime victims to gain a “fuller picture of the facts,” to possibly “uncover exculpatory </w:t>
      </w:r>
      <w:r w:rsidRPr="00C02762">
        <w:lastRenderedPageBreak/>
        <w:t>information,” and often to “gather mitigation evidence.”</w:t>
      </w:r>
      <w:r w:rsidR="00713B23" w:rsidRPr="00C02762">
        <w:rPr>
          <w:rStyle w:val="FootnoteReference"/>
        </w:rPr>
        <w:footnoteReference w:id="6"/>
      </w:r>
      <w:r w:rsidRPr="00C02762">
        <w:t xml:space="preserve"> </w:t>
      </w:r>
      <w:r w:rsidR="00B160FD" w:rsidRPr="00C02762">
        <w:t>The</w:t>
      </w:r>
      <w:r w:rsidRPr="00C02762">
        <w:t xml:space="preserve"> </w:t>
      </w:r>
      <w:r w:rsidR="00B160FD" w:rsidRPr="00C02762">
        <w:t>c</w:t>
      </w:r>
      <w:r w:rsidRPr="00C02762">
        <w:t xml:space="preserve">ourt also found that </w:t>
      </w:r>
      <w:r w:rsidR="002C01DE" w:rsidRPr="00C02762">
        <w:t xml:space="preserve">defense lawyers </w:t>
      </w:r>
      <w:r w:rsidRPr="00C02762">
        <w:t>“want to be able to communicate with victims who have unresolved questions about the crime committed against them.”</w:t>
      </w:r>
      <w:r w:rsidR="00713B23" w:rsidRPr="00C02762">
        <w:rPr>
          <w:rStyle w:val="FootnoteReference"/>
        </w:rPr>
        <w:footnoteReference w:id="7"/>
      </w:r>
      <w:r w:rsidRPr="00C02762">
        <w:t xml:space="preserve"> Indeed, </w:t>
      </w:r>
      <w:r w:rsidR="002C01DE" w:rsidRPr="00C02762">
        <w:t xml:space="preserve">defense lawyers </w:t>
      </w:r>
      <w:r w:rsidRPr="00C02762">
        <w:t>“wish to communicate a variety of messages to victims.”</w:t>
      </w:r>
      <w:r w:rsidR="00713B23" w:rsidRPr="00C02762">
        <w:rPr>
          <w:rStyle w:val="FootnoteReference"/>
        </w:rPr>
        <w:footnoteReference w:id="8"/>
      </w:r>
      <w:r w:rsidRPr="00C02762">
        <w:t xml:space="preserve"> </w:t>
      </w:r>
      <w:r w:rsidR="00657679" w:rsidRPr="00C02762">
        <w:t>The court</w:t>
      </w:r>
      <w:r w:rsidRPr="00C02762">
        <w:t xml:space="preserve"> </w:t>
      </w:r>
      <w:r w:rsidR="00657679" w:rsidRPr="00C02762">
        <w:t>also</w:t>
      </w:r>
      <w:r w:rsidRPr="00C02762">
        <w:t xml:space="preserve"> found that, “as opposed to contributing to the proper functioning of the legal system, there is evidence that the Statute actually </w:t>
      </w:r>
      <w:r w:rsidRPr="00C02762">
        <w:rPr>
          <w:b/>
          <w:bCs/>
        </w:rPr>
        <w:t>detracts from it by inhibiting the defense team’s ability to investigate the relevant facts</w:t>
      </w:r>
      <w:r w:rsidRPr="00C02762">
        <w:t>.”</w:t>
      </w:r>
      <w:r w:rsidR="00713B23" w:rsidRPr="00C02762">
        <w:rPr>
          <w:rStyle w:val="FootnoteReference"/>
        </w:rPr>
        <w:footnoteReference w:id="9"/>
      </w:r>
      <w:r w:rsidRPr="00C02762">
        <w:t xml:space="preserve"> </w:t>
      </w:r>
    </w:p>
    <w:p w14:paraId="7F7E91B4" w14:textId="11303695" w:rsidR="007C3AC1" w:rsidRPr="00C02762" w:rsidRDefault="007C3AC1" w:rsidP="007C3AC1">
      <w:pPr>
        <w:pStyle w:val="BodyText"/>
      </w:pPr>
      <w:r w:rsidRPr="00C02762">
        <w:t xml:space="preserve">Similarly, in its Conclusions of Law, the </w:t>
      </w:r>
      <w:r w:rsidR="00C10F72" w:rsidRPr="00C02762">
        <w:t xml:space="preserve">District </w:t>
      </w:r>
      <w:r w:rsidRPr="00C02762">
        <w:t>Court held that criminal</w:t>
      </w:r>
      <w:r w:rsidR="008218AC" w:rsidRPr="00C02762">
        <w:t>-</w:t>
      </w:r>
      <w:r w:rsidRPr="00C02762">
        <w:t>defense attorneys and their agents have a First Amendment right to “pure communication through the expression or exchange of ideas.”</w:t>
      </w:r>
      <w:r w:rsidR="00B302B5" w:rsidRPr="00C02762">
        <w:rPr>
          <w:rStyle w:val="FootnoteReference"/>
        </w:rPr>
        <w:footnoteReference w:id="10"/>
      </w:r>
      <w:r w:rsidRPr="00C02762">
        <w:t xml:space="preserve"> </w:t>
      </w:r>
      <w:r w:rsidR="00C10F72" w:rsidRPr="00C02762">
        <w:t>I</w:t>
      </w:r>
      <w:r w:rsidRPr="00C02762">
        <w:t xml:space="preserve">n holding that the statute “is facially content neutral but speaker based,” the </w:t>
      </w:r>
      <w:r w:rsidR="00C10F72" w:rsidRPr="00C02762">
        <w:t>c</w:t>
      </w:r>
      <w:r w:rsidRPr="00C02762">
        <w:t>ourt noted that the First Amendment protects the right of criminal</w:t>
      </w:r>
      <w:r w:rsidR="00C10F72" w:rsidRPr="00C02762">
        <w:t>-</w:t>
      </w:r>
      <w:r w:rsidRPr="00C02762">
        <w:t xml:space="preserve">defense attorneys and their agents “to speak to victims about </w:t>
      </w:r>
      <w:r w:rsidRPr="00C02762">
        <w:rPr>
          <w:b/>
          <w:bCs/>
        </w:rPr>
        <w:t>all topics</w:t>
      </w:r>
      <w:r w:rsidRPr="00C02762">
        <w:t>.”</w:t>
      </w:r>
      <w:r w:rsidR="00B302B5" w:rsidRPr="00C02762">
        <w:rPr>
          <w:rStyle w:val="FootnoteReference"/>
        </w:rPr>
        <w:footnoteReference w:id="11"/>
      </w:r>
      <w:r w:rsidRPr="00C02762">
        <w:t xml:space="preserve"> </w:t>
      </w:r>
    </w:p>
    <w:p w14:paraId="5A9C8E5E" w14:textId="57FB6F43" w:rsidR="005C78FF" w:rsidRPr="00C02762" w:rsidRDefault="00442751" w:rsidP="007C3AC1">
      <w:pPr>
        <w:pStyle w:val="BodyText"/>
      </w:pPr>
      <w:r w:rsidRPr="00C02762">
        <w:t xml:space="preserve">Because the federal litigation did not explicitly challenge Rule 39(b)(12), the District Court stated in a footnote that its order should not “be construed to enjoin enforcement of . . . the requirement under Arizona Rule of Criminal Procedure </w:t>
      </w:r>
      <w:r w:rsidRPr="00C02762">
        <w:lastRenderedPageBreak/>
        <w:t>39(b)(12) that the defense must communicate a request to interview a victim to the prosecutor rather than the victim.”</w:t>
      </w:r>
      <w:r w:rsidR="00192C26" w:rsidRPr="00C02762">
        <w:rPr>
          <w:rStyle w:val="FootnoteReference"/>
        </w:rPr>
        <w:footnoteReference w:id="12"/>
      </w:r>
      <w:r w:rsidRPr="00C02762">
        <w:t xml:space="preserve"> </w:t>
      </w:r>
      <w:r w:rsidR="009902BA" w:rsidRPr="00C02762">
        <w:t xml:space="preserve">Another footnote in the District Court’s Findings of Fact relatedly notes, </w:t>
      </w:r>
    </w:p>
    <w:p w14:paraId="1549E504" w14:textId="63E8403E" w:rsidR="00442751" w:rsidRPr="00C02762" w:rsidRDefault="009902BA" w:rsidP="001B2F4E">
      <w:pPr>
        <w:pStyle w:val="Quote"/>
        <w:ind w:left="1440" w:right="1440"/>
        <w:jc w:val="both"/>
      </w:pPr>
      <w:r w:rsidRPr="00C02762">
        <w:t>Defendants argue that the Statute is not the only obstacle to Plaintiff’s speech, as Arizona Rule of Criminal Procedure 39(b)(12)(A) contains a similar prohibition. But as the Ninth Circuit held, the Statute is broader than Rule 39(b)(12)(A), so it is possible to violate the Statute without violating the Rule.</w:t>
      </w:r>
      <w:r w:rsidR="00192C26" w:rsidRPr="00C02762">
        <w:rPr>
          <w:rStyle w:val="FootnoteReference"/>
        </w:rPr>
        <w:footnoteReference w:id="13"/>
      </w:r>
    </w:p>
    <w:p w14:paraId="49269298" w14:textId="2B9FAF67" w:rsidR="00B160FD" w:rsidRPr="00C02762" w:rsidRDefault="00E20EA0" w:rsidP="007C3AC1">
      <w:pPr>
        <w:pStyle w:val="BodyText"/>
      </w:pPr>
      <w:r w:rsidRPr="00C02762">
        <w:t xml:space="preserve">The Attorney General </w:t>
      </w:r>
      <w:r w:rsidR="007F6E6E" w:rsidRPr="00C02762">
        <w:t xml:space="preserve">has </w:t>
      </w:r>
      <w:r w:rsidRPr="00C02762">
        <w:t>filed a notice of appeal in the federal litigation, but has not requested a stay of the District Court’s orders from either the District Court or the Ninth Circuit.</w:t>
      </w:r>
    </w:p>
    <w:p w14:paraId="4538CA44" w14:textId="712073C3" w:rsidR="00003A2B" w:rsidRPr="00C02762" w:rsidRDefault="00311716" w:rsidP="00DC1CA6">
      <w:pPr>
        <w:pStyle w:val="Heading1"/>
        <w:keepNext/>
      </w:pPr>
      <w:r w:rsidRPr="00C02762">
        <w:t>Confusion Related to Rule 39(b)(12)</w:t>
      </w:r>
    </w:p>
    <w:p w14:paraId="562C37B6" w14:textId="15545375" w:rsidR="00E20EA0" w:rsidRPr="00C02762" w:rsidRDefault="00E051DD" w:rsidP="00003A2B">
      <w:pPr>
        <w:pStyle w:val="BodyText"/>
      </w:pPr>
      <w:r w:rsidRPr="00C02762">
        <w:t xml:space="preserve">On </w:t>
      </w:r>
      <w:r w:rsidR="00003A2B" w:rsidRPr="00C02762">
        <w:t>November 16, 2022</w:t>
      </w:r>
      <w:r w:rsidRPr="00C02762">
        <w:t xml:space="preserve">, the </w:t>
      </w:r>
      <w:r w:rsidR="00E20EA0" w:rsidRPr="00C02762">
        <w:t>Chief Bar Counsel filed a Rule 59(e) Motion to Alter or Amend Judgment</w:t>
      </w:r>
      <w:r w:rsidRPr="00C02762">
        <w:t xml:space="preserve"> with the District Court asking for clarification</w:t>
      </w:r>
      <w:r w:rsidR="002709A8" w:rsidRPr="00C02762">
        <w:t xml:space="preserve"> of the orders and </w:t>
      </w:r>
      <w:r w:rsidR="00003A2B" w:rsidRPr="00C02762">
        <w:t xml:space="preserve">claiming that “she just needs to know what she is allowed to do without violating the Court’s judgment” because the court’s note about Rule 39(b)(12) “creates . . . ambiguity” </w:t>
      </w:r>
      <w:r w:rsidR="000301F7" w:rsidRPr="00C02762">
        <w:t xml:space="preserve">about </w:t>
      </w:r>
      <w:r w:rsidR="00003A2B" w:rsidRPr="00C02762">
        <w:t xml:space="preserve">whether she can “investigate and seek discipline against defense attorneys who directly ‘request to interview’ a crime victim </w:t>
      </w:r>
      <w:r w:rsidR="00003A2B" w:rsidRPr="00C02762">
        <w:lastRenderedPageBreak/>
        <w:t>without going through the prosecutor.”</w:t>
      </w:r>
      <w:r w:rsidR="00192C26" w:rsidRPr="00C02762">
        <w:rPr>
          <w:rStyle w:val="FootnoteReference"/>
        </w:rPr>
        <w:footnoteReference w:id="14"/>
      </w:r>
      <w:r w:rsidR="00003A2B" w:rsidRPr="00C02762">
        <w:t xml:space="preserve"> </w:t>
      </w:r>
      <w:r w:rsidR="000301F7" w:rsidRPr="00C02762">
        <w:t>AACJ and the other plaintiffs filed their response to the</w:t>
      </w:r>
      <w:r w:rsidR="007C1DCA" w:rsidRPr="00C02762">
        <w:t xml:space="preserve"> Chief Bar Counsel’s</w:t>
      </w:r>
      <w:r w:rsidR="000301F7" w:rsidRPr="00C02762">
        <w:t xml:space="preserve"> motion on November 28, 2022.</w:t>
      </w:r>
      <w:r w:rsidR="00845FC8" w:rsidRPr="00C02762">
        <w:rPr>
          <w:rStyle w:val="FootnoteReference"/>
        </w:rPr>
        <w:footnoteReference w:id="15"/>
      </w:r>
    </w:p>
    <w:p w14:paraId="2E940A60" w14:textId="65AC08B7" w:rsidR="00756030" w:rsidRPr="00C02762" w:rsidRDefault="00756030" w:rsidP="00003A2B">
      <w:pPr>
        <w:pStyle w:val="BodyText"/>
      </w:pPr>
      <w:r w:rsidRPr="00C02762">
        <w:t xml:space="preserve">In the meantime, AACJ has begun </w:t>
      </w:r>
      <w:r w:rsidR="00311716" w:rsidRPr="00C02762">
        <w:t>receiving</w:t>
      </w:r>
      <w:r w:rsidRPr="00C02762">
        <w:t xml:space="preserve"> information about how people in the legal community are interpreting and implementing the District Court’s orders, including defense lawyers and investigators, prosecutorial agencies, and courts.</w:t>
      </w:r>
      <w:r w:rsidR="00311716" w:rsidRPr="00C02762">
        <w:t xml:space="preserve"> For example, shortly after the District Court issued its orders, the Maricopa County Attorney’s Office requested, and a Maricopa County Superior Court granted, an order preventing a criminal</w:t>
      </w:r>
      <w:r w:rsidR="0068590F" w:rsidRPr="00C02762">
        <w:t>-</w:t>
      </w:r>
      <w:r w:rsidR="00311716" w:rsidRPr="00C02762">
        <w:t xml:space="preserve">defense </w:t>
      </w:r>
      <w:r w:rsidR="0068590F" w:rsidRPr="00C02762">
        <w:t>lawyer</w:t>
      </w:r>
      <w:r w:rsidR="00311716" w:rsidRPr="00C02762">
        <w:t xml:space="preserve"> from speaking with crime victims </w:t>
      </w:r>
      <w:r w:rsidR="0068590F" w:rsidRPr="00C02762">
        <w:t>because</w:t>
      </w:r>
      <w:r w:rsidR="00311716" w:rsidRPr="00C02762">
        <w:t xml:space="preserve"> “any inquiry into the facts of the [client’s] case is an interview and must come through the State pursuant to Rule 39.”</w:t>
      </w:r>
      <w:r w:rsidR="00E975FC" w:rsidRPr="00C02762">
        <w:rPr>
          <w:rStyle w:val="FootnoteReference"/>
        </w:rPr>
        <w:footnoteReference w:id="16"/>
      </w:r>
      <w:r w:rsidR="00311716" w:rsidRPr="00C02762">
        <w:t xml:space="preserve"> </w:t>
      </w:r>
      <w:r w:rsidR="001A6A99" w:rsidRPr="00C02762">
        <w:t xml:space="preserve">The Maricopa County Attorney’s Office also has begun notifying crime victims about the District Court’s order but </w:t>
      </w:r>
      <w:r w:rsidR="00B57F01" w:rsidRPr="00C02762">
        <w:t xml:space="preserve">is </w:t>
      </w:r>
      <w:r w:rsidR="001A6A99" w:rsidRPr="00C02762">
        <w:t>advising victims that “the defendant’s attorney and the attorney’s employees are prohibited from asking you to participate in an interview or otherwise interview you. Any request to interview you must still go through the Maricopa County Attorney’s Office.”</w:t>
      </w:r>
      <w:r w:rsidR="00B57F01" w:rsidRPr="00C02762">
        <w:t xml:space="preserve"> </w:t>
      </w:r>
    </w:p>
    <w:p w14:paraId="664627E0" w14:textId="52CDFE0E" w:rsidR="00BA350B" w:rsidRPr="00C02762" w:rsidRDefault="005C78FF" w:rsidP="002C6CC0">
      <w:pPr>
        <w:pStyle w:val="BodyText"/>
      </w:pPr>
      <w:r w:rsidRPr="00C02762">
        <w:t xml:space="preserve">Given this confusion among the State Bar, the courts, and the legal community about how to deal with Rule 39(b)(12) in light of the District Court’s </w:t>
      </w:r>
      <w:r w:rsidRPr="00C02762">
        <w:lastRenderedPageBreak/>
        <w:t xml:space="preserve">orders </w:t>
      </w:r>
      <w:r w:rsidR="00D37C4A" w:rsidRPr="00C02762">
        <w:t xml:space="preserve">holding </w:t>
      </w:r>
      <w:r w:rsidR="00512CA1" w:rsidRPr="00C02762">
        <w:t xml:space="preserve">A.R.S. </w:t>
      </w:r>
      <w:r w:rsidR="00D37C4A" w:rsidRPr="00C02762">
        <w:t>§ 13-4433(B) unconstitutional, this Court should amend Rule 39(b)(12) as soon as possible.</w:t>
      </w:r>
    </w:p>
    <w:p w14:paraId="6B45F051" w14:textId="65FDF7C9" w:rsidR="00C209F2" w:rsidRPr="00C02762" w:rsidRDefault="003E69D9" w:rsidP="0001776C">
      <w:pPr>
        <w:pStyle w:val="Heading1"/>
      </w:pPr>
      <w:r w:rsidRPr="00C02762">
        <w:t>Background</w:t>
      </w:r>
      <w:r w:rsidR="0001776C" w:rsidRPr="00C02762">
        <w:t xml:space="preserve"> on Rule 39(</w:t>
      </w:r>
      <w:r w:rsidR="00AC39E7" w:rsidRPr="00C02762">
        <w:t>b</w:t>
      </w:r>
      <w:r w:rsidR="0001776C" w:rsidRPr="00C02762">
        <w:t>)(12)</w:t>
      </w:r>
    </w:p>
    <w:p w14:paraId="739C1FAE" w14:textId="6D29D98B" w:rsidR="00DF35A2" w:rsidRPr="00C02762" w:rsidRDefault="00DF35A2" w:rsidP="007911B6">
      <w:pPr>
        <w:pStyle w:val="BodyText"/>
      </w:pPr>
      <w:r w:rsidRPr="00C02762">
        <w:t>This Court first adopted Rule 39 in 1989.</w:t>
      </w:r>
      <w:r w:rsidR="00827017" w:rsidRPr="00C02762">
        <w:rPr>
          <w:rStyle w:val="FootnoteReference"/>
        </w:rPr>
        <w:footnoteReference w:id="17"/>
      </w:r>
      <w:r w:rsidRPr="00C02762">
        <w:t xml:space="preserve"> The original Rule 39 prescribed </w:t>
      </w:r>
      <w:r w:rsidR="003F0DF3" w:rsidRPr="00C02762">
        <w:t xml:space="preserve">several </w:t>
      </w:r>
      <w:r w:rsidRPr="00C02762">
        <w:t>protections for victims related to pre-trial interviews and depositions, but the rule did not require the defense team to initiate contact with a crime victim, about an interview or anything else, through the prosecution.</w:t>
      </w:r>
      <w:r w:rsidR="00100061" w:rsidRPr="00C02762">
        <w:rPr>
          <w:rStyle w:val="FootnoteReference"/>
        </w:rPr>
        <w:footnoteReference w:id="18"/>
      </w:r>
      <w:r w:rsidRPr="00C02762">
        <w:t xml:space="preserve"> </w:t>
      </w:r>
      <w:r w:rsidR="00100061" w:rsidRPr="00C02762">
        <w:t>In fact, the first version of Rule 39 recognized that there might be a “conflict of interest between the state or any other prosecutorial entity and the wishes of the victim.”</w:t>
      </w:r>
      <w:r w:rsidR="003F0DF3" w:rsidRPr="00C02762">
        <w:rPr>
          <w:rStyle w:val="FootnoteReference"/>
        </w:rPr>
        <w:footnoteReference w:id="19"/>
      </w:r>
      <w:r w:rsidR="003F0DF3" w:rsidRPr="00C02762">
        <w:t xml:space="preserve"> The first version of Rule 39 also recognized that “society’s interests in furthering the truth-finding function of the proceedings” could be compromised by a victim’s refusal to answer questions in a </w:t>
      </w:r>
      <w:r w:rsidR="00865B9E" w:rsidRPr="00C02762">
        <w:t xml:space="preserve">pre-trial </w:t>
      </w:r>
      <w:r w:rsidR="003F0DF3" w:rsidRPr="00C02762">
        <w:t>deposition or interview.</w:t>
      </w:r>
      <w:r w:rsidR="00040B6C" w:rsidRPr="00C02762">
        <w:rPr>
          <w:rStyle w:val="FootnoteReference"/>
        </w:rPr>
        <w:footnoteReference w:id="20"/>
      </w:r>
    </w:p>
    <w:p w14:paraId="5243B440" w14:textId="616C54AA" w:rsidR="00BC3215" w:rsidRPr="00C02762" w:rsidRDefault="006B6FEF" w:rsidP="006B6FEF">
      <w:pPr>
        <w:pStyle w:val="BodyText"/>
      </w:pPr>
      <w:r w:rsidRPr="00C02762">
        <w:lastRenderedPageBreak/>
        <w:t>In November 1990, Arizona voters approved the Victims</w:t>
      </w:r>
      <w:r w:rsidR="00491C6B" w:rsidRPr="00C02762">
        <w:t>’</w:t>
      </w:r>
      <w:r w:rsidRPr="00C02762">
        <w:t xml:space="preserve"> Bill of Rights</w:t>
      </w:r>
      <w:r w:rsidR="00491C6B" w:rsidRPr="00C02762">
        <w:t xml:space="preserve"> (“VBR”) as a constitutional amendment</w:t>
      </w:r>
      <w:r w:rsidRPr="00C02762">
        <w:t xml:space="preserve">. Among </w:t>
      </w:r>
      <w:r w:rsidR="00006C13" w:rsidRPr="00C02762">
        <w:t>the</w:t>
      </w:r>
      <w:r w:rsidRPr="00C02762">
        <w:t xml:space="preserve"> provisions </w:t>
      </w:r>
      <w:r w:rsidR="00306F18" w:rsidRPr="00C02762">
        <w:t xml:space="preserve">of </w:t>
      </w:r>
      <w:r w:rsidR="00491C6B" w:rsidRPr="00C02762">
        <w:t xml:space="preserve">the VBR </w:t>
      </w:r>
      <w:r w:rsidR="00306F18" w:rsidRPr="00C02762">
        <w:t>is</w:t>
      </w:r>
      <w:r w:rsidRPr="00C02762">
        <w:t xml:space="preserve"> the right of a victim to refuse a pre-trial interview or deposition. </w:t>
      </w:r>
      <w:r w:rsidR="00006C13" w:rsidRPr="00C02762">
        <w:t>Ariz. Const. art. 2, §</w:t>
      </w:r>
      <w:r w:rsidR="00B50EF6" w:rsidRPr="00C02762">
        <w:t> </w:t>
      </w:r>
      <w:r w:rsidR="00006C13" w:rsidRPr="00C02762">
        <w:t>2.1(</w:t>
      </w:r>
      <w:r w:rsidR="00773600" w:rsidRPr="00C02762">
        <w:t>A)(5</w:t>
      </w:r>
      <w:r w:rsidR="00006C13" w:rsidRPr="00C02762">
        <w:t xml:space="preserve">). </w:t>
      </w:r>
      <w:r w:rsidR="00306F18" w:rsidRPr="00C02762">
        <w:t>AACJ did not challenge that provision</w:t>
      </w:r>
      <w:r w:rsidR="00491C6B" w:rsidRPr="00C02762">
        <w:t xml:space="preserve"> (or any other part of the VBR)</w:t>
      </w:r>
      <w:r w:rsidR="00306F18" w:rsidRPr="00C02762">
        <w:t xml:space="preserve"> in the federal litigation</w:t>
      </w:r>
      <w:r w:rsidR="00491C6B" w:rsidRPr="00C02762">
        <w:t xml:space="preserve"> </w:t>
      </w:r>
      <w:r w:rsidR="00306F18" w:rsidRPr="00C02762">
        <w:t>and does not with this petition ask this Court to remove the corresponding provision in Rule 39.</w:t>
      </w:r>
    </w:p>
    <w:p w14:paraId="33AFC381" w14:textId="4BC5E01C" w:rsidR="00BC3215" w:rsidRPr="00C02762" w:rsidRDefault="0072593F" w:rsidP="0072593F">
      <w:pPr>
        <w:pStyle w:val="BodyText"/>
      </w:pPr>
      <w:r w:rsidRPr="00C02762">
        <w:t xml:space="preserve">After </w:t>
      </w:r>
      <w:r w:rsidR="009B26A3" w:rsidRPr="00C02762">
        <w:t>the Court</w:t>
      </w:r>
      <w:r w:rsidRPr="00C02762">
        <w:t xml:space="preserve"> first </w:t>
      </w:r>
      <w:r w:rsidR="009B26A3" w:rsidRPr="00C02762">
        <w:t>promulgated</w:t>
      </w:r>
      <w:r w:rsidRPr="00C02762">
        <w:t xml:space="preserve"> Rule 39, </w:t>
      </w:r>
      <w:r w:rsidR="009B26A3" w:rsidRPr="00C02762">
        <w:t>the State Bar</w:t>
      </w:r>
      <w:r w:rsidRPr="00C02762">
        <w:t xml:space="preserve"> </w:t>
      </w:r>
      <w:r w:rsidR="00B50EF6" w:rsidRPr="00C02762">
        <w:t xml:space="preserve">of Arizona </w:t>
      </w:r>
      <w:r w:rsidRPr="00C02762">
        <w:t>formed a committee to make recommendations</w:t>
      </w:r>
      <w:r w:rsidR="009B26A3" w:rsidRPr="00C02762">
        <w:t xml:space="preserve"> regarding statutes and court rules to implement the </w:t>
      </w:r>
      <w:r w:rsidR="00491C6B" w:rsidRPr="00C02762">
        <w:t>VBR</w:t>
      </w:r>
      <w:r w:rsidRPr="00C02762">
        <w:t>. That committee</w:t>
      </w:r>
      <w:r w:rsidR="006B6FEF" w:rsidRPr="00C02762">
        <w:t xml:space="preserve"> recommended language similar to what is now in </w:t>
      </w:r>
      <w:r w:rsidRPr="00C02762">
        <w:t xml:space="preserve">Rule </w:t>
      </w:r>
      <w:r w:rsidR="006B6FEF" w:rsidRPr="00C02762">
        <w:t>39(b)(12)(A) and (B)</w:t>
      </w:r>
      <w:r w:rsidR="00BC3215" w:rsidRPr="00C02762">
        <w:t>,</w:t>
      </w:r>
      <w:r w:rsidR="00633D38" w:rsidRPr="00C02762">
        <w:rPr>
          <w:rStyle w:val="FootnoteReference"/>
        </w:rPr>
        <w:footnoteReference w:id="21"/>
      </w:r>
      <w:r w:rsidR="00BC3215" w:rsidRPr="00C02762">
        <w:t xml:space="preserve"> but it was controversial and received the </w:t>
      </w:r>
      <w:r w:rsidRPr="00C02762">
        <w:t>c</w:t>
      </w:r>
      <w:r w:rsidR="00BC3215" w:rsidRPr="00C02762">
        <w:t xml:space="preserve">ommittee’s recommendation by </w:t>
      </w:r>
      <w:r w:rsidR="00773600" w:rsidRPr="00C02762">
        <w:t xml:space="preserve">a majority of </w:t>
      </w:r>
      <w:r w:rsidR="00BC3215" w:rsidRPr="00C02762">
        <w:t xml:space="preserve">only one vote: </w:t>
      </w:r>
    </w:p>
    <w:p w14:paraId="0AE1A257" w14:textId="071EFBC5" w:rsidR="006B6FEF" w:rsidRPr="00C02762" w:rsidRDefault="00BC3215" w:rsidP="001B2F4E">
      <w:pPr>
        <w:pStyle w:val="Quote"/>
        <w:ind w:left="1440" w:right="1440"/>
        <w:jc w:val="both"/>
      </w:pPr>
      <w:r w:rsidRPr="00C02762">
        <w:t xml:space="preserve">This recommended requirement that defense counsel communicate through the prosecutor was adopted by an 8 to 7 vote of the Committee; limiting this requirement to the period after charges are filed was adopted by a 12 to 5 vote. Four members of the Committee, Patience </w:t>
      </w:r>
      <w:proofErr w:type="spellStart"/>
      <w:r w:rsidRPr="00C02762">
        <w:t>Huntwork</w:t>
      </w:r>
      <w:proofErr w:type="spellEnd"/>
      <w:r w:rsidRPr="00C02762">
        <w:t xml:space="preserve">, Tom Karas, Judge Thomas Kleinschmidt and Michael Benchoff, strongly object to requiring communications to go through the prosecutor and wish to go on record to that effect. They believe that the prosecutor would be unable to be objective and neutral in transmitting </w:t>
      </w:r>
      <w:r w:rsidRPr="00C02762">
        <w:lastRenderedPageBreak/>
        <w:t>the defense request to the victim. They would delete the requirement</w:t>
      </w:r>
      <w:r w:rsidR="006B6FEF" w:rsidRPr="00C02762">
        <w:t>.</w:t>
      </w:r>
      <w:r w:rsidR="006B6FEF" w:rsidRPr="00892721">
        <w:rPr>
          <w:vertAlign w:val="superscript"/>
        </w:rPr>
        <w:footnoteReference w:id="22"/>
      </w:r>
      <w:r w:rsidR="006B6FEF" w:rsidRPr="00C02762">
        <w:t xml:space="preserve"> </w:t>
      </w:r>
    </w:p>
    <w:p w14:paraId="4E8B33F7" w14:textId="2A776510" w:rsidR="009B26A3" w:rsidRPr="00C02762" w:rsidRDefault="005B11DE" w:rsidP="005B11DE">
      <w:pPr>
        <w:pStyle w:val="BodyText"/>
        <w:ind w:firstLine="0"/>
      </w:pPr>
      <w:r w:rsidRPr="00C02762">
        <w:t xml:space="preserve">The </w:t>
      </w:r>
      <w:r w:rsidR="00491C6B" w:rsidRPr="00C02762">
        <w:t xml:space="preserve">State Bar </w:t>
      </w:r>
      <w:r w:rsidRPr="00C02762">
        <w:t>committee issued</w:t>
      </w:r>
      <w:r w:rsidR="009B26A3" w:rsidRPr="00C02762">
        <w:t xml:space="preserve"> its report in April 1991. </w:t>
      </w:r>
    </w:p>
    <w:p w14:paraId="0EF38788" w14:textId="54951577" w:rsidR="009B26A3" w:rsidRPr="00C02762" w:rsidRDefault="009B26A3" w:rsidP="009B26A3">
      <w:pPr>
        <w:pStyle w:val="BodyText"/>
        <w:ind w:firstLine="0"/>
      </w:pPr>
      <w:r w:rsidRPr="00C02762">
        <w:tab/>
        <w:t>In 1991, the legislature enacted the Victims’ Rights Implementation Act, of which A.R.S. § 13-4433(B) is a part. That provision</w:t>
      </w:r>
      <w:r w:rsidR="00491C6B" w:rsidRPr="00C02762">
        <w:t xml:space="preserve"> </w:t>
      </w:r>
      <w:r w:rsidRPr="00C02762">
        <w:t xml:space="preserve">states: </w:t>
      </w:r>
    </w:p>
    <w:p w14:paraId="5FCDF76A" w14:textId="06FCF1D4" w:rsidR="002D52FA" w:rsidRPr="00C02762" w:rsidRDefault="002D52FA" w:rsidP="001B2F4E">
      <w:pPr>
        <w:pStyle w:val="Quote"/>
        <w:ind w:left="1440" w:right="1440"/>
        <w:jc w:val="both"/>
      </w:pPr>
      <w:r w:rsidRPr="00C02762">
        <w:t>The defendant, the defendant’s attorney or an agent of the defendant shall only initiate contact with the victim through the prosecutor’s office. The prosecutor’s office shall promptly inform the victim of the defendant’s request for an interview and shall advise the victim of the victim’s right to refuse the interview.</w:t>
      </w:r>
    </w:p>
    <w:p w14:paraId="2F9763DD" w14:textId="6B755CB2" w:rsidR="005B11DE" w:rsidRPr="00C02762" w:rsidRDefault="009B26A3" w:rsidP="009B26A3">
      <w:pPr>
        <w:pStyle w:val="BodyText"/>
        <w:ind w:firstLine="0"/>
      </w:pPr>
      <w:r w:rsidRPr="00C02762">
        <w:tab/>
        <w:t>In 1992, this Court amended Rule 39. The amendments included the language recommended by the State Bar committee</w:t>
      </w:r>
      <w:r w:rsidR="002D52FA" w:rsidRPr="00C02762">
        <w:t xml:space="preserve">, which impose similar requirements to those imposed by </w:t>
      </w:r>
      <w:r w:rsidR="00491C6B" w:rsidRPr="00C02762">
        <w:t>§ 13-4433(B)</w:t>
      </w:r>
      <w:r w:rsidRPr="00C02762">
        <w:t xml:space="preserve">. </w:t>
      </w:r>
      <w:r w:rsidR="005B11DE" w:rsidRPr="00C02762">
        <w:t xml:space="preserve">The Court has not substantially modified </w:t>
      </w:r>
      <w:r w:rsidR="00A1226C" w:rsidRPr="00C02762">
        <w:t>what is now Rule 39(b)(12)</w:t>
      </w:r>
      <w:r w:rsidR="005B11DE" w:rsidRPr="00C02762">
        <w:t xml:space="preserve"> since </w:t>
      </w:r>
      <w:r w:rsidR="00A1226C" w:rsidRPr="00C02762">
        <w:t>then</w:t>
      </w:r>
      <w:r w:rsidR="005B11DE" w:rsidRPr="00C02762">
        <w:t>.</w:t>
      </w:r>
      <w:r w:rsidRPr="00C02762">
        <w:t xml:space="preserve"> It currently reads:</w:t>
      </w:r>
    </w:p>
    <w:p w14:paraId="6FF776E5" w14:textId="5FA80EB5" w:rsidR="00FB1F82" w:rsidRPr="00C02762" w:rsidRDefault="00FB1F82" w:rsidP="001B2F4E">
      <w:pPr>
        <w:pStyle w:val="Quote"/>
        <w:ind w:left="1440" w:right="1440"/>
        <w:jc w:val="both"/>
      </w:pPr>
      <w:r w:rsidRPr="00C02762">
        <w:t>(b) Victims’ Rights. These rules must be construed to preserve and protect a victim’s rights to justice and due process. Notwithstanding the provisions of any other rule, a victim has and is entitled to assert each of the following rights:</w:t>
      </w:r>
    </w:p>
    <w:p w14:paraId="7F701906" w14:textId="4998E52D" w:rsidR="00FB1F82" w:rsidRPr="00C02762" w:rsidRDefault="00FB1F82" w:rsidP="001B2F4E">
      <w:pPr>
        <w:pStyle w:val="Quote"/>
        <w:ind w:left="1440" w:right="1440"/>
        <w:jc w:val="both"/>
      </w:pPr>
      <w:r w:rsidRPr="00C02762">
        <w:t>. . .</w:t>
      </w:r>
    </w:p>
    <w:p w14:paraId="58459F2A" w14:textId="29CD07FC" w:rsidR="00FB1F82" w:rsidRPr="00C02762" w:rsidRDefault="00FB1F82" w:rsidP="001B2F4E">
      <w:pPr>
        <w:pStyle w:val="Quote"/>
        <w:ind w:left="1440" w:right="1440"/>
        <w:jc w:val="both"/>
      </w:pPr>
      <w:r w:rsidRPr="00C02762">
        <w:t>(12) the right to refuse an interview, deposition, or other discovery request by the defendant, the defendant’s attorney, or other person acting on the defendant’s behalf, and:</w:t>
      </w:r>
    </w:p>
    <w:p w14:paraId="701413A0" w14:textId="7706B336" w:rsidR="00FB1F82" w:rsidRPr="00C02762" w:rsidRDefault="00FB1F82" w:rsidP="001B2F4E">
      <w:pPr>
        <w:pStyle w:val="Quote"/>
        <w:ind w:left="1440" w:right="1440"/>
        <w:jc w:val="both"/>
      </w:pPr>
      <w:r w:rsidRPr="00C02762">
        <w:lastRenderedPageBreak/>
        <w:t>(A) the defense must communicate requests to interview a victim to the prosecutor, not the victim;</w:t>
      </w:r>
    </w:p>
    <w:p w14:paraId="406369B1" w14:textId="4BA04C9D" w:rsidR="00FB1F82" w:rsidRPr="00C02762" w:rsidRDefault="00FB1F82" w:rsidP="001B2F4E">
      <w:pPr>
        <w:pStyle w:val="Quote"/>
        <w:ind w:left="1440" w:right="1440"/>
        <w:jc w:val="both"/>
      </w:pPr>
      <w:r w:rsidRPr="00C02762">
        <w:t>(B) a victim’s response to such requests must be communicated through the prosecutor; and</w:t>
      </w:r>
    </w:p>
    <w:p w14:paraId="5FF50D89" w14:textId="6681C2CB" w:rsidR="00FB1F82" w:rsidRPr="00570E80" w:rsidRDefault="00FB1F82" w:rsidP="001B2F4E">
      <w:pPr>
        <w:pStyle w:val="Quote"/>
        <w:ind w:left="1440" w:right="1440"/>
        <w:jc w:val="both"/>
      </w:pPr>
      <w:r w:rsidRPr="00C02762">
        <w:t>(C) if there is any comment or evidence at trial regarding a victim’s refusal to be interviewed, the court must instruct the jury that a victim has the right under the Arizona Constitution to refuse an interview</w:t>
      </w:r>
      <w:r w:rsidR="00892721">
        <w:t>[.]</w:t>
      </w:r>
    </w:p>
    <w:p w14:paraId="21EF41FA" w14:textId="6060E87F" w:rsidR="00C209F2" w:rsidRPr="00C02762" w:rsidRDefault="007E2C5B" w:rsidP="007E2C5B">
      <w:pPr>
        <w:pStyle w:val="BodyText"/>
        <w:ind w:firstLine="0"/>
      </w:pPr>
      <w:r w:rsidRPr="00C02762">
        <w:t>AACJ proposes that the Court amend the rule to remove subsections (b)(12)(A) and (B)</w:t>
      </w:r>
      <w:r w:rsidR="001B22AD" w:rsidRPr="00C02762">
        <w:t>, because those are provisions in the rule that correspond to the statute that the District Court struck down as unconstitutional.</w:t>
      </w:r>
    </w:p>
    <w:p w14:paraId="0F3ABF50" w14:textId="5773DA39" w:rsidR="00C209F2" w:rsidRPr="00C02762" w:rsidRDefault="003E69D9" w:rsidP="007911B6">
      <w:pPr>
        <w:pStyle w:val="Heading1"/>
      </w:pPr>
      <w:r w:rsidRPr="00C02762">
        <w:rPr>
          <w:bCs/>
        </w:rPr>
        <w:t>Proposed</w:t>
      </w:r>
      <w:r w:rsidRPr="00C02762">
        <w:t xml:space="preserve"> Amendments to Arizona Rule of Criminal Procedure 39(b)(12)</w:t>
      </w:r>
    </w:p>
    <w:p w14:paraId="5BCA2692" w14:textId="1666E158" w:rsidR="00C209F2" w:rsidRPr="00C02762" w:rsidRDefault="00FB1F82" w:rsidP="00FB1F82">
      <w:pPr>
        <w:pStyle w:val="BodyText"/>
      </w:pPr>
      <w:r w:rsidRPr="00C02762">
        <w:t xml:space="preserve">As indicated in </w:t>
      </w:r>
      <w:r w:rsidR="00400ADD" w:rsidRPr="00C02762">
        <w:t>Exhibit 1</w:t>
      </w:r>
      <w:r w:rsidRPr="00C02762">
        <w:t xml:space="preserve">, AACJ proposes </w:t>
      </w:r>
      <w:r w:rsidR="002D52FA" w:rsidRPr="00C02762">
        <w:t>removing subsections (A) and (B) from Rule 39</w:t>
      </w:r>
      <w:r w:rsidR="00F81E74" w:rsidRPr="00C02762">
        <w:t>(b)(12)</w:t>
      </w:r>
      <w:r w:rsidR="002D52FA" w:rsidRPr="00C02762">
        <w:t>.</w:t>
      </w:r>
      <w:r w:rsidR="00491C6B" w:rsidRPr="00C02762">
        <w:t xml:space="preserve"> Now that the statutory analogue for those provisions has been found unconstitutional by the federal court, there are no grounds for the Court to retain those provisions in its rules. </w:t>
      </w:r>
      <w:r w:rsidR="00F54970" w:rsidRPr="00C02762">
        <w:t>In fact, the continued existence of Ru</w:t>
      </w:r>
      <w:r w:rsidR="0066281A" w:rsidRPr="00C02762">
        <w:t>l</w:t>
      </w:r>
      <w:r w:rsidR="00F54970" w:rsidRPr="00C02762">
        <w:t>e 39(b)(12)(A) and (B) is already resulting in confusion among the legal community and in the courts, as described above</w:t>
      </w:r>
      <w:r w:rsidR="00BF54A9" w:rsidRPr="00C02762">
        <w:t>, which the Court should step in to resolve.</w:t>
      </w:r>
    </w:p>
    <w:p w14:paraId="180E3635" w14:textId="1F85E6D2" w:rsidR="00C209F2" w:rsidRPr="00C02762" w:rsidRDefault="00BF54A9" w:rsidP="00865830">
      <w:pPr>
        <w:pStyle w:val="BodyText"/>
        <w:rPr>
          <w:b/>
          <w:bCs/>
        </w:rPr>
      </w:pPr>
      <w:r w:rsidRPr="00C02762">
        <w:t xml:space="preserve">Most importantly, the Court should amend Rule 39 to remove subsections (b)(12)(A) and (B) because those provisions violate the free-speech rights of criminal-defense lawyers and other working on defense teams. </w:t>
      </w:r>
      <w:r w:rsidR="00865830" w:rsidRPr="00C02762">
        <w:t xml:space="preserve">As explained in detail in the District Court’s Findings of Fact and Conclusions of Law, Rule 39(b)(12)(A) and (B), like the statute, is a unique-to-Arizona, speaker-based, direct </w:t>
      </w:r>
      <w:r w:rsidR="00865830" w:rsidRPr="00C02762">
        <w:lastRenderedPageBreak/>
        <w:t xml:space="preserve">restraint on speech that undermines, rather than advances, the balance and objectivity that our criminal legal system requires. </w:t>
      </w:r>
      <w:r w:rsidR="003F4E00" w:rsidRPr="00C02762">
        <w:rPr>
          <w:i/>
          <w:iCs/>
        </w:rPr>
        <w:t>See also</w:t>
      </w:r>
      <w:r w:rsidR="003F4E00" w:rsidRPr="00C02762">
        <w:t xml:space="preserve"> Ariz. R. </w:t>
      </w:r>
      <w:proofErr w:type="spellStart"/>
      <w:r w:rsidR="003F4E00" w:rsidRPr="00C02762">
        <w:t>Prof’l</w:t>
      </w:r>
      <w:proofErr w:type="spellEnd"/>
      <w:r w:rsidR="003F4E00" w:rsidRPr="00C02762">
        <w:t xml:space="preserve"> Conduct 3.4(f) (“A lawyer shall not: . . . request a person other than a client to refrain from voluntarily giving relevant information to another party[.]”).</w:t>
      </w:r>
    </w:p>
    <w:p w14:paraId="15E1F8DE" w14:textId="03F2A32E" w:rsidR="00342B0D" w:rsidRPr="00C02762" w:rsidRDefault="0076283F" w:rsidP="000A427B">
      <w:pPr>
        <w:keepNext/>
        <w:spacing w:line="480" w:lineRule="auto"/>
        <w:jc w:val="center"/>
        <w:rPr>
          <w:b/>
          <w:bCs/>
          <w:sz w:val="28"/>
          <w:szCs w:val="28"/>
        </w:rPr>
      </w:pPr>
      <w:r w:rsidRPr="00C02762">
        <w:rPr>
          <w:b/>
          <w:bCs/>
          <w:sz w:val="28"/>
          <w:szCs w:val="28"/>
        </w:rPr>
        <w:t>Request for Expedited Consideration and Emergency Adoption</w:t>
      </w:r>
    </w:p>
    <w:p w14:paraId="74570D4D" w14:textId="03DFB787" w:rsidR="00C209F2" w:rsidRPr="00C02762" w:rsidRDefault="0076283F" w:rsidP="00865830">
      <w:pPr>
        <w:tabs>
          <w:tab w:val="left" w:pos="0"/>
        </w:tabs>
        <w:suppressAutoHyphens/>
        <w:spacing w:before="120" w:after="120" w:line="480" w:lineRule="auto"/>
        <w:rPr>
          <w:sz w:val="28"/>
          <w:szCs w:val="28"/>
        </w:rPr>
      </w:pPr>
      <w:r w:rsidRPr="00C02762">
        <w:rPr>
          <w:sz w:val="28"/>
          <w:szCs w:val="28"/>
        </w:rPr>
        <w:tab/>
        <w:t xml:space="preserve">AACJ requests that the Court consider this petition on an expedited basis and </w:t>
      </w:r>
      <w:r w:rsidR="007911B6" w:rsidRPr="00C02762">
        <w:rPr>
          <w:sz w:val="28"/>
          <w:szCs w:val="28"/>
        </w:rPr>
        <w:t>adopt the proposed amendments to Rule 39(b)(12) on an emergency basis. Ariz. R. Sup. Ct. 28(h)(1)-(2).</w:t>
      </w:r>
    </w:p>
    <w:p w14:paraId="595D3EAF" w14:textId="1B2588E4" w:rsidR="002477F1" w:rsidRPr="00C02762" w:rsidRDefault="002477F1" w:rsidP="002477F1">
      <w:pPr>
        <w:tabs>
          <w:tab w:val="left" w:pos="0"/>
        </w:tabs>
        <w:suppressAutoHyphens/>
        <w:spacing w:before="120" w:after="120" w:line="450" w:lineRule="exact"/>
        <w:rPr>
          <w:sz w:val="28"/>
          <w:szCs w:val="28"/>
        </w:rPr>
      </w:pPr>
      <w:r w:rsidRPr="00C02762">
        <w:rPr>
          <w:sz w:val="28"/>
          <w:szCs w:val="28"/>
        </w:rPr>
        <w:tab/>
      </w:r>
      <w:r w:rsidR="00F15968" w:rsidRPr="00C02762">
        <w:rPr>
          <w:sz w:val="28"/>
          <w:szCs w:val="28"/>
        </w:rPr>
        <w:t xml:space="preserve">RESPECTFULLY </w:t>
      </w:r>
      <w:r w:rsidRPr="00C02762">
        <w:rPr>
          <w:sz w:val="28"/>
          <w:szCs w:val="28"/>
        </w:rPr>
        <w:t xml:space="preserve">SUBMITTED </w:t>
      </w:r>
      <w:r w:rsidR="00400ADD" w:rsidRPr="00C02762">
        <w:rPr>
          <w:sz w:val="28"/>
          <w:szCs w:val="28"/>
        </w:rPr>
        <w:t>December 1</w:t>
      </w:r>
      <w:r w:rsidRPr="00C02762">
        <w:rPr>
          <w:sz w:val="28"/>
          <w:szCs w:val="28"/>
        </w:rPr>
        <w:t>, 2022</w:t>
      </w:r>
      <w:r w:rsidR="00F15968" w:rsidRPr="00C02762">
        <w:rPr>
          <w:sz w:val="28"/>
          <w:szCs w:val="28"/>
        </w:rPr>
        <w:t>.</w:t>
      </w:r>
    </w:p>
    <w:p w14:paraId="7FAB884A" w14:textId="77777777" w:rsidR="00C209F2" w:rsidRPr="00C02762" w:rsidRDefault="00C209F2" w:rsidP="002477F1">
      <w:pPr>
        <w:tabs>
          <w:tab w:val="left" w:pos="0"/>
        </w:tabs>
        <w:suppressAutoHyphens/>
        <w:spacing w:before="120" w:after="120" w:line="450" w:lineRule="exact"/>
        <w:rPr>
          <w:sz w:val="28"/>
          <w:szCs w:val="28"/>
        </w:rPr>
      </w:pPr>
    </w:p>
    <w:p w14:paraId="693A93A4" w14:textId="17708263" w:rsidR="002477F1" w:rsidRPr="00C02762" w:rsidRDefault="002477F1" w:rsidP="00924CD8">
      <w:pPr>
        <w:keepNext/>
        <w:spacing w:after="120"/>
        <w:ind w:left="1440" w:firstLine="720"/>
        <w:rPr>
          <w:sz w:val="28"/>
          <w:szCs w:val="28"/>
        </w:rPr>
      </w:pPr>
      <w:r w:rsidRPr="00C02762">
        <w:rPr>
          <w:sz w:val="28"/>
          <w:szCs w:val="28"/>
        </w:rPr>
        <w:t>MITCHELL | STEIN | CAREY | CHAPMAN, PC</w:t>
      </w:r>
    </w:p>
    <w:p w14:paraId="073EF324" w14:textId="77777777" w:rsidR="002477F1" w:rsidRPr="00C02762" w:rsidRDefault="002477F1" w:rsidP="002477F1">
      <w:pPr>
        <w:keepNext/>
        <w:spacing w:after="120"/>
        <w:ind w:left="2880" w:firstLine="720"/>
        <w:rPr>
          <w:sz w:val="28"/>
          <w:szCs w:val="28"/>
        </w:rPr>
      </w:pPr>
      <w:r w:rsidRPr="00C02762">
        <w:rPr>
          <w:noProof/>
          <w:sz w:val="28"/>
          <w:szCs w:val="28"/>
        </w:rPr>
        <w:drawing>
          <wp:anchor distT="0" distB="0" distL="114300" distR="114300" simplePos="0" relativeHeight="251659264" behindDoc="1" locked="0" layoutInCell="1" allowOverlap="1" wp14:anchorId="04474240" wp14:editId="3CC53764">
            <wp:simplePos x="0" y="0"/>
            <wp:positionH relativeFrom="column">
              <wp:posOffset>2524125</wp:posOffset>
            </wp:positionH>
            <wp:positionV relativeFrom="paragraph">
              <wp:posOffset>10160</wp:posOffset>
            </wp:positionV>
            <wp:extent cx="1781175" cy="552450"/>
            <wp:effectExtent l="0" t="0" r="9525" b="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26986" w14:textId="77777777" w:rsidR="002477F1" w:rsidRPr="00C02762" w:rsidRDefault="002477F1" w:rsidP="002477F1">
      <w:pPr>
        <w:keepNext/>
        <w:ind w:left="2880" w:firstLine="720"/>
        <w:rPr>
          <w:sz w:val="28"/>
          <w:szCs w:val="28"/>
          <w:u w:val="single"/>
        </w:rPr>
      </w:pPr>
      <w:r w:rsidRPr="00C02762">
        <w:rPr>
          <w:sz w:val="28"/>
          <w:szCs w:val="28"/>
        </w:rPr>
        <w:t>By:</w:t>
      </w:r>
      <w:r w:rsidRPr="00C02762">
        <w:rPr>
          <w:sz w:val="28"/>
          <w:szCs w:val="28"/>
          <w:u w:val="single"/>
        </w:rPr>
        <w:tab/>
      </w:r>
      <w:r w:rsidRPr="00C02762">
        <w:rPr>
          <w:sz w:val="28"/>
          <w:szCs w:val="28"/>
          <w:u w:val="single"/>
        </w:rPr>
        <w:tab/>
      </w:r>
      <w:r w:rsidRPr="00C02762">
        <w:rPr>
          <w:sz w:val="28"/>
          <w:szCs w:val="28"/>
          <w:u w:val="single"/>
        </w:rPr>
        <w:tab/>
      </w:r>
      <w:r w:rsidRPr="00C02762">
        <w:rPr>
          <w:sz w:val="28"/>
          <w:szCs w:val="28"/>
          <w:u w:val="single"/>
        </w:rPr>
        <w:tab/>
      </w:r>
      <w:r w:rsidRPr="00C02762">
        <w:rPr>
          <w:sz w:val="28"/>
          <w:szCs w:val="28"/>
          <w:u w:val="single"/>
        </w:rPr>
        <w:tab/>
      </w:r>
      <w:r w:rsidRPr="00C02762">
        <w:rPr>
          <w:sz w:val="28"/>
          <w:szCs w:val="28"/>
          <w:u w:val="single"/>
        </w:rPr>
        <w:tab/>
      </w:r>
    </w:p>
    <w:p w14:paraId="3067A7AE" w14:textId="0FC46F34" w:rsidR="00C02762" w:rsidRPr="00C02762" w:rsidRDefault="002477F1" w:rsidP="00570E80">
      <w:pPr>
        <w:keepNext/>
        <w:ind w:left="2880" w:firstLine="720"/>
        <w:rPr>
          <w:sz w:val="28"/>
          <w:szCs w:val="28"/>
        </w:rPr>
      </w:pPr>
      <w:r w:rsidRPr="00C02762">
        <w:rPr>
          <w:sz w:val="28"/>
          <w:szCs w:val="28"/>
        </w:rPr>
        <w:tab/>
        <w:t>Kath</w:t>
      </w:r>
      <w:r w:rsidR="006C68BB" w:rsidRPr="00C02762">
        <w:rPr>
          <w:sz w:val="28"/>
          <w:szCs w:val="28"/>
        </w:rPr>
        <w:t>leen E.</w:t>
      </w:r>
      <w:r w:rsidRPr="00C02762">
        <w:rPr>
          <w:sz w:val="28"/>
          <w:szCs w:val="28"/>
        </w:rPr>
        <w:t xml:space="preserve"> Brody</w:t>
      </w:r>
    </w:p>
    <w:p w14:paraId="360472C7" w14:textId="77777777" w:rsidR="00924CD8" w:rsidRDefault="00C02762" w:rsidP="00570E80">
      <w:pPr>
        <w:keepNext/>
        <w:ind w:left="2880" w:firstLine="720"/>
        <w:rPr>
          <w:sz w:val="28"/>
          <w:szCs w:val="28"/>
        </w:rPr>
      </w:pPr>
      <w:r w:rsidRPr="00C02762">
        <w:rPr>
          <w:sz w:val="28"/>
          <w:szCs w:val="28"/>
        </w:rPr>
        <w:tab/>
      </w:r>
    </w:p>
    <w:p w14:paraId="0F6B8065" w14:textId="442C30AB" w:rsidR="00924CD8" w:rsidRDefault="00924CD8" w:rsidP="00924CD8">
      <w:pPr>
        <w:keepNext/>
        <w:spacing w:after="120"/>
        <w:ind w:left="2160"/>
        <w:rPr>
          <w:sz w:val="28"/>
          <w:szCs w:val="28"/>
        </w:rPr>
      </w:pPr>
      <w:r w:rsidRPr="00924CD8">
        <w:rPr>
          <w:sz w:val="28"/>
          <w:szCs w:val="28"/>
        </w:rPr>
        <w:t xml:space="preserve">AMERICAN CIVIL LIBERTIES UNION </w:t>
      </w:r>
      <w:r>
        <w:rPr>
          <w:sz w:val="28"/>
          <w:szCs w:val="28"/>
        </w:rPr>
        <w:br/>
      </w:r>
      <w:r w:rsidRPr="00924CD8">
        <w:rPr>
          <w:sz w:val="28"/>
          <w:szCs w:val="28"/>
        </w:rPr>
        <w:t>FOUNDATION OF ARIZONA</w:t>
      </w:r>
    </w:p>
    <w:p w14:paraId="1298B63B" w14:textId="77777777" w:rsidR="00924CD8" w:rsidRDefault="00924CD8" w:rsidP="00570E80">
      <w:pPr>
        <w:keepNext/>
        <w:ind w:left="2880" w:firstLine="720"/>
        <w:rPr>
          <w:sz w:val="28"/>
          <w:szCs w:val="28"/>
        </w:rPr>
      </w:pPr>
    </w:p>
    <w:p w14:paraId="5C7905A6" w14:textId="2A296F1F" w:rsidR="00C02762" w:rsidRPr="00C02762" w:rsidRDefault="00C02762" w:rsidP="00924CD8">
      <w:pPr>
        <w:keepNext/>
        <w:ind w:left="3600" w:firstLine="720"/>
        <w:rPr>
          <w:sz w:val="28"/>
          <w:szCs w:val="28"/>
        </w:rPr>
      </w:pPr>
      <w:r w:rsidRPr="00C02762">
        <w:rPr>
          <w:sz w:val="28"/>
          <w:szCs w:val="28"/>
        </w:rPr>
        <w:t>Jared G. Keenan</w:t>
      </w:r>
    </w:p>
    <w:p w14:paraId="047B276B" w14:textId="03A3D585" w:rsidR="00C02762" w:rsidRPr="00C02762" w:rsidRDefault="00C02762" w:rsidP="002477F1">
      <w:pPr>
        <w:keepNext/>
        <w:spacing w:after="120"/>
        <w:ind w:left="2880" w:firstLine="720"/>
        <w:rPr>
          <w:sz w:val="28"/>
          <w:szCs w:val="28"/>
        </w:rPr>
      </w:pPr>
    </w:p>
    <w:p w14:paraId="3F42F1C9" w14:textId="2B035362" w:rsidR="00C02762" w:rsidRPr="00570E80" w:rsidRDefault="00C02762" w:rsidP="00924CD8">
      <w:pPr>
        <w:keepNext/>
        <w:spacing w:after="120"/>
        <w:ind w:left="1440" w:firstLine="720"/>
        <w:rPr>
          <w:i/>
          <w:iCs/>
          <w:sz w:val="28"/>
          <w:szCs w:val="28"/>
        </w:rPr>
      </w:pPr>
      <w:r w:rsidRPr="00570E80">
        <w:rPr>
          <w:i/>
          <w:iCs/>
          <w:sz w:val="28"/>
          <w:szCs w:val="28"/>
        </w:rPr>
        <w:t>Attorneys for Arizona Attorneys for Criminal Justice</w:t>
      </w:r>
    </w:p>
    <w:p w14:paraId="7EF67049" w14:textId="674D5A02" w:rsidR="0000296E" w:rsidRPr="00C02762" w:rsidRDefault="0000296E">
      <w:pPr>
        <w:rPr>
          <w:b/>
          <w:snapToGrid/>
          <w:color w:val="000000"/>
          <w:sz w:val="28"/>
          <w:szCs w:val="28"/>
        </w:rPr>
      </w:pPr>
    </w:p>
    <w:sectPr w:rsidR="0000296E" w:rsidRPr="00C0276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C2EFE" w14:textId="77777777" w:rsidR="00D33D7D" w:rsidRDefault="00D33D7D" w:rsidP="00C209F2">
      <w:r>
        <w:separator/>
      </w:r>
    </w:p>
  </w:endnote>
  <w:endnote w:type="continuationSeparator" w:id="0">
    <w:p w14:paraId="1EA56A65" w14:textId="77777777" w:rsidR="00D33D7D" w:rsidRDefault="00D33D7D" w:rsidP="00C2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E239" w14:textId="77777777" w:rsidR="00400B25" w:rsidRDefault="00400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054689"/>
      <w:docPartObj>
        <w:docPartGallery w:val="Page Numbers (Bottom of Page)"/>
        <w:docPartUnique/>
      </w:docPartObj>
    </w:sdtPr>
    <w:sdtEndPr>
      <w:rPr>
        <w:noProof/>
      </w:rPr>
    </w:sdtEndPr>
    <w:sdtContent>
      <w:p w14:paraId="78EAD500" w14:textId="57B0F6DB" w:rsidR="0015299F" w:rsidRDefault="001529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5C9D2C" w14:textId="77777777" w:rsidR="008B44D6" w:rsidRDefault="008B4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4455" w14:textId="77777777" w:rsidR="00400B25" w:rsidRDefault="0040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4F434" w14:textId="77777777" w:rsidR="00D33D7D" w:rsidRDefault="00D33D7D" w:rsidP="00C209F2">
      <w:r>
        <w:separator/>
      </w:r>
    </w:p>
  </w:footnote>
  <w:footnote w:type="continuationSeparator" w:id="0">
    <w:p w14:paraId="54CBDE62" w14:textId="77777777" w:rsidR="00D33D7D" w:rsidRDefault="00D33D7D" w:rsidP="00C209F2">
      <w:r>
        <w:continuationSeparator/>
      </w:r>
    </w:p>
  </w:footnote>
  <w:footnote w:id="1">
    <w:p w14:paraId="1C994915" w14:textId="20266A6B" w:rsidR="00373430" w:rsidRDefault="00373430">
      <w:pPr>
        <w:pStyle w:val="FootnoteText"/>
      </w:pPr>
      <w:r>
        <w:rPr>
          <w:rStyle w:val="FootnoteReference"/>
        </w:rPr>
        <w:footnoteRef/>
      </w:r>
      <w:r>
        <w:t xml:space="preserve"> </w:t>
      </w:r>
      <w:r w:rsidRPr="00EA01C3">
        <w:rPr>
          <w:b/>
          <w:bCs/>
        </w:rPr>
        <w:t>Exh. 1</w:t>
      </w:r>
      <w:r>
        <w:t xml:space="preserve"> (proposed </w:t>
      </w:r>
      <w:r w:rsidR="00401ACF">
        <w:t>amendments</w:t>
      </w:r>
      <w:r>
        <w:t>).</w:t>
      </w:r>
    </w:p>
  </w:footnote>
  <w:footnote w:id="2">
    <w:p w14:paraId="4DDE4A9A" w14:textId="39D9668C" w:rsidR="00491A2C" w:rsidRDefault="00491A2C">
      <w:pPr>
        <w:pStyle w:val="FootnoteText"/>
      </w:pPr>
      <w:r>
        <w:rPr>
          <w:rStyle w:val="FootnoteReference"/>
        </w:rPr>
        <w:footnoteRef/>
      </w:r>
      <w:r>
        <w:t xml:space="preserve"> </w:t>
      </w:r>
      <w:r w:rsidRPr="00EA01C3">
        <w:rPr>
          <w:b/>
          <w:bCs/>
        </w:rPr>
        <w:t>Exh. 2</w:t>
      </w:r>
      <w:r>
        <w:t xml:space="preserve"> </w:t>
      </w:r>
      <w:r w:rsidR="005C49AC">
        <w:t xml:space="preserve">(Doc. 269, Findings of Fact and Conclusions of Law); </w:t>
      </w:r>
      <w:r w:rsidR="005C49AC" w:rsidRPr="00EA01C3">
        <w:rPr>
          <w:b/>
          <w:bCs/>
        </w:rPr>
        <w:t xml:space="preserve">Exh. </w:t>
      </w:r>
      <w:r w:rsidRPr="00EA01C3">
        <w:rPr>
          <w:b/>
          <w:bCs/>
        </w:rPr>
        <w:t>3</w:t>
      </w:r>
      <w:r w:rsidR="005C49AC">
        <w:t xml:space="preserve"> (Doc. 270, Order).</w:t>
      </w:r>
    </w:p>
  </w:footnote>
  <w:footnote w:id="3">
    <w:p w14:paraId="3397CFA9" w14:textId="393CCFC7" w:rsidR="00255EC4" w:rsidRDefault="00255EC4">
      <w:pPr>
        <w:pStyle w:val="FootnoteText"/>
      </w:pPr>
      <w:r>
        <w:rPr>
          <w:rStyle w:val="FootnoteReference"/>
        </w:rPr>
        <w:footnoteRef/>
      </w:r>
      <w:r>
        <w:t xml:space="preserve"> </w:t>
      </w:r>
      <w:r w:rsidRPr="003A0406">
        <w:rPr>
          <w:i/>
          <w:iCs/>
        </w:rPr>
        <w:t>See</w:t>
      </w:r>
      <w:r>
        <w:t xml:space="preserve"> </w:t>
      </w:r>
      <w:r w:rsidR="009A157F" w:rsidRPr="009A157F">
        <w:rPr>
          <w:i/>
          <w:iCs/>
        </w:rPr>
        <w:t>generally</w:t>
      </w:r>
      <w:r w:rsidR="009A157F">
        <w:t xml:space="preserve"> </w:t>
      </w:r>
      <w:proofErr w:type="spellStart"/>
      <w:r w:rsidRPr="009A157F">
        <w:rPr>
          <w:b/>
          <w:bCs/>
        </w:rPr>
        <w:t>Exhs</w:t>
      </w:r>
      <w:proofErr w:type="spellEnd"/>
      <w:r w:rsidRPr="009A157F">
        <w:rPr>
          <w:b/>
          <w:bCs/>
        </w:rPr>
        <w:t>. 2 &amp; 3</w:t>
      </w:r>
      <w:r>
        <w:t>.</w:t>
      </w:r>
    </w:p>
  </w:footnote>
  <w:footnote w:id="4">
    <w:p w14:paraId="3AD1D0D0" w14:textId="2A9659F1" w:rsidR="00DC30A2" w:rsidRDefault="00DC30A2">
      <w:pPr>
        <w:pStyle w:val="FootnoteText"/>
      </w:pPr>
      <w:r>
        <w:rPr>
          <w:rStyle w:val="FootnoteReference"/>
        </w:rPr>
        <w:footnoteRef/>
      </w:r>
      <w:r>
        <w:t xml:space="preserve"> </w:t>
      </w:r>
      <w:r w:rsidRPr="00DC30A2">
        <w:rPr>
          <w:b/>
          <w:bCs/>
        </w:rPr>
        <w:t>Exh. 2</w:t>
      </w:r>
      <w:r>
        <w:t>.</w:t>
      </w:r>
    </w:p>
  </w:footnote>
  <w:footnote w:id="5">
    <w:p w14:paraId="4A30E812" w14:textId="1C126D78" w:rsidR="009D5D5A" w:rsidRDefault="009D5D5A">
      <w:pPr>
        <w:pStyle w:val="FootnoteText"/>
      </w:pPr>
      <w:r w:rsidRPr="009D5D5A">
        <w:rPr>
          <w:rStyle w:val="FootnoteReference"/>
        </w:rPr>
        <w:footnoteRef/>
      </w:r>
      <w:r w:rsidRPr="009D5D5A">
        <w:t xml:space="preserve"> </w:t>
      </w:r>
      <w:r w:rsidRPr="009D5D5A">
        <w:rPr>
          <w:i/>
          <w:iCs/>
        </w:rPr>
        <w:t>Id.</w:t>
      </w:r>
      <w:r w:rsidRPr="009D5D5A">
        <w:t xml:space="preserve"> at 11.</w:t>
      </w:r>
    </w:p>
  </w:footnote>
  <w:footnote w:id="6">
    <w:p w14:paraId="6A20C863" w14:textId="685BB4FC" w:rsidR="00713B23" w:rsidRDefault="00713B23">
      <w:pPr>
        <w:pStyle w:val="FootnoteText"/>
      </w:pPr>
      <w:r>
        <w:rPr>
          <w:rStyle w:val="FootnoteReference"/>
        </w:rPr>
        <w:footnoteRef/>
      </w:r>
      <w:r>
        <w:t xml:space="preserve"> </w:t>
      </w:r>
      <w:r w:rsidRPr="002C01DE">
        <w:rPr>
          <w:i/>
          <w:iCs/>
        </w:rPr>
        <w:t>Id.</w:t>
      </w:r>
    </w:p>
  </w:footnote>
  <w:footnote w:id="7">
    <w:p w14:paraId="7132334E" w14:textId="268A3298" w:rsidR="00713B23" w:rsidRDefault="00713B23">
      <w:pPr>
        <w:pStyle w:val="FootnoteText"/>
      </w:pPr>
      <w:r>
        <w:rPr>
          <w:rStyle w:val="FootnoteReference"/>
        </w:rPr>
        <w:footnoteRef/>
      </w:r>
      <w:r>
        <w:t xml:space="preserve"> </w:t>
      </w:r>
      <w:r w:rsidRPr="002C01DE">
        <w:rPr>
          <w:i/>
          <w:iCs/>
        </w:rPr>
        <w:t>Id.</w:t>
      </w:r>
      <w:r>
        <w:t xml:space="preserve"> at 14.</w:t>
      </w:r>
    </w:p>
  </w:footnote>
  <w:footnote w:id="8">
    <w:p w14:paraId="556391E0" w14:textId="332E29B5" w:rsidR="00713B23" w:rsidRDefault="00713B23">
      <w:pPr>
        <w:pStyle w:val="FootnoteText"/>
      </w:pPr>
      <w:r>
        <w:rPr>
          <w:rStyle w:val="FootnoteReference"/>
        </w:rPr>
        <w:footnoteRef/>
      </w:r>
      <w:r>
        <w:t xml:space="preserve"> </w:t>
      </w:r>
      <w:r w:rsidRPr="002C01DE">
        <w:rPr>
          <w:i/>
          <w:iCs/>
        </w:rPr>
        <w:t>Id.</w:t>
      </w:r>
    </w:p>
  </w:footnote>
  <w:footnote w:id="9">
    <w:p w14:paraId="4116EAEB" w14:textId="2D2B8607" w:rsidR="00713B23" w:rsidRDefault="00713B23">
      <w:pPr>
        <w:pStyle w:val="FootnoteText"/>
      </w:pPr>
      <w:r>
        <w:rPr>
          <w:rStyle w:val="FootnoteReference"/>
        </w:rPr>
        <w:footnoteRef/>
      </w:r>
      <w:r>
        <w:t xml:space="preserve"> </w:t>
      </w:r>
      <w:r w:rsidRPr="00657679">
        <w:rPr>
          <w:i/>
          <w:iCs/>
        </w:rPr>
        <w:t>Id.</w:t>
      </w:r>
      <w:r>
        <w:t xml:space="preserve"> at 20 (emphasis added).</w:t>
      </w:r>
    </w:p>
  </w:footnote>
  <w:footnote w:id="10">
    <w:p w14:paraId="4E25595E" w14:textId="07890951" w:rsidR="00B302B5" w:rsidRDefault="00B302B5">
      <w:pPr>
        <w:pStyle w:val="FootnoteText"/>
      </w:pPr>
      <w:r>
        <w:rPr>
          <w:rStyle w:val="FootnoteReference"/>
        </w:rPr>
        <w:footnoteRef/>
      </w:r>
      <w:r>
        <w:t xml:space="preserve"> </w:t>
      </w:r>
      <w:r w:rsidRPr="00C10F72">
        <w:rPr>
          <w:i/>
          <w:iCs/>
        </w:rPr>
        <w:t>Id.</w:t>
      </w:r>
      <w:r>
        <w:t xml:space="preserve"> at 26.</w:t>
      </w:r>
    </w:p>
  </w:footnote>
  <w:footnote w:id="11">
    <w:p w14:paraId="6F618828" w14:textId="01AA9B6B" w:rsidR="00B302B5" w:rsidRDefault="00B302B5">
      <w:pPr>
        <w:pStyle w:val="FootnoteText"/>
      </w:pPr>
      <w:r>
        <w:rPr>
          <w:rStyle w:val="FootnoteReference"/>
        </w:rPr>
        <w:footnoteRef/>
      </w:r>
      <w:r>
        <w:t xml:space="preserve"> </w:t>
      </w:r>
      <w:r w:rsidRPr="00C10F72">
        <w:rPr>
          <w:i/>
          <w:iCs/>
        </w:rPr>
        <w:t>Id.</w:t>
      </w:r>
      <w:r>
        <w:t xml:space="preserve"> at 36 (emphasis added).</w:t>
      </w:r>
    </w:p>
  </w:footnote>
  <w:footnote w:id="12">
    <w:p w14:paraId="586F80D6" w14:textId="36EDB311" w:rsidR="00192C26" w:rsidRDefault="00192C26">
      <w:pPr>
        <w:pStyle w:val="FootnoteText"/>
      </w:pPr>
      <w:r>
        <w:rPr>
          <w:rStyle w:val="FootnoteReference"/>
        </w:rPr>
        <w:footnoteRef/>
      </w:r>
      <w:r>
        <w:t xml:space="preserve"> </w:t>
      </w:r>
      <w:r w:rsidRPr="00192C26">
        <w:rPr>
          <w:b/>
          <w:bCs/>
        </w:rPr>
        <w:t>Exh. 3</w:t>
      </w:r>
      <w:r>
        <w:t xml:space="preserve"> at 1 n.1.</w:t>
      </w:r>
    </w:p>
  </w:footnote>
  <w:footnote w:id="13">
    <w:p w14:paraId="5FF581BC" w14:textId="64E6D7F0" w:rsidR="00192C26" w:rsidRDefault="00192C26">
      <w:pPr>
        <w:pStyle w:val="FootnoteText"/>
      </w:pPr>
      <w:r>
        <w:rPr>
          <w:rStyle w:val="FootnoteReference"/>
        </w:rPr>
        <w:footnoteRef/>
      </w:r>
      <w:r>
        <w:t xml:space="preserve"> </w:t>
      </w:r>
      <w:r w:rsidRPr="00192C26">
        <w:rPr>
          <w:b/>
          <w:bCs/>
        </w:rPr>
        <w:t>Exh. 2</w:t>
      </w:r>
      <w:r>
        <w:t xml:space="preserve"> at 10 n.4.</w:t>
      </w:r>
    </w:p>
  </w:footnote>
  <w:footnote w:id="14">
    <w:p w14:paraId="4F2D5C23" w14:textId="40C09027" w:rsidR="00192C26" w:rsidRDefault="00192C26">
      <w:pPr>
        <w:pStyle w:val="FootnoteText"/>
      </w:pPr>
      <w:r>
        <w:rPr>
          <w:rStyle w:val="FootnoteReference"/>
        </w:rPr>
        <w:footnoteRef/>
      </w:r>
      <w:r>
        <w:t xml:space="preserve"> </w:t>
      </w:r>
      <w:r w:rsidRPr="006F3C15">
        <w:rPr>
          <w:b/>
          <w:bCs/>
        </w:rPr>
        <w:t>Exh. 4</w:t>
      </w:r>
      <w:r>
        <w:t xml:space="preserve"> at 1</w:t>
      </w:r>
      <w:r w:rsidR="006F3C15">
        <w:t>-2.</w:t>
      </w:r>
    </w:p>
  </w:footnote>
  <w:footnote w:id="15">
    <w:p w14:paraId="77B0D12C" w14:textId="15C2DD92" w:rsidR="00845FC8" w:rsidRDefault="00845FC8">
      <w:pPr>
        <w:pStyle w:val="FootnoteText"/>
      </w:pPr>
      <w:r>
        <w:rPr>
          <w:rStyle w:val="FootnoteReference"/>
        </w:rPr>
        <w:footnoteRef/>
      </w:r>
      <w:r>
        <w:t xml:space="preserve"> </w:t>
      </w:r>
      <w:r w:rsidRPr="00845FC8">
        <w:rPr>
          <w:b/>
          <w:bCs/>
        </w:rPr>
        <w:t>Exh. 5</w:t>
      </w:r>
      <w:r>
        <w:t>.</w:t>
      </w:r>
    </w:p>
  </w:footnote>
  <w:footnote w:id="16">
    <w:p w14:paraId="5FA2A666" w14:textId="650E800E" w:rsidR="00E975FC" w:rsidRDefault="00E975FC">
      <w:pPr>
        <w:pStyle w:val="FootnoteText"/>
      </w:pPr>
      <w:r>
        <w:rPr>
          <w:rStyle w:val="FootnoteReference"/>
        </w:rPr>
        <w:footnoteRef/>
      </w:r>
      <w:r>
        <w:t xml:space="preserve"> </w:t>
      </w:r>
      <w:r w:rsidRPr="00E975FC">
        <w:rPr>
          <w:b/>
          <w:bCs/>
        </w:rPr>
        <w:t>Exh. 6</w:t>
      </w:r>
      <w:r>
        <w:t>.</w:t>
      </w:r>
    </w:p>
  </w:footnote>
  <w:footnote w:id="17">
    <w:p w14:paraId="438B7545" w14:textId="6DB8FDA4" w:rsidR="00827017" w:rsidRDefault="00827017">
      <w:pPr>
        <w:pStyle w:val="FootnoteText"/>
      </w:pPr>
      <w:r>
        <w:rPr>
          <w:rStyle w:val="FootnoteReference"/>
        </w:rPr>
        <w:footnoteRef/>
      </w:r>
      <w:r>
        <w:t xml:space="preserve"> </w:t>
      </w:r>
      <w:r w:rsidRPr="00827017">
        <w:rPr>
          <w:b/>
          <w:bCs/>
        </w:rPr>
        <w:t>Exh. 7</w:t>
      </w:r>
      <w:r>
        <w:t>.</w:t>
      </w:r>
    </w:p>
  </w:footnote>
  <w:footnote w:id="18">
    <w:p w14:paraId="36145196" w14:textId="4446C605" w:rsidR="00100061" w:rsidRPr="002D70AB" w:rsidRDefault="00100061">
      <w:pPr>
        <w:pStyle w:val="FootnoteText"/>
      </w:pPr>
      <w:r>
        <w:rPr>
          <w:rStyle w:val="FootnoteReference"/>
        </w:rPr>
        <w:footnoteRef/>
      </w:r>
      <w:r>
        <w:t xml:space="preserve"> The provisions in the original Rule 39 relating to pre-trial interviews and depositions included a victim’s rights to refuse to be interviewed or deposed by a pro se defendant; to refuse to be interviewed or deposed with the defendant </w:t>
      </w:r>
      <w:r w:rsidR="003F0DF3">
        <w:t xml:space="preserve">personally </w:t>
      </w:r>
      <w:r>
        <w:t xml:space="preserve">present; </w:t>
      </w:r>
      <w:r w:rsidR="003F0DF3">
        <w:t xml:space="preserve">to place </w:t>
      </w:r>
      <w:r w:rsidR="003F0DF3" w:rsidRPr="009419DD">
        <w:t xml:space="preserve">certain conditions on an interview or deposition; and to terminate the interview or </w:t>
      </w:r>
      <w:r w:rsidR="003F0DF3" w:rsidRPr="002D70AB">
        <w:t>deposition “if not conducted in a dignified and professional manner.”</w:t>
      </w:r>
      <w:r w:rsidR="00FD769F" w:rsidRPr="002D70AB">
        <w:t xml:space="preserve"> </w:t>
      </w:r>
      <w:r w:rsidR="00FD769F" w:rsidRPr="002D70AB">
        <w:rPr>
          <w:b/>
          <w:bCs/>
        </w:rPr>
        <w:t xml:space="preserve">Exh. 7 </w:t>
      </w:r>
      <w:r w:rsidR="009419DD" w:rsidRPr="002D70AB">
        <w:t xml:space="preserve">at 46 (bottom page number; original </w:t>
      </w:r>
      <w:r w:rsidR="009A0935" w:rsidRPr="002D70AB">
        <w:t xml:space="preserve">Rule </w:t>
      </w:r>
      <w:r w:rsidR="003F0DF3" w:rsidRPr="002D70AB">
        <w:t>39(b)(9), (10), (11)(</w:t>
      </w:r>
      <w:proofErr w:type="spellStart"/>
      <w:r w:rsidR="003F0DF3" w:rsidRPr="002D70AB">
        <w:t>i</w:t>
      </w:r>
      <w:proofErr w:type="spellEnd"/>
      <w:r w:rsidR="003F0DF3" w:rsidRPr="002D70AB">
        <w:t>), (ii)</w:t>
      </w:r>
      <w:r w:rsidR="009419DD" w:rsidRPr="002D70AB">
        <w:t>).</w:t>
      </w:r>
    </w:p>
  </w:footnote>
  <w:footnote w:id="19">
    <w:p w14:paraId="1F1EFFE6" w14:textId="20752C58" w:rsidR="003F0DF3" w:rsidRPr="002D70AB" w:rsidRDefault="003F0DF3">
      <w:pPr>
        <w:pStyle w:val="FootnoteText"/>
      </w:pPr>
      <w:r w:rsidRPr="002D70AB">
        <w:rPr>
          <w:rStyle w:val="FootnoteReference"/>
        </w:rPr>
        <w:footnoteRef/>
      </w:r>
      <w:r w:rsidRPr="002D70AB">
        <w:t xml:space="preserve"> </w:t>
      </w:r>
      <w:r w:rsidR="002D70AB" w:rsidRPr="002D70AB">
        <w:rPr>
          <w:i/>
          <w:iCs/>
        </w:rPr>
        <w:t>Id.</w:t>
      </w:r>
      <w:r w:rsidR="002D70AB" w:rsidRPr="002D70AB">
        <w:t xml:space="preserve"> (original </w:t>
      </w:r>
      <w:r w:rsidR="009A0935" w:rsidRPr="002D70AB">
        <w:t xml:space="preserve">Rule </w:t>
      </w:r>
      <w:r w:rsidRPr="002D70AB">
        <w:t>39(c)(3)</w:t>
      </w:r>
      <w:r w:rsidR="002D70AB" w:rsidRPr="002D70AB">
        <w:t>).</w:t>
      </w:r>
    </w:p>
  </w:footnote>
  <w:footnote w:id="20">
    <w:p w14:paraId="58730CAF" w14:textId="64A6AB85" w:rsidR="00040B6C" w:rsidRDefault="00040B6C">
      <w:pPr>
        <w:pStyle w:val="FootnoteText"/>
      </w:pPr>
      <w:r w:rsidRPr="002D70AB">
        <w:rPr>
          <w:rStyle w:val="FootnoteReference"/>
        </w:rPr>
        <w:footnoteRef/>
      </w:r>
      <w:r w:rsidRPr="002D70AB">
        <w:t xml:space="preserve"> </w:t>
      </w:r>
      <w:r w:rsidR="002D70AB" w:rsidRPr="002D70AB">
        <w:rPr>
          <w:i/>
          <w:iCs/>
        </w:rPr>
        <w:t>Id.</w:t>
      </w:r>
      <w:r w:rsidR="002D70AB" w:rsidRPr="002D70AB">
        <w:t xml:space="preserve"> (original </w:t>
      </w:r>
      <w:r w:rsidR="009A0935" w:rsidRPr="002D70AB">
        <w:t xml:space="preserve">Rule </w:t>
      </w:r>
      <w:r w:rsidRPr="002D70AB">
        <w:t>39(b)(11)(iii)</w:t>
      </w:r>
      <w:r w:rsidR="002D70AB" w:rsidRPr="002D70AB">
        <w:t xml:space="preserve">; </w:t>
      </w:r>
      <w:r w:rsidR="006C21C5" w:rsidRPr="002D70AB">
        <w:t>“</w:t>
      </w:r>
      <w:r w:rsidRPr="002D70AB">
        <w:t xml:space="preserve">If, on balancing the interest of protection of the victim from further distress against society’s interests in furthering the truth-finding function of the proceeding, the court finds there is no </w:t>
      </w:r>
      <w:r w:rsidR="006C21C5" w:rsidRPr="002D70AB">
        <w:t>substantial</w:t>
      </w:r>
      <w:r w:rsidRPr="002D70AB">
        <w:t xml:space="preserve"> </w:t>
      </w:r>
      <w:r w:rsidR="006C21C5" w:rsidRPr="002D70AB">
        <w:t>benefit</w:t>
      </w:r>
      <w:r w:rsidRPr="002D70AB">
        <w:t xml:space="preserve"> to be derived </w:t>
      </w:r>
      <w:r w:rsidR="006C21C5" w:rsidRPr="002D70AB">
        <w:t>from</w:t>
      </w:r>
      <w:r w:rsidRPr="002D70AB">
        <w:t xml:space="preserve"> requiring the victim to submit to deposition and that any information sought by the defendant could be obtained by written interrogatories, it may order tha</w:t>
      </w:r>
      <w:r w:rsidR="006C21C5" w:rsidRPr="002D70AB">
        <w:t>t</w:t>
      </w:r>
      <w:r w:rsidRPr="002D70AB">
        <w:t xml:space="preserve"> the victim </w:t>
      </w:r>
      <w:r w:rsidR="006C21C5" w:rsidRPr="002D70AB">
        <w:t>submit</w:t>
      </w:r>
      <w:r w:rsidRPr="002D70AB">
        <w:t xml:space="preserve"> only to written </w:t>
      </w:r>
      <w:r w:rsidR="006C21C5" w:rsidRPr="002D70AB">
        <w:t>interrogatories</w:t>
      </w:r>
      <w:r w:rsidRPr="002D70AB">
        <w:t>.</w:t>
      </w:r>
      <w:r w:rsidR="00897C08" w:rsidRPr="002D70AB">
        <w:t>”</w:t>
      </w:r>
      <w:r w:rsidR="006C21C5" w:rsidRPr="002D70AB">
        <w:t>)</w:t>
      </w:r>
      <w:r w:rsidR="00897C08" w:rsidRPr="002D70AB">
        <w:t xml:space="preserve">; </w:t>
      </w:r>
      <w:r w:rsidR="00897C08" w:rsidRPr="002D70AB">
        <w:rPr>
          <w:i/>
          <w:iCs/>
        </w:rPr>
        <w:t>see also</w:t>
      </w:r>
      <w:r w:rsidR="002D70AB" w:rsidRPr="002D70AB">
        <w:rPr>
          <w:i/>
          <w:iCs/>
        </w:rPr>
        <w:t xml:space="preserve"> id. </w:t>
      </w:r>
      <w:r w:rsidR="002D70AB" w:rsidRPr="002D70AB">
        <w:t>at 47 (bottom page number;</w:t>
      </w:r>
      <w:r w:rsidR="00897C08" w:rsidRPr="002D70AB">
        <w:t xml:space="preserve"> </w:t>
      </w:r>
      <w:r w:rsidR="00E555CE">
        <w:t xml:space="preserve">original Rule 39 </w:t>
      </w:r>
      <w:r w:rsidR="00897C08" w:rsidRPr="002D70AB">
        <w:t>Comment</w:t>
      </w:r>
      <w:r w:rsidR="002D70AB" w:rsidRPr="002D70AB">
        <w:t xml:space="preserve"> (</w:t>
      </w:r>
      <w:r w:rsidR="00897C08" w:rsidRPr="002D70AB">
        <w:t>noting that a rule prohibiting defense counsel from interviewing police officers “might constitute a considerable impediment to the truth-seeking function of the court”</w:t>
      </w:r>
      <w:r w:rsidR="002D70AB" w:rsidRPr="002D70AB">
        <w:t xml:space="preserve"> and that </w:t>
      </w:r>
      <w:r w:rsidR="00773600" w:rsidRPr="002D70AB">
        <w:t>“</w:t>
      </w:r>
      <w:r w:rsidR="002D70AB" w:rsidRPr="002D70AB">
        <w:t>[t]</w:t>
      </w:r>
      <w:r w:rsidR="00897C08" w:rsidRPr="002D70AB">
        <w:t>he best this Court can do is to adopt rules that balance the interests of victims in being treated with dignity and compassion with the interests of society as a whole in preserving the truth-seeking function of judicial proceedings.”)</w:t>
      </w:r>
      <w:r w:rsidR="002D70AB">
        <w:t>).</w:t>
      </w:r>
    </w:p>
  </w:footnote>
  <w:footnote w:id="21">
    <w:p w14:paraId="01335D08" w14:textId="709C409E" w:rsidR="00633D38" w:rsidRDefault="00633D38">
      <w:pPr>
        <w:pStyle w:val="FootnoteText"/>
      </w:pPr>
      <w:r>
        <w:rPr>
          <w:rStyle w:val="FootnoteReference"/>
        </w:rPr>
        <w:footnoteRef/>
      </w:r>
      <w:r>
        <w:t xml:space="preserve"> </w:t>
      </w:r>
      <w:r w:rsidRPr="00045825">
        <w:rPr>
          <w:b/>
          <w:bCs/>
        </w:rPr>
        <w:t>Exh. 8</w:t>
      </w:r>
      <w:r>
        <w:t xml:space="preserve"> </w:t>
      </w:r>
      <w:r w:rsidR="00045825">
        <w:t>at 22 (bottom page number).</w:t>
      </w:r>
    </w:p>
  </w:footnote>
  <w:footnote w:id="22">
    <w:p w14:paraId="1D68FCAB" w14:textId="0B008F2B" w:rsidR="006B6FEF" w:rsidRDefault="006B6FEF">
      <w:pPr>
        <w:pStyle w:val="FootnoteText"/>
      </w:pPr>
      <w:r>
        <w:rPr>
          <w:rStyle w:val="FootnoteReference"/>
        </w:rPr>
        <w:footnoteRef/>
      </w:r>
      <w:r>
        <w:t xml:space="preserve"> </w:t>
      </w:r>
      <w:r w:rsidR="00AC7501" w:rsidRPr="00AC7501">
        <w:rPr>
          <w:i/>
          <w:iCs/>
        </w:rPr>
        <w:t>Id.</w:t>
      </w:r>
      <w:r w:rsidR="00AC7501">
        <w:t xml:space="preserve"> at 25 (bottom page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CB09" w14:textId="77777777" w:rsidR="00400B25" w:rsidRDefault="00400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F92B" w14:textId="77777777" w:rsidR="00400B25" w:rsidRDefault="00400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1B45" w14:textId="77777777" w:rsidR="00400B25" w:rsidRDefault="00400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31521"/>
    <w:multiLevelType w:val="hybridMultilevel"/>
    <w:tmpl w:val="737A9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15D7C49"/>
    <w:multiLevelType w:val="hybridMultilevel"/>
    <w:tmpl w:val="B804F528"/>
    <w:lvl w:ilvl="0" w:tplc="E4901C1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6048867">
    <w:abstractNumId w:val="1"/>
  </w:num>
  <w:num w:numId="2" w16cid:durableId="148211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F1"/>
    <w:rsid w:val="0000296E"/>
    <w:rsid w:val="00003A2B"/>
    <w:rsid w:val="00006C13"/>
    <w:rsid w:val="0001776C"/>
    <w:rsid w:val="000221B3"/>
    <w:rsid w:val="000268D9"/>
    <w:rsid w:val="000301F7"/>
    <w:rsid w:val="00040B6C"/>
    <w:rsid w:val="00045825"/>
    <w:rsid w:val="00061DCE"/>
    <w:rsid w:val="000A427B"/>
    <w:rsid w:val="00100061"/>
    <w:rsid w:val="001351F2"/>
    <w:rsid w:val="0015299F"/>
    <w:rsid w:val="00161FD5"/>
    <w:rsid w:val="00192C26"/>
    <w:rsid w:val="001A6A99"/>
    <w:rsid w:val="001B22AD"/>
    <w:rsid w:val="001B2F4E"/>
    <w:rsid w:val="001F6AA7"/>
    <w:rsid w:val="002037D3"/>
    <w:rsid w:val="002201FB"/>
    <w:rsid w:val="00226D38"/>
    <w:rsid w:val="00237CCB"/>
    <w:rsid w:val="002477F1"/>
    <w:rsid w:val="00255EC4"/>
    <w:rsid w:val="002709A8"/>
    <w:rsid w:val="0027610A"/>
    <w:rsid w:val="002C01DE"/>
    <w:rsid w:val="002C6CC0"/>
    <w:rsid w:val="002D52FA"/>
    <w:rsid w:val="002D70AB"/>
    <w:rsid w:val="002E003C"/>
    <w:rsid w:val="002E0D78"/>
    <w:rsid w:val="00306F18"/>
    <w:rsid w:val="00311716"/>
    <w:rsid w:val="00342B0D"/>
    <w:rsid w:val="00357805"/>
    <w:rsid w:val="0036099F"/>
    <w:rsid w:val="00373430"/>
    <w:rsid w:val="00387312"/>
    <w:rsid w:val="003A0406"/>
    <w:rsid w:val="003E5291"/>
    <w:rsid w:val="003E69D9"/>
    <w:rsid w:val="003F0DF3"/>
    <w:rsid w:val="003F4E00"/>
    <w:rsid w:val="003F7529"/>
    <w:rsid w:val="003F795C"/>
    <w:rsid w:val="00400ADD"/>
    <w:rsid w:val="00400B25"/>
    <w:rsid w:val="00401ACF"/>
    <w:rsid w:val="00414421"/>
    <w:rsid w:val="00422479"/>
    <w:rsid w:val="00442751"/>
    <w:rsid w:val="0044388D"/>
    <w:rsid w:val="0046744A"/>
    <w:rsid w:val="00491A2C"/>
    <w:rsid w:val="00491C6B"/>
    <w:rsid w:val="004B694C"/>
    <w:rsid w:val="004D6B3D"/>
    <w:rsid w:val="004E7FD1"/>
    <w:rsid w:val="0050233E"/>
    <w:rsid w:val="00512CA1"/>
    <w:rsid w:val="00535A28"/>
    <w:rsid w:val="00565E69"/>
    <w:rsid w:val="00570E80"/>
    <w:rsid w:val="00580F3A"/>
    <w:rsid w:val="005B11DE"/>
    <w:rsid w:val="005C49AC"/>
    <w:rsid w:val="005C78FF"/>
    <w:rsid w:val="00633D38"/>
    <w:rsid w:val="00655507"/>
    <w:rsid w:val="00657679"/>
    <w:rsid w:val="0066281A"/>
    <w:rsid w:val="0068590F"/>
    <w:rsid w:val="006B6FEF"/>
    <w:rsid w:val="006C21C5"/>
    <w:rsid w:val="006C5207"/>
    <w:rsid w:val="006C5E32"/>
    <w:rsid w:val="006C68BB"/>
    <w:rsid w:val="006F3C15"/>
    <w:rsid w:val="00702047"/>
    <w:rsid w:val="00713B23"/>
    <w:rsid w:val="0072593F"/>
    <w:rsid w:val="00756030"/>
    <w:rsid w:val="0076283F"/>
    <w:rsid w:val="00773600"/>
    <w:rsid w:val="00774B6C"/>
    <w:rsid w:val="007911B6"/>
    <w:rsid w:val="007C1DCA"/>
    <w:rsid w:val="007C3AC1"/>
    <w:rsid w:val="007E2C5B"/>
    <w:rsid w:val="007F6B47"/>
    <w:rsid w:val="007F6E6E"/>
    <w:rsid w:val="008218AC"/>
    <w:rsid w:val="00826234"/>
    <w:rsid w:val="00827017"/>
    <w:rsid w:val="00831693"/>
    <w:rsid w:val="00845FC8"/>
    <w:rsid w:val="008528B4"/>
    <w:rsid w:val="00865830"/>
    <w:rsid w:val="008659A7"/>
    <w:rsid w:val="00865B9E"/>
    <w:rsid w:val="00872564"/>
    <w:rsid w:val="00892721"/>
    <w:rsid w:val="00896B69"/>
    <w:rsid w:val="00897C08"/>
    <w:rsid w:val="008B44D6"/>
    <w:rsid w:val="008D0D96"/>
    <w:rsid w:val="008F39DC"/>
    <w:rsid w:val="009136D8"/>
    <w:rsid w:val="00924CD8"/>
    <w:rsid w:val="009419DD"/>
    <w:rsid w:val="009629A8"/>
    <w:rsid w:val="009902BA"/>
    <w:rsid w:val="009A0935"/>
    <w:rsid w:val="009A157F"/>
    <w:rsid w:val="009B26A3"/>
    <w:rsid w:val="009D5D5A"/>
    <w:rsid w:val="009E04F7"/>
    <w:rsid w:val="009F2BF7"/>
    <w:rsid w:val="00A1226C"/>
    <w:rsid w:val="00A3051E"/>
    <w:rsid w:val="00A94E9C"/>
    <w:rsid w:val="00AC39E7"/>
    <w:rsid w:val="00AC7501"/>
    <w:rsid w:val="00B160FD"/>
    <w:rsid w:val="00B302B5"/>
    <w:rsid w:val="00B50EF6"/>
    <w:rsid w:val="00B57F01"/>
    <w:rsid w:val="00BA350B"/>
    <w:rsid w:val="00BC3215"/>
    <w:rsid w:val="00BC68D2"/>
    <w:rsid w:val="00BF54A9"/>
    <w:rsid w:val="00C01647"/>
    <w:rsid w:val="00C02762"/>
    <w:rsid w:val="00C10F72"/>
    <w:rsid w:val="00C209F2"/>
    <w:rsid w:val="00C23A5A"/>
    <w:rsid w:val="00C54846"/>
    <w:rsid w:val="00C9542D"/>
    <w:rsid w:val="00CF4600"/>
    <w:rsid w:val="00CF4B32"/>
    <w:rsid w:val="00D33D7D"/>
    <w:rsid w:val="00D37C4A"/>
    <w:rsid w:val="00D97C6D"/>
    <w:rsid w:val="00DB2A86"/>
    <w:rsid w:val="00DC1CA6"/>
    <w:rsid w:val="00DC30A2"/>
    <w:rsid w:val="00DF35A2"/>
    <w:rsid w:val="00DF74A9"/>
    <w:rsid w:val="00E051DD"/>
    <w:rsid w:val="00E20EA0"/>
    <w:rsid w:val="00E47B79"/>
    <w:rsid w:val="00E555CE"/>
    <w:rsid w:val="00E621E1"/>
    <w:rsid w:val="00E95F8C"/>
    <w:rsid w:val="00E975FC"/>
    <w:rsid w:val="00EA01C3"/>
    <w:rsid w:val="00F15968"/>
    <w:rsid w:val="00F5321D"/>
    <w:rsid w:val="00F54970"/>
    <w:rsid w:val="00F67CFA"/>
    <w:rsid w:val="00F81E74"/>
    <w:rsid w:val="00F824AE"/>
    <w:rsid w:val="00F859ED"/>
    <w:rsid w:val="00F915EB"/>
    <w:rsid w:val="00FB1F82"/>
    <w:rsid w:val="00FD5401"/>
    <w:rsid w:val="00FD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30A5"/>
  <w15:chartTrackingRefBased/>
  <w15:docId w15:val="{4FB073B6-E5CA-44DF-B6CE-4F54CA00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061"/>
    <w:pPr>
      <w:spacing w:after="0" w:line="240" w:lineRule="auto"/>
    </w:pPr>
    <w:rPr>
      <w:rFonts w:ascii="Times New Roman" w:eastAsia="Times New Roman" w:hAnsi="Times New Roman" w:cs="Times New Roman"/>
      <w:snapToGrid w:val="0"/>
      <w:sz w:val="26"/>
      <w:szCs w:val="20"/>
    </w:rPr>
  </w:style>
  <w:style w:type="paragraph" w:styleId="Heading1">
    <w:name w:val="heading 1"/>
    <w:basedOn w:val="Normal"/>
    <w:next w:val="Normal"/>
    <w:link w:val="Heading1Char"/>
    <w:uiPriority w:val="9"/>
    <w:qFormat/>
    <w:rsid w:val="007911B6"/>
    <w:pPr>
      <w:spacing w:line="480" w:lineRule="auto"/>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77F1"/>
    <w:rPr>
      <w:color w:val="0000FF"/>
      <w:u w:val="single"/>
    </w:rPr>
  </w:style>
  <w:style w:type="paragraph" w:customStyle="1" w:styleId="Default">
    <w:name w:val="Default"/>
    <w:rsid w:val="002477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semiHidden/>
    <w:rsid w:val="00C209F2"/>
    <w:rPr>
      <w:vertAlign w:val="superscript"/>
    </w:rPr>
  </w:style>
  <w:style w:type="paragraph" w:styleId="BodyText">
    <w:name w:val="Body Text"/>
    <w:basedOn w:val="Normal"/>
    <w:link w:val="BodyTextChar"/>
    <w:uiPriority w:val="1"/>
    <w:qFormat/>
    <w:rsid w:val="007911B6"/>
    <w:pPr>
      <w:spacing w:line="480" w:lineRule="auto"/>
      <w:ind w:firstLine="720"/>
    </w:pPr>
    <w:rPr>
      <w:snapToGrid/>
      <w:sz w:val="28"/>
      <w:szCs w:val="28"/>
    </w:rPr>
  </w:style>
  <w:style w:type="character" w:customStyle="1" w:styleId="BodyTextChar">
    <w:name w:val="Body Text Char"/>
    <w:basedOn w:val="DefaultParagraphFont"/>
    <w:link w:val="BodyText"/>
    <w:uiPriority w:val="1"/>
    <w:rsid w:val="007911B6"/>
    <w:rPr>
      <w:rFonts w:ascii="Times New Roman" w:eastAsia="Times New Roman" w:hAnsi="Times New Roman" w:cs="Times New Roman"/>
      <w:sz w:val="28"/>
      <w:szCs w:val="28"/>
    </w:rPr>
  </w:style>
  <w:style w:type="paragraph" w:styleId="ListParagraph">
    <w:name w:val="List Paragraph"/>
    <w:basedOn w:val="Normal"/>
    <w:uiPriority w:val="34"/>
    <w:qFormat/>
    <w:rsid w:val="00C209F2"/>
    <w:pPr>
      <w:ind w:left="720"/>
    </w:pPr>
    <w:rPr>
      <w:snapToGrid/>
      <w:sz w:val="24"/>
    </w:rPr>
  </w:style>
  <w:style w:type="character" w:customStyle="1" w:styleId="Heading1Char">
    <w:name w:val="Heading 1 Char"/>
    <w:basedOn w:val="DefaultParagraphFont"/>
    <w:link w:val="Heading1"/>
    <w:uiPriority w:val="9"/>
    <w:rsid w:val="007911B6"/>
    <w:rPr>
      <w:rFonts w:ascii="Times New Roman" w:eastAsia="Times New Roman" w:hAnsi="Times New Roman" w:cs="Times New Roman"/>
      <w:b/>
      <w:snapToGrid w:val="0"/>
      <w:sz w:val="28"/>
      <w:szCs w:val="28"/>
    </w:rPr>
  </w:style>
  <w:style w:type="paragraph" w:styleId="FootnoteText">
    <w:name w:val="footnote text"/>
    <w:basedOn w:val="Normal"/>
    <w:link w:val="FootnoteTextChar"/>
    <w:uiPriority w:val="99"/>
    <w:semiHidden/>
    <w:unhideWhenUsed/>
    <w:rsid w:val="00100061"/>
    <w:rPr>
      <w:sz w:val="28"/>
    </w:rPr>
  </w:style>
  <w:style w:type="character" w:customStyle="1" w:styleId="FootnoteTextChar">
    <w:name w:val="Footnote Text Char"/>
    <w:basedOn w:val="DefaultParagraphFont"/>
    <w:link w:val="FootnoteText"/>
    <w:uiPriority w:val="99"/>
    <w:semiHidden/>
    <w:rsid w:val="00100061"/>
    <w:rPr>
      <w:rFonts w:ascii="Times New Roman" w:eastAsia="Times New Roman" w:hAnsi="Times New Roman" w:cs="Times New Roman"/>
      <w:snapToGrid w:val="0"/>
      <w:sz w:val="28"/>
      <w:szCs w:val="20"/>
    </w:rPr>
  </w:style>
  <w:style w:type="paragraph" w:styleId="Header">
    <w:name w:val="header"/>
    <w:basedOn w:val="Normal"/>
    <w:link w:val="HeaderChar"/>
    <w:uiPriority w:val="99"/>
    <w:unhideWhenUsed/>
    <w:rsid w:val="008B44D6"/>
    <w:pPr>
      <w:tabs>
        <w:tab w:val="center" w:pos="4680"/>
        <w:tab w:val="right" w:pos="9360"/>
      </w:tabs>
    </w:pPr>
  </w:style>
  <w:style w:type="character" w:customStyle="1" w:styleId="HeaderChar">
    <w:name w:val="Header Char"/>
    <w:basedOn w:val="DefaultParagraphFont"/>
    <w:link w:val="Header"/>
    <w:uiPriority w:val="99"/>
    <w:rsid w:val="008B44D6"/>
    <w:rPr>
      <w:rFonts w:ascii="Times New Roman" w:eastAsia="Times New Roman" w:hAnsi="Times New Roman" w:cs="Times New Roman"/>
      <w:snapToGrid w:val="0"/>
      <w:sz w:val="26"/>
      <w:szCs w:val="20"/>
    </w:rPr>
  </w:style>
  <w:style w:type="paragraph" w:styleId="Footer">
    <w:name w:val="footer"/>
    <w:basedOn w:val="Normal"/>
    <w:link w:val="FooterChar"/>
    <w:uiPriority w:val="99"/>
    <w:unhideWhenUsed/>
    <w:rsid w:val="008B44D6"/>
    <w:pPr>
      <w:tabs>
        <w:tab w:val="center" w:pos="4680"/>
        <w:tab w:val="right" w:pos="9360"/>
      </w:tabs>
    </w:pPr>
  </w:style>
  <w:style w:type="character" w:customStyle="1" w:styleId="FooterChar">
    <w:name w:val="Footer Char"/>
    <w:basedOn w:val="DefaultParagraphFont"/>
    <w:link w:val="Footer"/>
    <w:uiPriority w:val="99"/>
    <w:rsid w:val="008B44D6"/>
    <w:rPr>
      <w:rFonts w:ascii="Times New Roman" w:eastAsia="Times New Roman" w:hAnsi="Times New Roman" w:cs="Times New Roman"/>
      <w:snapToGrid w:val="0"/>
      <w:sz w:val="26"/>
      <w:szCs w:val="20"/>
    </w:rPr>
  </w:style>
  <w:style w:type="paragraph" w:styleId="Quote">
    <w:name w:val="Quote"/>
    <w:basedOn w:val="BodyText"/>
    <w:next w:val="Normal"/>
    <w:link w:val="QuoteChar"/>
    <w:uiPriority w:val="29"/>
    <w:qFormat/>
    <w:rsid w:val="005B11DE"/>
    <w:pPr>
      <w:spacing w:after="240" w:line="240" w:lineRule="auto"/>
      <w:ind w:left="720" w:right="720" w:firstLine="0"/>
    </w:pPr>
  </w:style>
  <w:style w:type="character" w:customStyle="1" w:styleId="QuoteChar">
    <w:name w:val="Quote Char"/>
    <w:basedOn w:val="DefaultParagraphFont"/>
    <w:link w:val="Quote"/>
    <w:uiPriority w:val="29"/>
    <w:rsid w:val="005B11DE"/>
    <w:rPr>
      <w:rFonts w:ascii="Times New Roman" w:eastAsia="Times New Roman" w:hAnsi="Times New Roman" w:cs="Times New Roman"/>
      <w:sz w:val="28"/>
      <w:szCs w:val="28"/>
    </w:rPr>
  </w:style>
  <w:style w:type="paragraph" w:styleId="Revision">
    <w:name w:val="Revision"/>
    <w:hidden/>
    <w:uiPriority w:val="99"/>
    <w:semiHidden/>
    <w:rsid w:val="00C54846"/>
    <w:pPr>
      <w:spacing w:after="0" w:line="240" w:lineRule="auto"/>
    </w:pPr>
    <w:rPr>
      <w:rFonts w:ascii="Times New Roman" w:eastAsia="Times New Roman" w:hAnsi="Times New Roman" w:cs="Times New Roman"/>
      <w:snapToGrid w:val="0"/>
      <w:sz w:val="26"/>
      <w:szCs w:val="20"/>
    </w:rPr>
  </w:style>
  <w:style w:type="character" w:styleId="CommentReference">
    <w:name w:val="annotation reference"/>
    <w:basedOn w:val="DefaultParagraphFont"/>
    <w:uiPriority w:val="99"/>
    <w:semiHidden/>
    <w:unhideWhenUsed/>
    <w:rsid w:val="0046744A"/>
    <w:rPr>
      <w:sz w:val="16"/>
      <w:szCs w:val="16"/>
    </w:rPr>
  </w:style>
  <w:style w:type="paragraph" w:styleId="CommentText">
    <w:name w:val="annotation text"/>
    <w:basedOn w:val="Normal"/>
    <w:link w:val="CommentTextChar"/>
    <w:uiPriority w:val="99"/>
    <w:unhideWhenUsed/>
    <w:rsid w:val="0046744A"/>
    <w:rPr>
      <w:sz w:val="20"/>
    </w:rPr>
  </w:style>
  <w:style w:type="character" w:customStyle="1" w:styleId="CommentTextChar">
    <w:name w:val="Comment Text Char"/>
    <w:basedOn w:val="DefaultParagraphFont"/>
    <w:link w:val="CommentText"/>
    <w:uiPriority w:val="99"/>
    <w:rsid w:val="0046744A"/>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6744A"/>
    <w:rPr>
      <w:b/>
      <w:bCs/>
    </w:rPr>
  </w:style>
  <w:style w:type="character" w:customStyle="1" w:styleId="CommentSubjectChar">
    <w:name w:val="Comment Subject Char"/>
    <w:basedOn w:val="CommentTextChar"/>
    <w:link w:val="CommentSubject"/>
    <w:uiPriority w:val="99"/>
    <w:semiHidden/>
    <w:rsid w:val="0046744A"/>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21275">
      <w:bodyDiv w:val="1"/>
      <w:marLeft w:val="0"/>
      <w:marRight w:val="0"/>
      <w:marTop w:val="0"/>
      <w:marBottom w:val="0"/>
      <w:divBdr>
        <w:top w:val="none" w:sz="0" w:space="0" w:color="auto"/>
        <w:left w:val="none" w:sz="0" w:space="0" w:color="auto"/>
        <w:bottom w:val="none" w:sz="0" w:space="0" w:color="auto"/>
        <w:right w:val="none" w:sz="0" w:space="0" w:color="auto"/>
      </w:divBdr>
    </w:div>
    <w:div w:id="133853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redkeenan.aacj@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12</Pages>
  <Words>2279</Words>
  <Characters>12263</Characters>
  <Application>Microsoft Office Word</Application>
  <DocSecurity>0</DocSecurity>
  <Lines>240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McClellan</dc:creator>
  <cp:keywords/>
  <dc:description/>
  <cp:lastModifiedBy>Kathy Brody</cp:lastModifiedBy>
  <cp:revision>54</cp:revision>
  <dcterms:created xsi:type="dcterms:W3CDTF">2022-11-30T22:43:00Z</dcterms:created>
  <dcterms:modified xsi:type="dcterms:W3CDTF">2022-12-01T21:02:00Z</dcterms:modified>
</cp:coreProperties>
</file>