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410529"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410529"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410529"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77777777"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In the matter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7ADFE5F2" w:rsidR="00A00E0C" w:rsidRPr="00B67F38" w:rsidRDefault="00A00E0C" w:rsidP="00C22D59">
            <w:pPr>
              <w:widowControl/>
              <w:rPr>
                <w:rFonts w:ascii="Times New Roman" w:hAnsi="Times New Roman"/>
                <w:sz w:val="28"/>
                <w:szCs w:val="28"/>
              </w:rPr>
            </w:pPr>
            <w:r w:rsidRPr="00B67F38">
              <w:rPr>
                <w:rFonts w:ascii="Times New Roman" w:hAnsi="Times New Roman"/>
                <w:sz w:val="28"/>
                <w:szCs w:val="28"/>
              </w:rPr>
              <w:t xml:space="preserve">PETITION TO AMEND </w:t>
            </w:r>
            <w:r w:rsidR="0077605C">
              <w:rPr>
                <w:rFonts w:ascii="Times New Roman" w:hAnsi="Times New Roman"/>
                <w:sz w:val="28"/>
                <w:szCs w:val="28"/>
              </w:rPr>
              <w:t>CRIMINAL RULE 1.5 AND JUVENILE RULE 227 AND ADOPT CRIMINAL RULE 7.7 AND JUVENILE RULE 228</w:t>
            </w:r>
          </w:p>
        </w:tc>
        <w:tc>
          <w:tcPr>
            <w:tcW w:w="5058" w:type="dxa"/>
            <w:tcBorders>
              <w:top w:val="nil"/>
              <w:bottom w:val="nil"/>
              <w:right w:val="nil"/>
            </w:tcBorders>
          </w:tcPr>
          <w:p w14:paraId="7AF7F5C3" w14:textId="6E550159"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R-22-003</w:t>
            </w:r>
            <w:r w:rsidR="0077605C">
              <w:rPr>
                <w:rFonts w:ascii="Times New Roman" w:hAnsi="Times New Roman"/>
                <w:sz w:val="28"/>
                <w:szCs w:val="28"/>
              </w:rPr>
              <w:t>8</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E21A599"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4DA1CB21" w14:textId="5CCCA83E" w:rsidR="00CD2D1F" w:rsidRDefault="00CD2D1F" w:rsidP="003848A8">
      <w:pPr>
        <w:spacing w:after="120" w:line="480" w:lineRule="auto"/>
        <w:ind w:firstLine="720"/>
        <w:jc w:val="both"/>
        <w:rPr>
          <w:rFonts w:ascii="Times New Roman" w:hAnsi="Times New Roman"/>
          <w:sz w:val="26"/>
          <w:szCs w:val="26"/>
        </w:rPr>
      </w:pPr>
      <w:r w:rsidRPr="00AC57F8">
        <w:rPr>
          <w:rFonts w:ascii="Times New Roman" w:hAnsi="Times New Roman"/>
          <w:sz w:val="26"/>
          <w:szCs w:val="26"/>
        </w:rPr>
        <w:t xml:space="preserve">The </w:t>
      </w:r>
      <w:r>
        <w:rPr>
          <w:rFonts w:ascii="Times New Roman" w:hAnsi="Times New Roman"/>
          <w:sz w:val="26"/>
          <w:szCs w:val="26"/>
        </w:rPr>
        <w:t>Indigent Defense Offices in Maricopa County</w:t>
      </w:r>
      <w:r w:rsidRPr="00AC57F8">
        <w:rPr>
          <w:rFonts w:ascii="Times New Roman" w:hAnsi="Times New Roman"/>
          <w:sz w:val="26"/>
          <w:szCs w:val="26"/>
        </w:rPr>
        <w:t xml:space="preserve"> </w:t>
      </w:r>
      <w:r>
        <w:rPr>
          <w:rFonts w:ascii="Times New Roman" w:hAnsi="Times New Roman"/>
          <w:sz w:val="26"/>
          <w:szCs w:val="26"/>
        </w:rPr>
        <w:t>appreciate</w:t>
      </w:r>
      <w:r w:rsidRPr="00AC57F8">
        <w:rPr>
          <w:rFonts w:ascii="Times New Roman" w:hAnsi="Times New Roman"/>
          <w:sz w:val="26"/>
          <w:szCs w:val="26"/>
        </w:rPr>
        <w:t xml:space="preserve"> the </w:t>
      </w:r>
      <w:r>
        <w:rPr>
          <w:rFonts w:ascii="Times New Roman" w:hAnsi="Times New Roman"/>
          <w:sz w:val="26"/>
          <w:szCs w:val="26"/>
        </w:rPr>
        <w:t>intent</w:t>
      </w:r>
      <w:r w:rsidRPr="00AC57F8">
        <w:rPr>
          <w:rFonts w:ascii="Times New Roman" w:hAnsi="Times New Roman"/>
          <w:sz w:val="26"/>
          <w:szCs w:val="26"/>
        </w:rPr>
        <w:t xml:space="preserve"> of this rule change petition, but </w:t>
      </w:r>
      <w:r>
        <w:rPr>
          <w:rFonts w:ascii="Times New Roman" w:hAnsi="Times New Roman"/>
          <w:sz w:val="26"/>
          <w:szCs w:val="26"/>
        </w:rPr>
        <w:t>we do</w:t>
      </w:r>
      <w:r w:rsidRPr="00AC57F8">
        <w:rPr>
          <w:rFonts w:ascii="Times New Roman" w:hAnsi="Times New Roman"/>
          <w:sz w:val="26"/>
          <w:szCs w:val="26"/>
        </w:rPr>
        <w:t xml:space="preserve"> </w:t>
      </w:r>
      <w:r>
        <w:rPr>
          <w:rFonts w:ascii="Times New Roman" w:hAnsi="Times New Roman"/>
          <w:sz w:val="26"/>
          <w:szCs w:val="26"/>
        </w:rPr>
        <w:t xml:space="preserve">not </w:t>
      </w:r>
      <w:r w:rsidRPr="00AC57F8">
        <w:rPr>
          <w:rFonts w:ascii="Times New Roman" w:hAnsi="Times New Roman"/>
          <w:sz w:val="26"/>
          <w:szCs w:val="26"/>
        </w:rPr>
        <w:t xml:space="preserve">support the petition as </w:t>
      </w:r>
      <w:r>
        <w:rPr>
          <w:rFonts w:ascii="Times New Roman" w:hAnsi="Times New Roman"/>
          <w:sz w:val="26"/>
          <w:szCs w:val="26"/>
        </w:rPr>
        <w:t xml:space="preserve">currently </w:t>
      </w:r>
      <w:r w:rsidRPr="00AC57F8">
        <w:rPr>
          <w:rFonts w:ascii="Times New Roman" w:hAnsi="Times New Roman"/>
          <w:sz w:val="26"/>
          <w:szCs w:val="26"/>
        </w:rPr>
        <w:t xml:space="preserve">written.  </w:t>
      </w:r>
      <w:r>
        <w:rPr>
          <w:rFonts w:ascii="Times New Roman" w:hAnsi="Times New Roman"/>
          <w:sz w:val="26"/>
          <w:szCs w:val="26"/>
        </w:rPr>
        <w:t>P</w:t>
      </w:r>
      <w:r w:rsidRPr="00AC57F8">
        <w:rPr>
          <w:rFonts w:ascii="Times New Roman" w:hAnsi="Times New Roman"/>
          <w:sz w:val="26"/>
          <w:szCs w:val="26"/>
        </w:rPr>
        <w:t xml:space="preserve">roposed </w:t>
      </w:r>
      <w:r>
        <w:rPr>
          <w:rFonts w:ascii="Times New Roman" w:hAnsi="Times New Roman"/>
          <w:sz w:val="26"/>
          <w:szCs w:val="26"/>
        </w:rPr>
        <w:t>R</w:t>
      </w:r>
      <w:r w:rsidRPr="00AC57F8">
        <w:rPr>
          <w:rFonts w:ascii="Times New Roman" w:hAnsi="Times New Roman"/>
          <w:sz w:val="26"/>
          <w:szCs w:val="26"/>
        </w:rPr>
        <w:t>ule</w:t>
      </w:r>
      <w:r>
        <w:rPr>
          <w:rFonts w:ascii="Times New Roman" w:hAnsi="Times New Roman"/>
          <w:sz w:val="26"/>
          <w:szCs w:val="26"/>
        </w:rPr>
        <w:t xml:space="preserve"> 228,</w:t>
      </w:r>
      <w:r w:rsidRPr="00AC57F8">
        <w:rPr>
          <w:rFonts w:ascii="Times New Roman" w:hAnsi="Times New Roman"/>
          <w:sz w:val="26"/>
          <w:szCs w:val="26"/>
        </w:rPr>
        <w:t xml:space="preserve"> implementing subsection E of the new A.R.S. </w:t>
      </w:r>
      <w:bookmarkStart w:id="0" w:name="_Hlk117497174"/>
      <w:r>
        <w:rPr>
          <w:rFonts w:ascii="Times New Roman" w:hAnsi="Times New Roman"/>
          <w:sz w:val="26"/>
          <w:szCs w:val="26"/>
        </w:rPr>
        <w:t>§</w:t>
      </w:r>
      <w:bookmarkEnd w:id="0"/>
      <w:r>
        <w:rPr>
          <w:rFonts w:ascii="Times New Roman" w:hAnsi="Times New Roman"/>
          <w:sz w:val="26"/>
          <w:szCs w:val="26"/>
        </w:rPr>
        <w:t xml:space="preserve"> </w:t>
      </w:r>
      <w:r w:rsidRPr="00AC57F8">
        <w:rPr>
          <w:rFonts w:ascii="Times New Roman" w:hAnsi="Times New Roman"/>
          <w:sz w:val="26"/>
          <w:szCs w:val="26"/>
        </w:rPr>
        <w:t>8-305</w:t>
      </w:r>
      <w:r>
        <w:rPr>
          <w:rFonts w:ascii="Times New Roman" w:hAnsi="Times New Roman"/>
          <w:sz w:val="26"/>
          <w:szCs w:val="26"/>
        </w:rPr>
        <w:t>,</w:t>
      </w:r>
      <w:r w:rsidRPr="00AC57F8">
        <w:rPr>
          <w:rFonts w:ascii="Times New Roman" w:hAnsi="Times New Roman"/>
          <w:sz w:val="26"/>
          <w:szCs w:val="26"/>
        </w:rPr>
        <w:t xml:space="preserve"> </w:t>
      </w:r>
      <w:r>
        <w:rPr>
          <w:rFonts w:ascii="Times New Roman" w:hAnsi="Times New Roman"/>
          <w:sz w:val="26"/>
          <w:szCs w:val="26"/>
        </w:rPr>
        <w:t>is</w:t>
      </w:r>
      <w:r w:rsidRPr="00AC57F8">
        <w:rPr>
          <w:rFonts w:ascii="Times New Roman" w:hAnsi="Times New Roman"/>
          <w:sz w:val="26"/>
          <w:szCs w:val="26"/>
        </w:rPr>
        <w:t xml:space="preserve"> inadequate to protect the </w:t>
      </w:r>
      <w:r w:rsidRPr="00AC57F8">
        <w:rPr>
          <w:rFonts w:ascii="Times New Roman" w:hAnsi="Times New Roman"/>
          <w:sz w:val="26"/>
          <w:szCs w:val="26"/>
        </w:rPr>
        <w:lastRenderedPageBreak/>
        <w:t>rights of juveniles who are facing adult criminal charges</w:t>
      </w:r>
      <w:r>
        <w:rPr>
          <w:rFonts w:ascii="Times New Roman" w:hAnsi="Times New Roman"/>
          <w:sz w:val="26"/>
          <w:szCs w:val="26"/>
        </w:rPr>
        <w:t>.</w:t>
      </w:r>
      <w:r w:rsidRPr="00AC57F8">
        <w:rPr>
          <w:rFonts w:ascii="Times New Roman" w:hAnsi="Times New Roman"/>
          <w:sz w:val="26"/>
          <w:szCs w:val="26"/>
        </w:rPr>
        <w:t xml:space="preserve"> This comment </w:t>
      </w:r>
      <w:r w:rsidR="00361ECA">
        <w:rPr>
          <w:rFonts w:ascii="Times New Roman" w:hAnsi="Times New Roman"/>
          <w:sz w:val="26"/>
          <w:szCs w:val="26"/>
        </w:rPr>
        <w:t>outlines</w:t>
      </w:r>
      <w:r w:rsidRPr="00AC57F8">
        <w:rPr>
          <w:rFonts w:ascii="Times New Roman" w:hAnsi="Times New Roman"/>
          <w:sz w:val="26"/>
          <w:szCs w:val="26"/>
        </w:rPr>
        <w:t xml:space="preserve"> our concerns with th</w:t>
      </w:r>
      <w:r>
        <w:rPr>
          <w:rFonts w:ascii="Times New Roman" w:hAnsi="Times New Roman"/>
          <w:sz w:val="26"/>
          <w:szCs w:val="26"/>
        </w:rPr>
        <w:t>at</w:t>
      </w:r>
      <w:r w:rsidRPr="00AC57F8">
        <w:rPr>
          <w:rFonts w:ascii="Times New Roman" w:hAnsi="Times New Roman"/>
          <w:sz w:val="26"/>
          <w:szCs w:val="26"/>
        </w:rPr>
        <w:t xml:space="preserve"> provisio</w:t>
      </w:r>
      <w:r>
        <w:rPr>
          <w:rFonts w:ascii="Times New Roman" w:hAnsi="Times New Roman"/>
          <w:sz w:val="26"/>
          <w:szCs w:val="26"/>
        </w:rPr>
        <w:t>n</w:t>
      </w:r>
      <w:r w:rsidRPr="00AC57F8">
        <w:rPr>
          <w:rFonts w:ascii="Times New Roman" w:hAnsi="Times New Roman"/>
          <w:sz w:val="26"/>
          <w:szCs w:val="26"/>
        </w:rPr>
        <w:t xml:space="preserve"> and suggests </w:t>
      </w:r>
      <w:r>
        <w:rPr>
          <w:rFonts w:ascii="Times New Roman" w:hAnsi="Times New Roman"/>
          <w:sz w:val="26"/>
          <w:szCs w:val="26"/>
        </w:rPr>
        <w:t>additional</w:t>
      </w:r>
      <w:r w:rsidRPr="00AC57F8">
        <w:rPr>
          <w:rFonts w:ascii="Times New Roman" w:hAnsi="Times New Roman"/>
          <w:sz w:val="26"/>
          <w:szCs w:val="26"/>
        </w:rPr>
        <w:t xml:space="preserve"> rules to effectuate A.R.S. </w:t>
      </w:r>
      <w:r>
        <w:rPr>
          <w:rFonts w:ascii="Times New Roman" w:hAnsi="Times New Roman"/>
          <w:sz w:val="26"/>
          <w:szCs w:val="26"/>
        </w:rPr>
        <w:t xml:space="preserve">§ </w:t>
      </w:r>
      <w:r w:rsidRPr="00AC57F8">
        <w:rPr>
          <w:rFonts w:ascii="Times New Roman" w:hAnsi="Times New Roman"/>
          <w:sz w:val="26"/>
          <w:szCs w:val="26"/>
        </w:rPr>
        <w:t>8-305(E)</w:t>
      </w:r>
      <w:r>
        <w:rPr>
          <w:rFonts w:ascii="Times New Roman" w:hAnsi="Times New Roman"/>
          <w:sz w:val="26"/>
          <w:szCs w:val="26"/>
        </w:rPr>
        <w:t xml:space="preserve">.  </w:t>
      </w:r>
    </w:p>
    <w:p w14:paraId="52FA8309" w14:textId="77777777" w:rsidR="00CD2D1F" w:rsidRPr="007F1025" w:rsidRDefault="00CD2D1F" w:rsidP="0050719E">
      <w:pPr>
        <w:spacing w:after="120" w:line="360" w:lineRule="auto"/>
        <w:jc w:val="both"/>
        <w:rPr>
          <w:rFonts w:ascii="Times New Roman" w:hAnsi="Times New Roman"/>
          <w:b/>
          <w:bCs/>
          <w:sz w:val="26"/>
          <w:szCs w:val="26"/>
        </w:rPr>
      </w:pPr>
      <w:r w:rsidRPr="007F1025">
        <w:rPr>
          <w:rFonts w:ascii="Times New Roman" w:hAnsi="Times New Roman"/>
          <w:b/>
          <w:bCs/>
          <w:sz w:val="26"/>
          <w:szCs w:val="26"/>
        </w:rPr>
        <w:t>1.  The re-determination hearings provided for in A.R.S. § 8-305(E) and proposed Rule 228 are contrary to the purpose of the Juvenile Justice Delinquency Prevention Act.</w:t>
      </w:r>
    </w:p>
    <w:p w14:paraId="6F81C623" w14:textId="1428B9F2" w:rsidR="00CD2D1F" w:rsidRPr="00BF287B"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The recently enacted</w:t>
      </w:r>
      <w:r w:rsidRPr="00AC57F8">
        <w:rPr>
          <w:rFonts w:ascii="Times New Roman" w:hAnsi="Times New Roman"/>
          <w:sz w:val="26"/>
          <w:szCs w:val="26"/>
        </w:rPr>
        <w:t xml:space="preserve"> A.R.S. </w:t>
      </w:r>
      <w:r>
        <w:rPr>
          <w:rFonts w:ascii="Times New Roman" w:hAnsi="Times New Roman"/>
          <w:sz w:val="26"/>
          <w:szCs w:val="26"/>
        </w:rPr>
        <w:t xml:space="preserve">§ </w:t>
      </w:r>
      <w:r w:rsidRPr="00AC57F8">
        <w:rPr>
          <w:rFonts w:ascii="Times New Roman" w:hAnsi="Times New Roman"/>
          <w:sz w:val="26"/>
          <w:szCs w:val="26"/>
        </w:rPr>
        <w:t>8-305(E) run</w:t>
      </w:r>
      <w:r>
        <w:rPr>
          <w:rFonts w:ascii="Times New Roman" w:hAnsi="Times New Roman"/>
          <w:sz w:val="26"/>
          <w:szCs w:val="26"/>
        </w:rPr>
        <w:t>s</w:t>
      </w:r>
      <w:r w:rsidRPr="00AC57F8">
        <w:rPr>
          <w:rFonts w:ascii="Times New Roman" w:hAnsi="Times New Roman"/>
          <w:sz w:val="26"/>
          <w:szCs w:val="26"/>
        </w:rPr>
        <w:t xml:space="preserve"> counter to </w:t>
      </w:r>
      <w:r w:rsidR="0010481C">
        <w:rPr>
          <w:rFonts w:ascii="Times New Roman" w:hAnsi="Times New Roman"/>
          <w:sz w:val="26"/>
          <w:szCs w:val="26"/>
        </w:rPr>
        <w:t xml:space="preserve">at least </w:t>
      </w:r>
      <w:r>
        <w:rPr>
          <w:rFonts w:ascii="Times New Roman" w:hAnsi="Times New Roman"/>
          <w:sz w:val="26"/>
          <w:szCs w:val="26"/>
        </w:rPr>
        <w:t xml:space="preserve">one </w:t>
      </w:r>
      <w:r w:rsidRPr="00AC57F8">
        <w:rPr>
          <w:rFonts w:ascii="Times New Roman" w:hAnsi="Times New Roman"/>
          <w:sz w:val="26"/>
          <w:szCs w:val="26"/>
        </w:rPr>
        <w:t>purpose of the Juvenile Justice Delinquency Prevention Act</w:t>
      </w:r>
      <w:r>
        <w:rPr>
          <w:rFonts w:ascii="Times New Roman" w:hAnsi="Times New Roman"/>
          <w:sz w:val="26"/>
          <w:szCs w:val="26"/>
        </w:rPr>
        <w:t xml:space="preserve"> (“the Act”) it was designed to codify.  One goal of the Act is to end or limit the practice of incarcerating juveniles in adult jails, and Arizona’s receipt of millions of dollars in federal grant funds is conditioned on compliance with the Act’s requirements.</w:t>
      </w:r>
      <w:r w:rsidRPr="00455190">
        <w:rPr>
          <w:rStyle w:val="FootnoteReference"/>
          <w:rFonts w:ascii="Times New Roman" w:hAnsi="Times New Roman"/>
          <w:sz w:val="26"/>
          <w:szCs w:val="26"/>
          <w:vertAlign w:val="superscript"/>
        </w:rPr>
        <w:footnoteReference w:id="1"/>
      </w:r>
      <w:r>
        <w:rPr>
          <w:rFonts w:ascii="Times New Roman" w:hAnsi="Times New Roman"/>
          <w:sz w:val="26"/>
          <w:szCs w:val="26"/>
        </w:rPr>
        <w:t xml:space="preserve"> </w:t>
      </w:r>
    </w:p>
    <w:p w14:paraId="609B0CB2" w14:textId="77777777"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The Act permits an initial housing determination for arrested juveniles and calls for a re-determination of juveniles’ detention location only when a juvenile is initially held in an adult facility. Nothing in the Act creates a reverse process by which juveniles can be moved </w:t>
      </w:r>
      <w:r w:rsidRPr="00AC57F8">
        <w:rPr>
          <w:rFonts w:ascii="Times New Roman" w:hAnsi="Times New Roman"/>
          <w:i/>
          <w:iCs/>
          <w:sz w:val="26"/>
          <w:szCs w:val="26"/>
        </w:rPr>
        <w:t>to</w:t>
      </w:r>
      <w:r>
        <w:rPr>
          <w:rFonts w:ascii="Times New Roman" w:hAnsi="Times New Roman"/>
          <w:sz w:val="26"/>
          <w:szCs w:val="26"/>
        </w:rPr>
        <w:t xml:space="preserve"> adult facilities after the initial housing determination has been made. Nonetheless the legislature included a provision in SB1073 that permits such a transfer. Accordingly, this court should be mindful of ensuring that any rules implementing the re-determination provision of SB1073 promote fairness and basic due process protections for incarcerated juveniles.</w:t>
      </w:r>
    </w:p>
    <w:p w14:paraId="21BEBD38" w14:textId="77777777" w:rsidR="00EE33FE" w:rsidRDefault="00EE33FE" w:rsidP="003848A8">
      <w:pPr>
        <w:spacing w:after="120" w:line="480" w:lineRule="auto"/>
        <w:ind w:firstLine="720"/>
        <w:jc w:val="both"/>
        <w:rPr>
          <w:rFonts w:ascii="Times New Roman" w:hAnsi="Times New Roman"/>
          <w:sz w:val="26"/>
          <w:szCs w:val="26"/>
        </w:rPr>
      </w:pPr>
    </w:p>
    <w:p w14:paraId="3742FCBB" w14:textId="77777777" w:rsidR="00CD2D1F" w:rsidRDefault="00CD2D1F" w:rsidP="0050719E">
      <w:pPr>
        <w:spacing w:after="120" w:line="360" w:lineRule="auto"/>
        <w:jc w:val="both"/>
        <w:rPr>
          <w:rFonts w:ascii="Times New Roman" w:hAnsi="Times New Roman"/>
          <w:b/>
          <w:bCs/>
          <w:sz w:val="26"/>
          <w:szCs w:val="26"/>
        </w:rPr>
      </w:pPr>
      <w:r w:rsidRPr="00191367">
        <w:rPr>
          <w:rFonts w:ascii="Times New Roman" w:hAnsi="Times New Roman"/>
          <w:b/>
          <w:bCs/>
          <w:sz w:val="26"/>
          <w:szCs w:val="26"/>
        </w:rPr>
        <w:t>2.</w:t>
      </w:r>
      <w:r>
        <w:rPr>
          <w:rFonts w:ascii="Times New Roman" w:hAnsi="Times New Roman"/>
          <w:sz w:val="26"/>
          <w:szCs w:val="26"/>
        </w:rPr>
        <w:t xml:space="preserve">  </w:t>
      </w:r>
      <w:r w:rsidRPr="007F1025">
        <w:rPr>
          <w:rFonts w:ascii="Times New Roman" w:hAnsi="Times New Roman"/>
          <w:b/>
          <w:bCs/>
          <w:sz w:val="26"/>
          <w:szCs w:val="26"/>
        </w:rPr>
        <w:t xml:space="preserve">The re-determination hearings provided for in A.R.S. § 8-305(E) and proposed Rule 228 </w:t>
      </w:r>
      <w:r>
        <w:rPr>
          <w:rFonts w:ascii="Times New Roman" w:hAnsi="Times New Roman"/>
          <w:b/>
          <w:bCs/>
          <w:sz w:val="26"/>
          <w:szCs w:val="26"/>
        </w:rPr>
        <w:t xml:space="preserve">allow juvenile detention facilities to avoid accountability in providing for the </w:t>
      </w:r>
      <w:r>
        <w:rPr>
          <w:rFonts w:ascii="Times New Roman" w:hAnsi="Times New Roman"/>
          <w:b/>
          <w:bCs/>
          <w:sz w:val="26"/>
          <w:szCs w:val="26"/>
        </w:rPr>
        <w:lastRenderedPageBreak/>
        <w:t xml:space="preserve">needs to detained youth. </w:t>
      </w:r>
    </w:p>
    <w:p w14:paraId="1FE65346" w14:textId="5679ECB3"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Detention is an inherently stressful environment that can create behavioral challenges for incarcerated persons. The re-determination provision in SB1073 allows the juvenile detention facility to use the criminal court in lieu of evidence-based custodial practices designed to de-escalate and modify disruptive inmate behavior. </w:t>
      </w:r>
      <w:r w:rsidR="00207B3E">
        <w:rPr>
          <w:rFonts w:ascii="Times New Roman" w:hAnsi="Times New Roman"/>
          <w:sz w:val="26"/>
          <w:szCs w:val="26"/>
        </w:rPr>
        <w:t>Contrary to evidence-based practice</w:t>
      </w:r>
      <w:r w:rsidR="0071774D">
        <w:rPr>
          <w:rFonts w:ascii="Times New Roman" w:hAnsi="Times New Roman"/>
          <w:sz w:val="26"/>
          <w:szCs w:val="26"/>
        </w:rPr>
        <w:t>, the</w:t>
      </w:r>
      <w:r w:rsidR="008D26AC">
        <w:rPr>
          <w:rFonts w:ascii="Times New Roman" w:hAnsi="Times New Roman"/>
          <w:sz w:val="26"/>
          <w:szCs w:val="26"/>
        </w:rPr>
        <w:t xml:space="preserve"> proposed language allows</w:t>
      </w:r>
      <w:r>
        <w:rPr>
          <w:rFonts w:ascii="Times New Roman" w:hAnsi="Times New Roman"/>
          <w:sz w:val="26"/>
          <w:szCs w:val="26"/>
        </w:rPr>
        <w:t xml:space="preserve"> juvenile detention facilities </w:t>
      </w:r>
      <w:r w:rsidR="00AC125A">
        <w:rPr>
          <w:rFonts w:ascii="Times New Roman" w:hAnsi="Times New Roman"/>
          <w:sz w:val="26"/>
          <w:szCs w:val="26"/>
        </w:rPr>
        <w:t>to shift</w:t>
      </w:r>
      <w:r>
        <w:rPr>
          <w:rFonts w:ascii="Times New Roman" w:hAnsi="Times New Roman"/>
          <w:sz w:val="26"/>
          <w:szCs w:val="26"/>
        </w:rPr>
        <w:t xml:space="preserve"> juveniles </w:t>
      </w:r>
      <w:r w:rsidR="00B32944">
        <w:rPr>
          <w:rFonts w:ascii="Times New Roman" w:hAnsi="Times New Roman"/>
          <w:sz w:val="26"/>
          <w:szCs w:val="26"/>
        </w:rPr>
        <w:t xml:space="preserve">exhibiting the greatest mental, cognitive, or emotional needs to an adult facility </w:t>
      </w:r>
      <w:r w:rsidR="00F8181F">
        <w:rPr>
          <w:rFonts w:ascii="Times New Roman" w:hAnsi="Times New Roman"/>
          <w:sz w:val="26"/>
          <w:szCs w:val="26"/>
        </w:rPr>
        <w:t xml:space="preserve">less equipped to address the needs of the juvenile. </w:t>
      </w:r>
      <w:r>
        <w:rPr>
          <w:rFonts w:ascii="Times New Roman" w:hAnsi="Times New Roman"/>
          <w:sz w:val="26"/>
          <w:szCs w:val="26"/>
        </w:rPr>
        <w:t>This is a practice akin to the school to prison pipeline, whereby high performing schools expel children for behavioral issues, sending them to successively worse performing schools and down a path to court involvement. In fact, many of the behavioral issues Juvenile Detention in Maricopa County has already complained of</w:t>
      </w:r>
      <w:r w:rsidR="00721CE8">
        <w:rPr>
          <w:rFonts w:ascii="Times New Roman" w:hAnsi="Times New Roman"/>
          <w:sz w:val="26"/>
          <w:szCs w:val="26"/>
        </w:rPr>
        <w:t xml:space="preserve"> </w:t>
      </w:r>
      <w:r>
        <w:rPr>
          <w:rFonts w:ascii="Times New Roman" w:hAnsi="Times New Roman"/>
          <w:sz w:val="26"/>
          <w:szCs w:val="26"/>
        </w:rPr>
        <w:t>and used as the basis for re-determination motions pursuant to A.R.S. 8-305(E), arose in the detention facility’s school setting.</w:t>
      </w:r>
    </w:p>
    <w:p w14:paraId="621566E4" w14:textId="77777777" w:rsidR="00CD2D1F" w:rsidRPr="00191367" w:rsidRDefault="00CD2D1F" w:rsidP="003848A8">
      <w:pPr>
        <w:spacing w:after="120" w:line="480" w:lineRule="auto"/>
        <w:jc w:val="both"/>
        <w:rPr>
          <w:rFonts w:ascii="Times New Roman" w:hAnsi="Times New Roman"/>
          <w:b/>
          <w:bCs/>
          <w:sz w:val="26"/>
          <w:szCs w:val="26"/>
        </w:rPr>
      </w:pPr>
      <w:r>
        <w:rPr>
          <w:rFonts w:ascii="Times New Roman" w:hAnsi="Times New Roman"/>
          <w:sz w:val="26"/>
          <w:szCs w:val="26"/>
        </w:rPr>
        <w:tab/>
        <w:t>The re-determination provision also uses the same faulty logic that the United States Supreme Court has cautioned against—an over-emphasis on conduct as a barometer for predicting future behavior.</w:t>
      </w:r>
      <w:r w:rsidRPr="000926B8">
        <w:rPr>
          <w:rStyle w:val="FootnoteReference"/>
          <w:rFonts w:ascii="Times New Roman" w:hAnsi="Times New Roman"/>
          <w:sz w:val="26"/>
          <w:szCs w:val="26"/>
          <w:vertAlign w:val="superscript"/>
        </w:rPr>
        <w:footnoteReference w:id="2"/>
      </w:r>
      <w:r>
        <w:rPr>
          <w:rFonts w:ascii="Times New Roman" w:hAnsi="Times New Roman"/>
          <w:sz w:val="26"/>
          <w:szCs w:val="26"/>
        </w:rPr>
        <w:t xml:space="preserve"> It does not consider the science behind juvenile brain development that shows most juveniles act in a state of transient immaturity, not by way of fixed character traits. When sending children to an adult facility, </w:t>
      </w:r>
      <w:r w:rsidRPr="003170DB">
        <w:rPr>
          <w:rFonts w:ascii="Times New Roman" w:hAnsi="Times New Roman"/>
          <w:sz w:val="26"/>
          <w:szCs w:val="26"/>
        </w:rPr>
        <w:t>Juvenile Detention</w:t>
      </w:r>
      <w:r>
        <w:rPr>
          <w:rFonts w:ascii="Times New Roman" w:hAnsi="Times New Roman"/>
          <w:sz w:val="26"/>
          <w:szCs w:val="26"/>
        </w:rPr>
        <w:t xml:space="preserve"> is taking the children who need the most help and supportive services and punishing them by transfer to an adult jail. This is also contrary to the express purposes of the Act that seeks to implement evidence-based, trauma informed services that reflect the science of adolescent development.</w:t>
      </w:r>
      <w:r w:rsidRPr="000926B8">
        <w:rPr>
          <w:rStyle w:val="FootnoteReference"/>
          <w:rFonts w:ascii="Times New Roman" w:hAnsi="Times New Roman"/>
          <w:sz w:val="26"/>
          <w:szCs w:val="26"/>
          <w:vertAlign w:val="superscript"/>
        </w:rPr>
        <w:footnoteReference w:id="3"/>
      </w:r>
      <w:r>
        <w:rPr>
          <w:rFonts w:ascii="Times New Roman" w:hAnsi="Times New Roman"/>
          <w:sz w:val="26"/>
          <w:szCs w:val="26"/>
        </w:rPr>
        <w:t xml:space="preserve"> </w:t>
      </w:r>
    </w:p>
    <w:p w14:paraId="6A191716" w14:textId="77777777" w:rsidR="00CD2D1F" w:rsidRPr="00191367" w:rsidRDefault="00CD2D1F" w:rsidP="00A25ADC">
      <w:pPr>
        <w:spacing w:after="120" w:line="360" w:lineRule="auto"/>
        <w:jc w:val="both"/>
        <w:rPr>
          <w:rFonts w:ascii="Times New Roman" w:hAnsi="Times New Roman"/>
          <w:b/>
          <w:bCs/>
          <w:sz w:val="26"/>
          <w:szCs w:val="26"/>
        </w:rPr>
      </w:pPr>
      <w:r>
        <w:rPr>
          <w:rFonts w:ascii="Times New Roman" w:hAnsi="Times New Roman"/>
          <w:b/>
          <w:bCs/>
          <w:sz w:val="26"/>
          <w:szCs w:val="26"/>
        </w:rPr>
        <w:t xml:space="preserve">3.  </w:t>
      </w:r>
      <w:r w:rsidRPr="00191367">
        <w:rPr>
          <w:rFonts w:ascii="Times New Roman" w:hAnsi="Times New Roman"/>
          <w:b/>
          <w:bCs/>
          <w:sz w:val="26"/>
          <w:szCs w:val="26"/>
        </w:rPr>
        <w:t>The re</w:t>
      </w:r>
      <w:r>
        <w:rPr>
          <w:rFonts w:ascii="Times New Roman" w:hAnsi="Times New Roman"/>
          <w:b/>
          <w:bCs/>
          <w:sz w:val="26"/>
          <w:szCs w:val="26"/>
        </w:rPr>
        <w:t>-</w:t>
      </w:r>
      <w:r w:rsidRPr="00191367">
        <w:rPr>
          <w:rFonts w:ascii="Times New Roman" w:hAnsi="Times New Roman"/>
          <w:b/>
          <w:bCs/>
          <w:sz w:val="26"/>
          <w:szCs w:val="26"/>
        </w:rPr>
        <w:t>determination provision has the potential to affect case outcomes.</w:t>
      </w:r>
    </w:p>
    <w:p w14:paraId="5F979429" w14:textId="3EEC6FB0" w:rsidR="00CD2D1F" w:rsidRDefault="00CD2D1F" w:rsidP="003848A8">
      <w:pPr>
        <w:spacing w:after="120" w:line="480" w:lineRule="auto"/>
        <w:ind w:firstLine="720"/>
        <w:jc w:val="both"/>
        <w:rPr>
          <w:rFonts w:ascii="Times New Roman" w:hAnsi="Times New Roman"/>
          <w:sz w:val="26"/>
          <w:szCs w:val="26"/>
        </w:rPr>
      </w:pPr>
      <w:r w:rsidRPr="00F03E7C">
        <w:rPr>
          <w:rFonts w:ascii="Times New Roman" w:hAnsi="Times New Roman"/>
          <w:sz w:val="26"/>
          <w:szCs w:val="26"/>
        </w:rPr>
        <w:t xml:space="preserve"> </w:t>
      </w:r>
      <w:r>
        <w:rPr>
          <w:rFonts w:ascii="Times New Roman" w:hAnsi="Times New Roman"/>
          <w:sz w:val="26"/>
          <w:szCs w:val="26"/>
        </w:rPr>
        <w:t xml:space="preserve">The re-determination provision in A.R.S. </w:t>
      </w:r>
      <w:bookmarkStart w:id="1" w:name="_Hlk117498869"/>
      <w:r>
        <w:rPr>
          <w:rFonts w:ascii="Times New Roman" w:hAnsi="Times New Roman"/>
          <w:sz w:val="26"/>
          <w:szCs w:val="26"/>
        </w:rPr>
        <w:t xml:space="preserve">§ 8-305(E) </w:t>
      </w:r>
      <w:bookmarkEnd w:id="1"/>
      <w:r>
        <w:rPr>
          <w:rFonts w:ascii="Times New Roman" w:hAnsi="Times New Roman"/>
          <w:sz w:val="26"/>
          <w:szCs w:val="26"/>
        </w:rPr>
        <w:t>does not explicitly require the proceedings be sealed, thus allowing otherwise confidential</w:t>
      </w:r>
      <w:r w:rsidRPr="000926B8">
        <w:rPr>
          <w:rStyle w:val="FootnoteReference"/>
          <w:rFonts w:ascii="Times New Roman" w:hAnsi="Times New Roman"/>
          <w:sz w:val="26"/>
          <w:szCs w:val="26"/>
          <w:vertAlign w:val="superscript"/>
        </w:rPr>
        <w:footnoteReference w:id="4"/>
      </w:r>
      <w:r>
        <w:rPr>
          <w:rFonts w:ascii="Times New Roman" w:hAnsi="Times New Roman"/>
          <w:sz w:val="26"/>
          <w:szCs w:val="26"/>
        </w:rPr>
        <w:t xml:space="preserve"> juvenile records to be used against the juveniles in their criminal matters. The re-determination provision allows Juvenile Detention staff to discuss a juvenile’s administrative infractions in a public setting and on a public docket. Juvenile Detention will now be permitted</w:t>
      </w:r>
      <w:r w:rsidR="00744EFD">
        <w:rPr>
          <w:rFonts w:ascii="Times New Roman" w:hAnsi="Times New Roman"/>
          <w:sz w:val="26"/>
          <w:szCs w:val="26"/>
        </w:rPr>
        <w:t xml:space="preserve">, </w:t>
      </w:r>
      <w:r>
        <w:rPr>
          <w:rFonts w:ascii="Times New Roman" w:hAnsi="Times New Roman"/>
          <w:sz w:val="26"/>
          <w:szCs w:val="26"/>
        </w:rPr>
        <w:t>and has already started</w:t>
      </w:r>
      <w:r w:rsidR="00744EFD">
        <w:rPr>
          <w:rFonts w:ascii="Times New Roman" w:hAnsi="Times New Roman"/>
          <w:sz w:val="26"/>
          <w:szCs w:val="26"/>
        </w:rPr>
        <w:t xml:space="preserve">, </w:t>
      </w:r>
      <w:r>
        <w:rPr>
          <w:rFonts w:ascii="Times New Roman" w:hAnsi="Times New Roman"/>
          <w:sz w:val="26"/>
          <w:szCs w:val="26"/>
        </w:rPr>
        <w:t xml:space="preserve">to file motions containing details about a juvenile’s custodial behavior. What was once addressed administratively and confidentially, will now play a role in determining case outcomes. </w:t>
      </w:r>
    </w:p>
    <w:p w14:paraId="551BDBAF" w14:textId="77777777"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These motions air grievances in front of the same court tasked with making decisions about the juvenile’s criminal case, and in front of prosecutors seeking the juvenile’s felony conviction. Prosecutors are making punitive case-related decisions such as plea offer terms and sentencing recommendations based, in part, on a juvenile’s behavioral issues arising from the stressful custodial setting. In fact, prosecutors in Maricopa County have already cited to information they learned during re-determination hearings as a reason for not offering a more lenient plea agreement. </w:t>
      </w:r>
    </w:p>
    <w:p w14:paraId="28C7ACE8" w14:textId="14C0F6DD"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This practice does not routinely occur in adult jails. Certainly, there are behavioral issues that arise in adult </w:t>
      </w:r>
      <w:r w:rsidR="00614985">
        <w:rPr>
          <w:rFonts w:ascii="Times New Roman" w:hAnsi="Times New Roman"/>
          <w:sz w:val="26"/>
          <w:szCs w:val="26"/>
        </w:rPr>
        <w:t>jails,</w:t>
      </w:r>
      <w:r>
        <w:rPr>
          <w:rFonts w:ascii="Times New Roman" w:hAnsi="Times New Roman"/>
          <w:sz w:val="26"/>
          <w:szCs w:val="26"/>
        </w:rPr>
        <w:t xml:space="preserve"> but that information is not typically shared with the court and prosecutors unless the behavior is referred for prosecution or is directly relevant to the pending criminal case. Thus, juveniles who have been initially housed in a juvenile detention facility and then sent to an adult jail under the re-determination provision of A.R.S. § 8-305(E) are at a disadvantage, particularly from a plea negotiation and sentencing standpoint, as compared to those who are incarcerated only in an adult jail. </w:t>
      </w:r>
    </w:p>
    <w:p w14:paraId="0F40FC14" w14:textId="77777777"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The Act was designed as a shield to protect detained youth.  Instead, the legislature’s re-determination provision is a sword, used in a manner that ultimately harms the juveniles whom the Act was designed to protect. </w:t>
      </w:r>
    </w:p>
    <w:p w14:paraId="4B133CCB" w14:textId="77777777" w:rsidR="00CD2D1F" w:rsidRPr="00AD1209" w:rsidRDefault="00CD2D1F" w:rsidP="0050719E">
      <w:pPr>
        <w:spacing w:after="120" w:line="360" w:lineRule="auto"/>
        <w:jc w:val="both"/>
        <w:rPr>
          <w:rFonts w:ascii="Times New Roman" w:hAnsi="Times New Roman"/>
          <w:b/>
          <w:bCs/>
          <w:sz w:val="26"/>
          <w:szCs w:val="26"/>
        </w:rPr>
      </w:pPr>
      <w:r w:rsidRPr="00AD1209">
        <w:rPr>
          <w:rFonts w:ascii="Times New Roman" w:hAnsi="Times New Roman"/>
          <w:b/>
          <w:bCs/>
          <w:sz w:val="26"/>
          <w:szCs w:val="26"/>
        </w:rPr>
        <w:t>4.  The re</w:t>
      </w:r>
      <w:r>
        <w:rPr>
          <w:rFonts w:ascii="Times New Roman" w:hAnsi="Times New Roman"/>
          <w:b/>
          <w:bCs/>
          <w:sz w:val="26"/>
          <w:szCs w:val="26"/>
        </w:rPr>
        <w:t>-</w:t>
      </w:r>
      <w:r w:rsidRPr="00AD1209">
        <w:rPr>
          <w:rFonts w:ascii="Times New Roman" w:hAnsi="Times New Roman"/>
          <w:b/>
          <w:bCs/>
          <w:sz w:val="26"/>
          <w:szCs w:val="26"/>
        </w:rPr>
        <w:t xml:space="preserve">determination provision is ripe for abuse, inconsistencies, and disparate impact. </w:t>
      </w:r>
    </w:p>
    <w:p w14:paraId="3C10140F" w14:textId="44C9E560"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The re-determination provision allows a non-elected official—the Juvenile Court Services Director—to initiate a litigation process aimed at sending youth to adult jails based on undefined “conduct.”  Providing such broad discretion to Juvenile Detention creates an environment ripe for abuse, inconsistent application, and disparate impact. Since the enactment of SB1073, the re-determination provision has already been used as a threat by the juvenile detention facility to attempt to control behavioral issues. For example, Juvenile Detention staff have threatened juveniles in their custody </w:t>
      </w:r>
      <w:r w:rsidR="002170A9">
        <w:rPr>
          <w:rFonts w:ascii="Times New Roman" w:hAnsi="Times New Roman"/>
          <w:sz w:val="26"/>
          <w:szCs w:val="26"/>
        </w:rPr>
        <w:t xml:space="preserve">with the </w:t>
      </w:r>
      <w:r w:rsidR="00F055FC">
        <w:rPr>
          <w:rFonts w:ascii="Times New Roman" w:hAnsi="Times New Roman"/>
          <w:sz w:val="26"/>
          <w:szCs w:val="26"/>
        </w:rPr>
        <w:t xml:space="preserve">position that they will </w:t>
      </w:r>
      <w:r>
        <w:rPr>
          <w:rFonts w:ascii="Times New Roman" w:hAnsi="Times New Roman"/>
          <w:sz w:val="26"/>
          <w:szCs w:val="26"/>
        </w:rPr>
        <w:t xml:space="preserve">be sent to an adult facility if they create disruptions in classroom settings, citing to this new law. Juvenile Detention staff have also advised juveniles that if they contest the </w:t>
      </w:r>
      <w:r w:rsidR="00410529">
        <w:rPr>
          <w:rFonts w:ascii="Times New Roman" w:hAnsi="Times New Roman"/>
          <w:sz w:val="26"/>
          <w:szCs w:val="26"/>
        </w:rPr>
        <w:t>transfer,</w:t>
      </w:r>
      <w:r>
        <w:rPr>
          <w:rFonts w:ascii="Times New Roman" w:hAnsi="Times New Roman"/>
          <w:sz w:val="26"/>
          <w:szCs w:val="26"/>
        </w:rPr>
        <w:t xml:space="preserve"> it will hurt their criminal cases—an apparent attempt to persuade these juveniles to stipulate to a transfer. These practices run contrary to the therapeutic approach Juvenile Detention is expected to utilize for effective behavior modification of the youth in their custody.  </w:t>
      </w:r>
    </w:p>
    <w:p w14:paraId="4FDE54E5" w14:textId="17EB7310"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In addition, Juvenile Detention has complained of staffing shortages, </w:t>
      </w:r>
      <w:r w:rsidR="001A7E73">
        <w:rPr>
          <w:rFonts w:ascii="Times New Roman" w:hAnsi="Times New Roman"/>
          <w:sz w:val="26"/>
          <w:szCs w:val="26"/>
        </w:rPr>
        <w:t xml:space="preserve">and recently opposed housing </w:t>
      </w:r>
      <w:r w:rsidR="00E70894">
        <w:rPr>
          <w:rFonts w:ascii="Times New Roman" w:hAnsi="Times New Roman"/>
          <w:sz w:val="26"/>
          <w:szCs w:val="26"/>
        </w:rPr>
        <w:t xml:space="preserve">several juveniles within their facility citing to a lack of available staff. </w:t>
      </w:r>
      <w:r>
        <w:rPr>
          <w:rFonts w:ascii="Times New Roman" w:hAnsi="Times New Roman"/>
          <w:sz w:val="26"/>
          <w:szCs w:val="26"/>
        </w:rPr>
        <w:t xml:space="preserve">The re-determination provision appears to be a mechanism by which Juvenile Detention can decrease the number of juveniles in their custody, and thus an indirect means of addressing staffing shortages. This practice is likely to result in arbitrary enforcement by creating a sliding scale of behaviors, deemed by Juvenile Detention to trigger a re-determination motion, that depends upon the current occupancy capabilities of the facility. </w:t>
      </w:r>
    </w:p>
    <w:p w14:paraId="2E3707F1" w14:textId="627B7C1D" w:rsidR="00D550AB" w:rsidRDefault="00CD2D1F" w:rsidP="00D550AB">
      <w:pPr>
        <w:spacing w:after="120" w:line="480" w:lineRule="auto"/>
        <w:ind w:firstLine="720"/>
        <w:jc w:val="both"/>
        <w:rPr>
          <w:rFonts w:ascii="Times New Roman" w:hAnsi="Times New Roman"/>
          <w:sz w:val="26"/>
          <w:szCs w:val="26"/>
        </w:rPr>
      </w:pPr>
      <w:r>
        <w:rPr>
          <w:rFonts w:ascii="Times New Roman" w:hAnsi="Times New Roman"/>
          <w:sz w:val="26"/>
          <w:szCs w:val="26"/>
        </w:rPr>
        <w:t>Finally, any provision of the Rules that allows Juvenile Detention to make discretionary decisions about which juveniles should be subjected to a redetermination hearing could lead to disparate impacts on minority incarcerated youth. Like the school to prison pipeline, minority communities are most affected by discretionary, punitive practices.</w:t>
      </w:r>
      <w:r w:rsidRPr="000444F5">
        <w:rPr>
          <w:rStyle w:val="FootnoteReference"/>
          <w:rFonts w:ascii="Times New Roman" w:hAnsi="Times New Roman"/>
          <w:sz w:val="26"/>
          <w:szCs w:val="26"/>
          <w:vertAlign w:val="superscript"/>
        </w:rPr>
        <w:footnoteReference w:id="5"/>
      </w:r>
      <w:r>
        <w:rPr>
          <w:rFonts w:ascii="Times New Roman" w:hAnsi="Times New Roman"/>
          <w:sz w:val="26"/>
          <w:szCs w:val="26"/>
        </w:rPr>
        <w:t xml:space="preserve"> Juvenile Detention’s use of the re-determination provision is susceptible to the same implicit biases that affect other discretionary discipline policies. </w:t>
      </w:r>
    </w:p>
    <w:p w14:paraId="045A0018" w14:textId="77777777" w:rsidR="00D550AB" w:rsidRDefault="00D550AB" w:rsidP="0050719E">
      <w:pPr>
        <w:spacing w:after="120" w:line="360" w:lineRule="auto"/>
        <w:jc w:val="both"/>
        <w:rPr>
          <w:rFonts w:ascii="Times New Roman" w:hAnsi="Times New Roman"/>
          <w:b/>
          <w:bCs/>
          <w:sz w:val="26"/>
          <w:szCs w:val="26"/>
        </w:rPr>
      </w:pPr>
    </w:p>
    <w:p w14:paraId="03B31A3A" w14:textId="3655603E" w:rsidR="00CD2D1F" w:rsidRPr="008F34C6" w:rsidRDefault="00CD2D1F" w:rsidP="0050719E">
      <w:pPr>
        <w:spacing w:after="120" w:line="360" w:lineRule="auto"/>
        <w:jc w:val="both"/>
        <w:rPr>
          <w:rFonts w:ascii="Times New Roman" w:hAnsi="Times New Roman"/>
          <w:b/>
          <w:bCs/>
          <w:sz w:val="26"/>
          <w:szCs w:val="26"/>
        </w:rPr>
      </w:pPr>
      <w:r w:rsidRPr="00F31AE9">
        <w:rPr>
          <w:rFonts w:ascii="Times New Roman" w:hAnsi="Times New Roman"/>
          <w:b/>
          <w:bCs/>
          <w:sz w:val="26"/>
          <w:szCs w:val="26"/>
        </w:rPr>
        <w:t xml:space="preserve">5.  </w:t>
      </w:r>
      <w:r>
        <w:rPr>
          <w:rFonts w:ascii="Times New Roman" w:hAnsi="Times New Roman"/>
          <w:b/>
          <w:bCs/>
          <w:sz w:val="26"/>
          <w:szCs w:val="26"/>
        </w:rPr>
        <w:t xml:space="preserve">The re-determination provision of </w:t>
      </w:r>
      <w:r w:rsidRPr="00B52325">
        <w:rPr>
          <w:rFonts w:ascii="Times New Roman" w:hAnsi="Times New Roman"/>
          <w:b/>
          <w:bCs/>
          <w:sz w:val="26"/>
          <w:szCs w:val="26"/>
        </w:rPr>
        <w:t>A.R.S. § 8-305(E)</w:t>
      </w:r>
      <w:r>
        <w:rPr>
          <w:rFonts w:ascii="Times New Roman" w:hAnsi="Times New Roman"/>
          <w:sz w:val="26"/>
          <w:szCs w:val="26"/>
        </w:rPr>
        <w:t xml:space="preserve"> </w:t>
      </w:r>
      <w:r w:rsidRPr="008F34C6">
        <w:rPr>
          <w:rFonts w:ascii="Times New Roman" w:hAnsi="Times New Roman"/>
          <w:b/>
          <w:bCs/>
          <w:sz w:val="26"/>
          <w:szCs w:val="26"/>
        </w:rPr>
        <w:t>should not be implemented by this Court without provision that ensure confidentiality and due process for the detained juveniles.</w:t>
      </w:r>
    </w:p>
    <w:p w14:paraId="0901C757" w14:textId="5DFB5332"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Should this Court adopt the re-determination provision contained in </w:t>
      </w:r>
      <w:r w:rsidRPr="003C5088">
        <w:rPr>
          <w:rFonts w:ascii="Times New Roman" w:hAnsi="Times New Roman"/>
          <w:sz w:val="26"/>
          <w:szCs w:val="26"/>
        </w:rPr>
        <w:t xml:space="preserve">A.R.S. </w:t>
      </w:r>
      <w:bookmarkStart w:id="2" w:name="_Hlk117505549"/>
      <w:r w:rsidRPr="003C5088">
        <w:rPr>
          <w:rFonts w:ascii="Times New Roman" w:hAnsi="Times New Roman"/>
          <w:sz w:val="26"/>
          <w:szCs w:val="26"/>
        </w:rPr>
        <w:t>§</w:t>
      </w:r>
      <w:bookmarkEnd w:id="2"/>
      <w:r w:rsidRPr="003C5088">
        <w:rPr>
          <w:rFonts w:ascii="Times New Roman" w:hAnsi="Times New Roman"/>
          <w:sz w:val="26"/>
          <w:szCs w:val="26"/>
        </w:rPr>
        <w:t xml:space="preserve"> 8-305,</w:t>
      </w:r>
      <w:r>
        <w:rPr>
          <w:rFonts w:ascii="Times New Roman" w:hAnsi="Times New Roman"/>
          <w:b/>
          <w:bCs/>
          <w:sz w:val="26"/>
          <w:szCs w:val="26"/>
        </w:rPr>
        <w:t xml:space="preserve"> </w:t>
      </w:r>
      <w:r>
        <w:rPr>
          <w:rFonts w:ascii="Times New Roman" w:hAnsi="Times New Roman"/>
          <w:sz w:val="26"/>
          <w:szCs w:val="26"/>
        </w:rPr>
        <w:t>the Court should include protections in implementing rules that alleviate the concerns described above. Because SB1073 was enacted only to</w:t>
      </w:r>
      <w:r w:rsidRPr="00617489">
        <w:rPr>
          <w:rFonts w:ascii="Times New Roman" w:hAnsi="Times New Roman"/>
          <w:sz w:val="26"/>
          <w:szCs w:val="26"/>
        </w:rPr>
        <w:t xml:space="preserve"> comply with a federal law that determines </w:t>
      </w:r>
      <w:r>
        <w:rPr>
          <w:rFonts w:ascii="Times New Roman" w:hAnsi="Times New Roman"/>
          <w:sz w:val="26"/>
          <w:szCs w:val="26"/>
        </w:rPr>
        <w:t xml:space="preserve">detained juveniles’ </w:t>
      </w:r>
      <w:r w:rsidRPr="00617489">
        <w:rPr>
          <w:rFonts w:ascii="Times New Roman" w:hAnsi="Times New Roman"/>
          <w:sz w:val="26"/>
          <w:szCs w:val="26"/>
        </w:rPr>
        <w:t>housing location</w:t>
      </w:r>
      <w:r>
        <w:rPr>
          <w:rFonts w:ascii="Times New Roman" w:hAnsi="Times New Roman"/>
          <w:sz w:val="26"/>
          <w:szCs w:val="26"/>
        </w:rPr>
        <w:t>s, it should not be implemented by the Courts in a manner that furthers the prosecution of detained juveniles.</w:t>
      </w:r>
      <w:r w:rsidRPr="00617489">
        <w:rPr>
          <w:rFonts w:ascii="Times New Roman" w:hAnsi="Times New Roman"/>
          <w:sz w:val="26"/>
          <w:szCs w:val="26"/>
        </w:rPr>
        <w:t xml:space="preserve"> </w:t>
      </w:r>
      <w:r>
        <w:rPr>
          <w:rFonts w:ascii="Times New Roman" w:hAnsi="Times New Roman"/>
          <w:sz w:val="26"/>
          <w:szCs w:val="26"/>
        </w:rPr>
        <w:t>To mitigate the prosecutorial impact, the Court should consider additional rules as described below.</w:t>
      </w:r>
    </w:p>
    <w:p w14:paraId="244904C9" w14:textId="77777777"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 First, </w:t>
      </w:r>
      <w:r w:rsidRPr="00617489">
        <w:rPr>
          <w:rFonts w:ascii="Times New Roman" w:hAnsi="Times New Roman"/>
          <w:sz w:val="26"/>
          <w:szCs w:val="26"/>
        </w:rPr>
        <w:t>the</w:t>
      </w:r>
      <w:r>
        <w:rPr>
          <w:rFonts w:ascii="Times New Roman" w:hAnsi="Times New Roman"/>
          <w:sz w:val="26"/>
          <w:szCs w:val="26"/>
        </w:rPr>
        <w:t xml:space="preserve"> re-determination</w:t>
      </w:r>
      <w:r w:rsidRPr="00617489">
        <w:rPr>
          <w:rFonts w:ascii="Times New Roman" w:hAnsi="Times New Roman"/>
          <w:sz w:val="26"/>
          <w:szCs w:val="26"/>
        </w:rPr>
        <w:t xml:space="preserve"> </w:t>
      </w:r>
      <w:r>
        <w:rPr>
          <w:rFonts w:ascii="Times New Roman" w:hAnsi="Times New Roman"/>
          <w:sz w:val="26"/>
          <w:szCs w:val="26"/>
        </w:rPr>
        <w:t>hearing</w:t>
      </w:r>
      <w:r w:rsidRPr="00617489">
        <w:rPr>
          <w:rFonts w:ascii="Times New Roman" w:hAnsi="Times New Roman"/>
          <w:sz w:val="26"/>
          <w:szCs w:val="26"/>
        </w:rPr>
        <w:t xml:space="preserve">s </w:t>
      </w:r>
      <w:r>
        <w:rPr>
          <w:rFonts w:ascii="Times New Roman" w:hAnsi="Times New Roman"/>
          <w:sz w:val="26"/>
          <w:szCs w:val="26"/>
        </w:rPr>
        <w:t>should be handled by a</w:t>
      </w:r>
      <w:r w:rsidRPr="00617489">
        <w:rPr>
          <w:rFonts w:ascii="Times New Roman" w:hAnsi="Times New Roman"/>
          <w:sz w:val="26"/>
          <w:szCs w:val="26"/>
        </w:rPr>
        <w:t xml:space="preserve"> different judicial officer than the case management </w:t>
      </w:r>
      <w:r>
        <w:rPr>
          <w:rFonts w:ascii="Times New Roman" w:hAnsi="Times New Roman"/>
          <w:sz w:val="26"/>
          <w:szCs w:val="26"/>
        </w:rPr>
        <w:t xml:space="preserve">and trial </w:t>
      </w:r>
      <w:r w:rsidRPr="00617489">
        <w:rPr>
          <w:rFonts w:ascii="Times New Roman" w:hAnsi="Times New Roman"/>
          <w:sz w:val="26"/>
          <w:szCs w:val="26"/>
        </w:rPr>
        <w:t>judge</w:t>
      </w:r>
      <w:r>
        <w:rPr>
          <w:rFonts w:ascii="Times New Roman" w:hAnsi="Times New Roman"/>
          <w:sz w:val="26"/>
          <w:szCs w:val="26"/>
        </w:rPr>
        <w:t>s.</w:t>
      </w:r>
    </w:p>
    <w:p w14:paraId="204964FE" w14:textId="77777777"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Second, the agency prosecuting the criminal case (almost always is the County Attorney’s Office) should be excluded from any litigation brought pursuant to A.R.S. </w:t>
      </w:r>
      <w:r w:rsidRPr="003C5088">
        <w:rPr>
          <w:rFonts w:ascii="Times New Roman" w:hAnsi="Times New Roman"/>
          <w:sz w:val="26"/>
          <w:szCs w:val="26"/>
        </w:rPr>
        <w:t>§</w:t>
      </w:r>
      <w:r>
        <w:rPr>
          <w:rFonts w:ascii="Times New Roman" w:hAnsi="Times New Roman"/>
          <w:sz w:val="26"/>
          <w:szCs w:val="26"/>
        </w:rPr>
        <w:t xml:space="preserve"> 8-305(E).  T</w:t>
      </w:r>
      <w:r w:rsidRPr="00617489">
        <w:rPr>
          <w:rFonts w:ascii="Times New Roman" w:hAnsi="Times New Roman"/>
          <w:sz w:val="26"/>
          <w:szCs w:val="26"/>
        </w:rPr>
        <w:t xml:space="preserve">he </w:t>
      </w:r>
      <w:r>
        <w:rPr>
          <w:rFonts w:ascii="Times New Roman" w:hAnsi="Times New Roman"/>
          <w:sz w:val="26"/>
          <w:szCs w:val="26"/>
        </w:rPr>
        <w:t>S</w:t>
      </w:r>
      <w:r w:rsidRPr="00617489">
        <w:rPr>
          <w:rFonts w:ascii="Times New Roman" w:hAnsi="Times New Roman"/>
          <w:sz w:val="26"/>
          <w:szCs w:val="26"/>
        </w:rPr>
        <w:t xml:space="preserve">tate </w:t>
      </w:r>
      <w:r>
        <w:rPr>
          <w:rFonts w:ascii="Times New Roman" w:hAnsi="Times New Roman"/>
          <w:sz w:val="26"/>
          <w:szCs w:val="26"/>
        </w:rPr>
        <w:t xml:space="preserve">of Arizona </w:t>
      </w:r>
      <w:r w:rsidRPr="00617489">
        <w:rPr>
          <w:rFonts w:ascii="Times New Roman" w:hAnsi="Times New Roman"/>
          <w:sz w:val="26"/>
          <w:szCs w:val="26"/>
        </w:rPr>
        <w:t>is represented a</w:t>
      </w:r>
      <w:r>
        <w:rPr>
          <w:rFonts w:ascii="Times New Roman" w:hAnsi="Times New Roman"/>
          <w:sz w:val="26"/>
          <w:szCs w:val="26"/>
        </w:rPr>
        <w:t>t</w:t>
      </w:r>
      <w:r w:rsidRPr="00617489">
        <w:rPr>
          <w:rFonts w:ascii="Times New Roman" w:hAnsi="Times New Roman"/>
          <w:sz w:val="26"/>
          <w:szCs w:val="26"/>
        </w:rPr>
        <w:t xml:space="preserve"> the</w:t>
      </w:r>
      <w:r>
        <w:rPr>
          <w:rFonts w:ascii="Times New Roman" w:hAnsi="Times New Roman"/>
          <w:sz w:val="26"/>
          <w:szCs w:val="26"/>
        </w:rPr>
        <w:t xml:space="preserve"> re-determination</w:t>
      </w:r>
      <w:r w:rsidRPr="00617489">
        <w:rPr>
          <w:rFonts w:ascii="Times New Roman" w:hAnsi="Times New Roman"/>
          <w:sz w:val="26"/>
          <w:szCs w:val="26"/>
        </w:rPr>
        <w:t xml:space="preserve"> hearings </w:t>
      </w:r>
      <w:r>
        <w:rPr>
          <w:rFonts w:ascii="Times New Roman" w:hAnsi="Times New Roman"/>
          <w:sz w:val="26"/>
          <w:szCs w:val="26"/>
        </w:rPr>
        <w:t>by</w:t>
      </w:r>
      <w:r w:rsidRPr="00617489">
        <w:rPr>
          <w:rFonts w:ascii="Times New Roman" w:hAnsi="Times New Roman"/>
          <w:sz w:val="26"/>
          <w:szCs w:val="26"/>
        </w:rPr>
        <w:t xml:space="preserve"> the Attorney General’s office, </w:t>
      </w:r>
      <w:r>
        <w:rPr>
          <w:rFonts w:ascii="Times New Roman" w:hAnsi="Times New Roman"/>
          <w:sz w:val="26"/>
          <w:szCs w:val="26"/>
        </w:rPr>
        <w:t>as that office</w:t>
      </w:r>
      <w:r w:rsidRPr="00617489">
        <w:rPr>
          <w:rFonts w:ascii="Times New Roman" w:hAnsi="Times New Roman"/>
          <w:sz w:val="26"/>
          <w:szCs w:val="26"/>
        </w:rPr>
        <w:t xml:space="preserve"> represents the juvenile probation department</w:t>
      </w:r>
      <w:r>
        <w:rPr>
          <w:rFonts w:ascii="Times New Roman" w:hAnsi="Times New Roman"/>
          <w:sz w:val="26"/>
          <w:szCs w:val="26"/>
        </w:rPr>
        <w:t>, and there is no compelling reason for the prosecuting agency to also participate in the proceedings.  Unlike motions to modify release conditions, motions brought pursuant to t</w:t>
      </w:r>
      <w:r w:rsidRPr="00617489">
        <w:rPr>
          <w:rFonts w:ascii="Times New Roman" w:hAnsi="Times New Roman"/>
          <w:sz w:val="26"/>
          <w:szCs w:val="26"/>
        </w:rPr>
        <w:t>he</w:t>
      </w:r>
      <w:r>
        <w:rPr>
          <w:rFonts w:ascii="Times New Roman" w:hAnsi="Times New Roman"/>
          <w:sz w:val="26"/>
          <w:szCs w:val="26"/>
        </w:rPr>
        <w:t xml:space="preserve"> re-determination provision</w:t>
      </w:r>
      <w:r w:rsidRPr="00617489">
        <w:rPr>
          <w:rFonts w:ascii="Times New Roman" w:hAnsi="Times New Roman"/>
          <w:sz w:val="26"/>
          <w:szCs w:val="26"/>
        </w:rPr>
        <w:t xml:space="preserve"> </w:t>
      </w:r>
      <w:r>
        <w:rPr>
          <w:rFonts w:ascii="Times New Roman" w:hAnsi="Times New Roman"/>
          <w:sz w:val="26"/>
          <w:szCs w:val="26"/>
        </w:rPr>
        <w:t>should be collateral to, and separate from, the criminal prosecution because the re-determination litigation will</w:t>
      </w:r>
      <w:r w:rsidRPr="00617489">
        <w:rPr>
          <w:rFonts w:ascii="Times New Roman" w:hAnsi="Times New Roman"/>
          <w:sz w:val="26"/>
          <w:szCs w:val="26"/>
        </w:rPr>
        <w:t xml:space="preserve"> often </w:t>
      </w:r>
      <w:r>
        <w:rPr>
          <w:rFonts w:ascii="Times New Roman" w:hAnsi="Times New Roman"/>
          <w:sz w:val="26"/>
          <w:szCs w:val="26"/>
        </w:rPr>
        <w:t xml:space="preserve">necessitate </w:t>
      </w:r>
      <w:r w:rsidRPr="00617489">
        <w:rPr>
          <w:rFonts w:ascii="Times New Roman" w:hAnsi="Times New Roman"/>
          <w:sz w:val="26"/>
          <w:szCs w:val="26"/>
        </w:rPr>
        <w:t xml:space="preserve">discussion of protected juvenile records and educational records. </w:t>
      </w:r>
    </w:p>
    <w:p w14:paraId="66E44C84" w14:textId="77777777" w:rsidR="00D02A89" w:rsidRDefault="00D02A89" w:rsidP="003848A8">
      <w:pPr>
        <w:spacing w:after="120" w:line="480" w:lineRule="auto"/>
        <w:ind w:firstLine="720"/>
        <w:jc w:val="both"/>
        <w:rPr>
          <w:rFonts w:ascii="Times New Roman" w:hAnsi="Times New Roman"/>
          <w:sz w:val="26"/>
          <w:szCs w:val="26"/>
        </w:rPr>
      </w:pPr>
    </w:p>
    <w:p w14:paraId="3AB4332C" w14:textId="77777777" w:rsidR="00CD2D1F"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Third,</w:t>
      </w:r>
      <w:r w:rsidRPr="00617489">
        <w:rPr>
          <w:rFonts w:ascii="Times New Roman" w:hAnsi="Times New Roman"/>
          <w:sz w:val="26"/>
          <w:szCs w:val="26"/>
        </w:rPr>
        <w:t xml:space="preserve"> the </w:t>
      </w:r>
      <w:r>
        <w:rPr>
          <w:rFonts w:ascii="Times New Roman" w:hAnsi="Times New Roman"/>
          <w:sz w:val="26"/>
          <w:szCs w:val="26"/>
        </w:rPr>
        <w:t>C</w:t>
      </w:r>
      <w:r w:rsidRPr="00617489">
        <w:rPr>
          <w:rFonts w:ascii="Times New Roman" w:hAnsi="Times New Roman"/>
          <w:sz w:val="26"/>
          <w:szCs w:val="26"/>
        </w:rPr>
        <w:t xml:space="preserve">ourt should </w:t>
      </w:r>
      <w:r>
        <w:rPr>
          <w:rFonts w:ascii="Times New Roman" w:hAnsi="Times New Roman"/>
          <w:sz w:val="26"/>
          <w:szCs w:val="26"/>
        </w:rPr>
        <w:t xml:space="preserve">require re-determination proceedings be sealed, including all hearings, motions, and other filed documents. </w:t>
      </w:r>
    </w:p>
    <w:p w14:paraId="2E1C0317" w14:textId="77777777" w:rsidR="00CD2D1F" w:rsidRPr="00617489" w:rsidRDefault="00CD2D1F" w:rsidP="003848A8">
      <w:pPr>
        <w:spacing w:after="120" w:line="480" w:lineRule="auto"/>
        <w:ind w:firstLine="720"/>
        <w:jc w:val="both"/>
        <w:rPr>
          <w:rFonts w:ascii="Times New Roman" w:hAnsi="Times New Roman"/>
          <w:sz w:val="26"/>
          <w:szCs w:val="26"/>
        </w:rPr>
      </w:pPr>
      <w:r>
        <w:rPr>
          <w:rFonts w:ascii="Times New Roman" w:hAnsi="Times New Roman"/>
          <w:sz w:val="26"/>
          <w:szCs w:val="26"/>
        </w:rPr>
        <w:t xml:space="preserve">Further, the Court should order that any information obtained or disclosed for purposes of re-determination hearings not be used against the juveniles in their criminal matters. </w:t>
      </w:r>
    </w:p>
    <w:p w14:paraId="03AF569C" w14:textId="77777777" w:rsidR="00CD2D1F" w:rsidRDefault="00CD2D1F" w:rsidP="003848A8">
      <w:pPr>
        <w:pStyle w:val="ListParagraph"/>
        <w:widowControl/>
        <w:numPr>
          <w:ilvl w:val="0"/>
          <w:numId w:val="3"/>
        </w:numPr>
        <w:spacing w:after="120" w:line="480" w:lineRule="auto"/>
        <w:jc w:val="both"/>
        <w:rPr>
          <w:rFonts w:ascii="Times New Roman" w:hAnsi="Times New Roman"/>
          <w:b/>
          <w:bCs/>
          <w:sz w:val="26"/>
          <w:szCs w:val="26"/>
        </w:rPr>
      </w:pPr>
      <w:r>
        <w:rPr>
          <w:rFonts w:ascii="Times New Roman" w:hAnsi="Times New Roman"/>
          <w:b/>
          <w:bCs/>
          <w:sz w:val="26"/>
          <w:szCs w:val="26"/>
        </w:rPr>
        <w:t>Conclusion</w:t>
      </w:r>
    </w:p>
    <w:p w14:paraId="789A5C8F" w14:textId="77777777" w:rsidR="00CD2D1F" w:rsidRPr="00A33552" w:rsidRDefault="00CD2D1F" w:rsidP="003848A8">
      <w:pPr>
        <w:pStyle w:val="ListParagraph"/>
        <w:spacing w:after="120" w:line="480" w:lineRule="auto"/>
        <w:ind w:left="0" w:firstLine="720"/>
        <w:jc w:val="both"/>
        <w:rPr>
          <w:rFonts w:ascii="Times New Roman" w:hAnsi="Times New Roman"/>
          <w:sz w:val="26"/>
          <w:szCs w:val="26"/>
        </w:rPr>
      </w:pPr>
      <w:r>
        <w:rPr>
          <w:rFonts w:ascii="Times New Roman" w:hAnsi="Times New Roman"/>
          <w:sz w:val="26"/>
          <w:szCs w:val="26"/>
        </w:rPr>
        <w:t xml:space="preserve">For the reasons explained above, the Indigent Defense Offices in Maricopa County recommend the Court reject or modify the re-determination provision contained in proposed Rule 228.  </w:t>
      </w:r>
    </w:p>
    <w:p w14:paraId="61400BE2" w14:textId="5F585ACA" w:rsidR="00A00E0C" w:rsidRDefault="00A00E0C" w:rsidP="003848A8">
      <w:pPr>
        <w:widowControl/>
        <w:jc w:val="both"/>
        <w:rPr>
          <w:rFonts w:ascii="Times New Roman" w:hAnsi="Times New Roman"/>
          <w:sz w:val="28"/>
          <w:szCs w:val="28"/>
        </w:rPr>
      </w:pPr>
    </w:p>
    <w:p w14:paraId="2ABA1376" w14:textId="77777777" w:rsidR="00517872" w:rsidRDefault="00517872" w:rsidP="00517872">
      <w:pPr>
        <w:widowControl/>
        <w:ind w:firstLine="720"/>
        <w:jc w:val="both"/>
        <w:rPr>
          <w:rFonts w:ascii="Times New Roman" w:hAnsi="Times New Roman"/>
          <w:sz w:val="28"/>
          <w:szCs w:val="28"/>
        </w:rPr>
      </w:pPr>
      <w:r>
        <w:rPr>
          <w:rFonts w:ascii="Times New Roman" w:hAnsi="Times New Roman"/>
          <w:sz w:val="28"/>
          <w:szCs w:val="28"/>
        </w:rPr>
        <w:t>Respectfully submitted October 31, 2022.</w:t>
      </w:r>
    </w:p>
    <w:p w14:paraId="3F894C91" w14:textId="77777777" w:rsidR="00517872" w:rsidRDefault="00517872" w:rsidP="00517872">
      <w:pPr>
        <w:widowControl/>
        <w:jc w:val="both"/>
        <w:rPr>
          <w:rFonts w:ascii="Times New Roman" w:hAnsi="Times New Roman"/>
          <w:sz w:val="28"/>
          <w:szCs w:val="28"/>
        </w:rPr>
      </w:pPr>
    </w:p>
    <w:p w14:paraId="114B2115" w14:textId="77777777" w:rsidR="00517872" w:rsidRDefault="00517872" w:rsidP="00517872">
      <w:pPr>
        <w:widowControl/>
        <w:jc w:val="both"/>
        <w:rPr>
          <w:rFonts w:ascii="Times New Roman" w:hAnsi="Times New Roman"/>
          <w:sz w:val="28"/>
          <w:szCs w:val="28"/>
        </w:rPr>
      </w:pPr>
    </w:p>
    <w:p w14:paraId="0A40E445"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Rosemarie Pena-Lynch</w:t>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Gary Kula</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6FEFC468" w14:textId="2B32B89C" w:rsidR="00517872" w:rsidRPr="005B2963" w:rsidRDefault="00517872" w:rsidP="005B2963">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Rosemarie Pena-Lynch</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Gary Kula</w:t>
      </w:r>
      <w:r w:rsidR="005B2963">
        <w:rPr>
          <w:rFonts w:ascii="Times New Roman" w:hAnsi="Times New Roman"/>
          <w:sz w:val="28"/>
          <w:szCs w:val="28"/>
        </w:rPr>
        <w:t>, Director</w:t>
      </w:r>
    </w:p>
    <w:p w14:paraId="530CB84C" w14:textId="7864D18F" w:rsidR="00517872" w:rsidRDefault="00517872" w:rsidP="008C6960">
      <w:pPr>
        <w:widowControl/>
        <w:tabs>
          <w:tab w:val="left" w:pos="5400"/>
        </w:tabs>
        <w:ind w:firstLine="360"/>
        <w:jc w:val="both"/>
        <w:rPr>
          <w:rFonts w:ascii="Times New Roman" w:hAnsi="Times New Roman"/>
          <w:sz w:val="28"/>
          <w:szCs w:val="28"/>
        </w:rPr>
      </w:pPr>
      <w:r w:rsidRPr="00B67F38">
        <w:rPr>
          <w:rFonts w:ascii="Times New Roman" w:hAnsi="Times New Roman"/>
          <w:sz w:val="28"/>
          <w:szCs w:val="28"/>
        </w:rPr>
        <w:t>Mcpa.</w:t>
      </w:r>
      <w:r>
        <w:rPr>
          <w:rFonts w:ascii="Times New Roman" w:hAnsi="Times New Roman"/>
          <w:sz w:val="28"/>
          <w:szCs w:val="28"/>
        </w:rPr>
        <w:t xml:space="preserve"> Cnty.</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Public Defense Svc.</w:t>
      </w:r>
      <w:r>
        <w:rPr>
          <w:rFonts w:ascii="Times New Roman" w:hAnsi="Times New Roman"/>
          <w:sz w:val="28"/>
          <w:szCs w:val="28"/>
        </w:rPr>
        <w:tab/>
      </w: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Public Defenders</w:t>
      </w:r>
      <w:r w:rsidR="008C6960">
        <w:rPr>
          <w:rFonts w:ascii="Times New Roman" w:hAnsi="Times New Roman"/>
          <w:sz w:val="28"/>
          <w:szCs w:val="28"/>
        </w:rPr>
        <w:t xml:space="preserve"> Ofc.</w:t>
      </w:r>
    </w:p>
    <w:p w14:paraId="2A0718F9" w14:textId="77777777" w:rsidR="00517872" w:rsidRDefault="00517872" w:rsidP="00517872">
      <w:pPr>
        <w:widowControl/>
        <w:jc w:val="both"/>
        <w:rPr>
          <w:rFonts w:ascii="Times New Roman" w:hAnsi="Times New Roman"/>
          <w:sz w:val="28"/>
          <w:szCs w:val="28"/>
        </w:rPr>
      </w:pPr>
    </w:p>
    <w:p w14:paraId="6D55C85E" w14:textId="77777777" w:rsidR="00517872" w:rsidRPr="00B67F38" w:rsidRDefault="00517872" w:rsidP="00517872">
      <w:pPr>
        <w:widowControl/>
        <w:jc w:val="both"/>
        <w:rPr>
          <w:rFonts w:ascii="Times New Roman" w:hAnsi="Times New Roman"/>
          <w:sz w:val="28"/>
          <w:szCs w:val="28"/>
        </w:rPr>
      </w:pPr>
    </w:p>
    <w:p w14:paraId="0EF4BC08"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Steve Koestner</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ab/>
        <w:t>By</w:t>
      </w:r>
      <w:r>
        <w:rPr>
          <w:rFonts w:ascii="Times New Roman" w:hAnsi="Times New Roman"/>
          <w:sz w:val="28"/>
          <w:szCs w:val="28"/>
          <w:u w:val="single"/>
        </w:rPr>
        <w:tab/>
        <w:t xml:space="preserve">/s/ </w:t>
      </w:r>
      <w:r w:rsidRPr="00C16D2B">
        <w:rPr>
          <w:rFonts w:ascii="Times New Roman" w:hAnsi="Times New Roman"/>
          <w:i/>
          <w:iCs/>
          <w:sz w:val="28"/>
          <w:szCs w:val="28"/>
          <w:u w:val="single"/>
        </w:rPr>
        <w:t>Shannon Burns</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04C60272" w14:textId="3DD29583" w:rsidR="00CD0B1E" w:rsidRDefault="00517872" w:rsidP="00517872">
      <w:pPr>
        <w:widowControl/>
        <w:tabs>
          <w:tab w:val="left" w:pos="5400"/>
        </w:tabs>
        <w:ind w:firstLine="360"/>
        <w:jc w:val="both"/>
        <w:rPr>
          <w:rFonts w:ascii="Times New Roman" w:hAnsi="Times New Roman"/>
          <w:b/>
          <w:bCs/>
          <w:sz w:val="28"/>
          <w:szCs w:val="28"/>
        </w:rPr>
      </w:pPr>
      <w:r w:rsidRPr="00517872">
        <w:rPr>
          <w:rFonts w:ascii="Times New Roman" w:hAnsi="Times New Roman"/>
          <w:sz w:val="28"/>
          <w:szCs w:val="28"/>
        </w:rPr>
        <w:t>Steve Koestner</w:t>
      </w:r>
      <w:r w:rsidR="005B2963">
        <w:rPr>
          <w:rFonts w:ascii="Times New Roman" w:hAnsi="Times New Roman"/>
          <w:sz w:val="28"/>
          <w:szCs w:val="28"/>
        </w:rPr>
        <w:t>, Director</w:t>
      </w:r>
      <w:r w:rsidRPr="00B67F38">
        <w:rPr>
          <w:rFonts w:ascii="Times New Roman" w:hAnsi="Times New Roman"/>
          <w:sz w:val="28"/>
          <w:szCs w:val="28"/>
        </w:rPr>
        <w:tab/>
      </w:r>
      <w:r w:rsidRPr="00517872">
        <w:rPr>
          <w:rFonts w:ascii="Times New Roman" w:hAnsi="Times New Roman"/>
          <w:sz w:val="28"/>
          <w:szCs w:val="28"/>
        </w:rPr>
        <w:t>Shannon Burns</w:t>
      </w:r>
      <w:r w:rsidR="005B2963">
        <w:rPr>
          <w:rFonts w:ascii="Times New Roman" w:hAnsi="Times New Roman"/>
          <w:sz w:val="28"/>
          <w:szCs w:val="28"/>
        </w:rPr>
        <w:t>, Director</w:t>
      </w:r>
    </w:p>
    <w:p w14:paraId="697FD7BC" w14:textId="0E94BE8F" w:rsidR="00517872" w:rsidRDefault="00517872" w:rsidP="008C6960">
      <w:pPr>
        <w:widowControl/>
        <w:tabs>
          <w:tab w:val="left" w:pos="5400"/>
        </w:tabs>
        <w:ind w:left="4320" w:right="-1350" w:hanging="3960"/>
        <w:jc w:val="both"/>
        <w:rPr>
          <w:rFonts w:ascii="Times New Roman" w:hAnsi="Times New Roman"/>
          <w:sz w:val="28"/>
          <w:szCs w:val="28"/>
        </w:rPr>
      </w:pP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Legal Advocate</w:t>
      </w:r>
      <w:r>
        <w:rPr>
          <w:rFonts w:ascii="Times New Roman" w:hAnsi="Times New Roman"/>
          <w:sz w:val="28"/>
          <w:szCs w:val="28"/>
        </w:rPr>
        <w:tab/>
      </w:r>
      <w:r w:rsidRPr="00B67F38">
        <w:rPr>
          <w:rFonts w:ascii="Times New Roman" w:hAnsi="Times New Roman"/>
          <w:sz w:val="28"/>
          <w:szCs w:val="28"/>
        </w:rPr>
        <w:t xml:space="preserve">Mcpa. </w:t>
      </w:r>
      <w:r>
        <w:rPr>
          <w:rFonts w:ascii="Times New Roman" w:hAnsi="Times New Roman"/>
          <w:sz w:val="28"/>
          <w:szCs w:val="28"/>
        </w:rPr>
        <w:t xml:space="preserve">Cnty. </w:t>
      </w:r>
      <w:r w:rsidRPr="00B67F38">
        <w:rPr>
          <w:rFonts w:ascii="Times New Roman" w:hAnsi="Times New Roman"/>
          <w:sz w:val="28"/>
          <w:szCs w:val="28"/>
        </w:rPr>
        <w:t>Of</w:t>
      </w:r>
      <w:r>
        <w:rPr>
          <w:rFonts w:ascii="Times New Roman" w:hAnsi="Times New Roman"/>
          <w:sz w:val="28"/>
          <w:szCs w:val="28"/>
        </w:rPr>
        <w:t>c.</w:t>
      </w:r>
      <w:r w:rsidRPr="00B67F38">
        <w:rPr>
          <w:rFonts w:ascii="Times New Roman" w:hAnsi="Times New Roman"/>
          <w:sz w:val="28"/>
          <w:szCs w:val="28"/>
        </w:rPr>
        <w:t xml:space="preserve"> of Public</w:t>
      </w:r>
      <w:r w:rsidR="008C6960">
        <w:rPr>
          <w:rFonts w:ascii="Times New Roman" w:hAnsi="Times New Roman"/>
          <w:sz w:val="28"/>
          <w:szCs w:val="28"/>
        </w:rPr>
        <w:t xml:space="preserve"> Advocate</w:t>
      </w:r>
      <w:r w:rsidRPr="00B67F38">
        <w:rPr>
          <w:rFonts w:ascii="Times New Roman" w:hAnsi="Times New Roman"/>
          <w:sz w:val="28"/>
          <w:szCs w:val="28"/>
        </w:rPr>
        <w:t xml:space="preserve"> </w:t>
      </w:r>
    </w:p>
    <w:p w14:paraId="68842C39" w14:textId="77777777" w:rsidR="00517872" w:rsidRDefault="00517872" w:rsidP="00517872">
      <w:pPr>
        <w:widowControl/>
        <w:jc w:val="both"/>
        <w:rPr>
          <w:rFonts w:ascii="Times New Roman" w:hAnsi="Times New Roman"/>
          <w:sz w:val="28"/>
          <w:szCs w:val="28"/>
        </w:rPr>
      </w:pPr>
    </w:p>
    <w:p w14:paraId="31A17A3F" w14:textId="77777777" w:rsidR="00517872" w:rsidRPr="00B67F38" w:rsidRDefault="00517872" w:rsidP="00517872">
      <w:pPr>
        <w:widowControl/>
        <w:jc w:val="both"/>
        <w:rPr>
          <w:rFonts w:ascii="Times New Roman" w:hAnsi="Times New Roman"/>
          <w:sz w:val="28"/>
          <w:szCs w:val="28"/>
        </w:rPr>
      </w:pPr>
    </w:p>
    <w:p w14:paraId="1ADBA02D" w14:textId="77777777" w:rsidR="00517872" w:rsidRPr="008E1D8B" w:rsidRDefault="00517872" w:rsidP="00517872">
      <w:pPr>
        <w:widowControl/>
        <w:jc w:val="both"/>
        <w:rPr>
          <w:rFonts w:ascii="Times New Roman" w:hAnsi="Times New Roman"/>
          <w:sz w:val="28"/>
          <w:szCs w:val="28"/>
          <w:u w:val="single"/>
        </w:rPr>
      </w:pPr>
      <w:r>
        <w:rPr>
          <w:rFonts w:ascii="Times New Roman" w:hAnsi="Times New Roman"/>
          <w:sz w:val="28"/>
          <w:szCs w:val="28"/>
        </w:rPr>
        <w:t>By</w:t>
      </w:r>
      <w:r>
        <w:rPr>
          <w:rFonts w:ascii="Times New Roman" w:hAnsi="Times New Roman"/>
          <w:sz w:val="28"/>
          <w:szCs w:val="28"/>
          <w:u w:val="single"/>
        </w:rPr>
        <w:tab/>
        <w:t xml:space="preserve">/s/ </w:t>
      </w:r>
      <w:r w:rsidRPr="00C16D2B">
        <w:rPr>
          <w:rFonts w:ascii="Times New Roman" w:hAnsi="Times New Roman"/>
          <w:i/>
          <w:iCs/>
          <w:sz w:val="28"/>
          <w:szCs w:val="28"/>
          <w:u w:val="single"/>
        </w:rPr>
        <w:t>Sherri McGuire Lawson</w:t>
      </w:r>
      <w:r>
        <w:rPr>
          <w:rFonts w:ascii="Times New Roman" w:hAnsi="Times New Roman"/>
          <w:sz w:val="28"/>
          <w:szCs w:val="28"/>
          <w:u w:val="single"/>
        </w:rPr>
        <w:tab/>
      </w:r>
    </w:p>
    <w:p w14:paraId="769C974A" w14:textId="7334DCCC" w:rsidR="00517872" w:rsidRPr="00517872" w:rsidRDefault="00517872" w:rsidP="00517872">
      <w:pPr>
        <w:widowControl/>
        <w:ind w:firstLine="360"/>
        <w:jc w:val="both"/>
        <w:rPr>
          <w:rFonts w:ascii="Times New Roman" w:hAnsi="Times New Roman"/>
          <w:sz w:val="28"/>
          <w:szCs w:val="28"/>
        </w:rPr>
      </w:pPr>
      <w:r w:rsidRPr="00517872">
        <w:rPr>
          <w:rFonts w:ascii="Times New Roman" w:hAnsi="Times New Roman"/>
          <w:sz w:val="28"/>
          <w:szCs w:val="28"/>
        </w:rPr>
        <w:t>Sherri McGuire Lawson</w:t>
      </w:r>
      <w:r w:rsidR="005B2963">
        <w:rPr>
          <w:rFonts w:ascii="Times New Roman" w:hAnsi="Times New Roman"/>
          <w:sz w:val="28"/>
          <w:szCs w:val="28"/>
        </w:rPr>
        <w:t>, Director</w:t>
      </w:r>
    </w:p>
    <w:p w14:paraId="6BED04A2" w14:textId="77777777" w:rsidR="00517872" w:rsidRPr="00B67F38" w:rsidRDefault="00517872" w:rsidP="00517872">
      <w:pPr>
        <w:widowControl/>
        <w:ind w:firstLine="360"/>
        <w:jc w:val="both"/>
        <w:rPr>
          <w:rFonts w:ascii="Times New Roman" w:hAnsi="Times New Roman"/>
          <w:sz w:val="28"/>
          <w:szCs w:val="28"/>
        </w:rPr>
      </w:pPr>
      <w:r w:rsidRPr="00B67F38">
        <w:rPr>
          <w:rFonts w:ascii="Times New Roman" w:hAnsi="Times New Roman"/>
          <w:sz w:val="28"/>
          <w:szCs w:val="28"/>
        </w:rPr>
        <w:t>Mcpa.</w:t>
      </w:r>
      <w:r>
        <w:rPr>
          <w:rFonts w:ascii="Times New Roman" w:hAnsi="Times New Roman"/>
          <w:sz w:val="28"/>
          <w:szCs w:val="28"/>
        </w:rPr>
        <w:t xml:space="preserve"> Cnty.</w:t>
      </w:r>
      <w:r w:rsidRPr="00B67F38">
        <w:rPr>
          <w:rFonts w:ascii="Times New Roman" w:hAnsi="Times New Roman"/>
          <w:sz w:val="28"/>
          <w:szCs w:val="28"/>
        </w:rPr>
        <w:t xml:space="preserve"> Of</w:t>
      </w:r>
      <w:r>
        <w:rPr>
          <w:rFonts w:ascii="Times New Roman" w:hAnsi="Times New Roman"/>
          <w:sz w:val="28"/>
          <w:szCs w:val="28"/>
        </w:rPr>
        <w:t>c.</w:t>
      </w:r>
      <w:r w:rsidRPr="00B67F38">
        <w:rPr>
          <w:rFonts w:ascii="Times New Roman" w:hAnsi="Times New Roman"/>
          <w:sz w:val="28"/>
          <w:szCs w:val="28"/>
        </w:rPr>
        <w:t xml:space="preserve">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21A4" w14:textId="77777777" w:rsidR="005D022F" w:rsidRDefault="005D022F" w:rsidP="00517872">
      <w:r>
        <w:separator/>
      </w:r>
    </w:p>
  </w:endnote>
  <w:endnote w:type="continuationSeparator" w:id="0">
    <w:p w14:paraId="7401E74B" w14:textId="77777777" w:rsidR="005D022F" w:rsidRDefault="005D022F"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250F" w14:textId="77777777" w:rsidR="005D022F" w:rsidRDefault="005D022F" w:rsidP="00517872">
      <w:r>
        <w:separator/>
      </w:r>
    </w:p>
  </w:footnote>
  <w:footnote w:type="continuationSeparator" w:id="0">
    <w:p w14:paraId="17D8B4D0" w14:textId="77777777" w:rsidR="005D022F" w:rsidRDefault="005D022F" w:rsidP="00517872">
      <w:r>
        <w:continuationSeparator/>
      </w:r>
    </w:p>
  </w:footnote>
  <w:footnote w:id="1">
    <w:p w14:paraId="54DDDB80" w14:textId="77777777" w:rsidR="00CD2D1F" w:rsidRPr="005E03CC" w:rsidRDefault="00CD2D1F" w:rsidP="009517F1">
      <w:pPr>
        <w:spacing w:after="120"/>
        <w:rPr>
          <w:rFonts w:cstheme="minorHAnsi"/>
          <w:sz w:val="20"/>
        </w:rPr>
      </w:pPr>
      <w:r w:rsidRPr="009517F1">
        <w:rPr>
          <w:rStyle w:val="FootnoteReference"/>
          <w:rFonts w:cstheme="minorHAnsi"/>
          <w:sz w:val="20"/>
          <w:vertAlign w:val="superscript"/>
        </w:rPr>
        <w:footnoteRef/>
      </w:r>
      <w:r w:rsidRPr="005E03CC">
        <w:rPr>
          <w:rFonts w:cstheme="minorHAnsi"/>
          <w:sz w:val="20"/>
        </w:rPr>
        <w:t xml:space="preserve"> </w:t>
      </w:r>
      <w:r w:rsidRPr="0008409D">
        <w:rPr>
          <w:rFonts w:ascii="Times New Roman" w:hAnsi="Times New Roman" w:cs="Times New Roman"/>
          <w:color w:val="000000"/>
          <w:sz w:val="20"/>
        </w:rPr>
        <w:t>PL 93–415 (S 821), PL 93–415, September 7, 1974, 88 Stat 1109, As Amended Through P.L. 115-385, Enacted December 21, 2018 Sec 223.</w:t>
      </w:r>
    </w:p>
    <w:p w14:paraId="5E3A9996" w14:textId="77777777" w:rsidR="00CD2D1F" w:rsidRDefault="00CD2D1F" w:rsidP="00CD2D1F">
      <w:pPr>
        <w:pStyle w:val="FootnoteText"/>
      </w:pPr>
    </w:p>
  </w:footnote>
  <w:footnote w:id="2">
    <w:p w14:paraId="0922F267" w14:textId="3D3BB574" w:rsidR="00CD2D1F" w:rsidRPr="006302FB" w:rsidRDefault="00CD2D1F" w:rsidP="00CD2D1F">
      <w:pPr>
        <w:pStyle w:val="FootnoteText"/>
      </w:pPr>
      <w:r w:rsidRPr="009517F1">
        <w:rPr>
          <w:rStyle w:val="FootnoteReference"/>
          <w:vertAlign w:val="superscript"/>
        </w:rPr>
        <w:footnoteRef/>
      </w:r>
      <w:r>
        <w:t xml:space="preserve"> </w:t>
      </w:r>
      <w:r w:rsidRPr="0008409D">
        <w:rPr>
          <w:rFonts w:ascii="Times New Roman" w:hAnsi="Times New Roman" w:cs="Times New Roman"/>
          <w:i/>
          <w:iCs/>
        </w:rPr>
        <w:t>See generally Roper v. Simmons</w:t>
      </w:r>
      <w:r w:rsidRPr="0008409D">
        <w:rPr>
          <w:rFonts w:ascii="Times New Roman" w:hAnsi="Times New Roman" w:cs="Times New Roman"/>
        </w:rPr>
        <w:t>, 543 U.S. 551 (2005).</w:t>
      </w:r>
    </w:p>
  </w:footnote>
  <w:footnote w:id="3">
    <w:p w14:paraId="1CBA03E8" w14:textId="77777777" w:rsidR="00CD2D1F" w:rsidRPr="0008409D" w:rsidRDefault="00CD2D1F" w:rsidP="00CD2D1F">
      <w:pPr>
        <w:pStyle w:val="FootnoteText"/>
        <w:rPr>
          <w:rFonts w:ascii="Times New Roman" w:hAnsi="Times New Roman" w:cs="Times New Roman"/>
        </w:rPr>
      </w:pPr>
      <w:r w:rsidRPr="009517F1">
        <w:rPr>
          <w:rStyle w:val="FootnoteReference"/>
          <w:vertAlign w:val="superscript"/>
        </w:rPr>
        <w:footnoteRef/>
      </w:r>
      <w:r>
        <w:t xml:space="preserve"> </w:t>
      </w:r>
      <w:r w:rsidRPr="0008409D">
        <w:rPr>
          <w:rFonts w:ascii="Times New Roman" w:eastAsia="Times New Roman" w:hAnsi="Times New Roman" w:cs="Times New Roman"/>
          <w:color w:val="000000"/>
        </w:rPr>
        <w:t xml:space="preserve">PL 93–415 (S 821), PL 93–415, September 7, 1974, 88 Stat 1109, As Amended Through P.L. 115-385, Enacted December 21, 2018, Sec. 102, p.3. </w:t>
      </w:r>
      <w:r w:rsidRPr="0008409D">
        <w:rPr>
          <w:rFonts w:ascii="Times New Roman" w:hAnsi="Times New Roman" w:cs="Times New Roman"/>
          <w:sz w:val="26"/>
          <w:szCs w:val="26"/>
        </w:rPr>
        <w:t xml:space="preserve"> </w:t>
      </w:r>
    </w:p>
  </w:footnote>
  <w:footnote w:id="4">
    <w:p w14:paraId="27348E62" w14:textId="77777777" w:rsidR="00CD2D1F" w:rsidRDefault="00CD2D1F" w:rsidP="00CD2D1F">
      <w:pPr>
        <w:pStyle w:val="FootnoteText"/>
      </w:pPr>
      <w:r w:rsidRPr="0008409D">
        <w:rPr>
          <w:rStyle w:val="FootnoteReference"/>
          <w:rFonts w:ascii="Times New Roman" w:hAnsi="Times New Roman" w:cs="Times New Roman"/>
          <w:vertAlign w:val="superscript"/>
        </w:rPr>
        <w:footnoteRef/>
      </w:r>
      <w:r w:rsidRPr="0008409D">
        <w:rPr>
          <w:rFonts w:ascii="Times New Roman" w:hAnsi="Times New Roman" w:cs="Times New Roman"/>
        </w:rPr>
        <w:t xml:space="preserve"> Ariz. Rev. Stat. 8-208 (2022).</w:t>
      </w:r>
    </w:p>
  </w:footnote>
  <w:footnote w:id="5">
    <w:p w14:paraId="26471ACC" w14:textId="77777777" w:rsidR="00CD2D1F" w:rsidRDefault="00CD2D1F" w:rsidP="00CD2D1F">
      <w:pPr>
        <w:pStyle w:val="FootnoteText"/>
      </w:pPr>
      <w:r w:rsidRPr="009517F1">
        <w:rPr>
          <w:rStyle w:val="FootnoteReference"/>
          <w:vertAlign w:val="superscript"/>
        </w:rPr>
        <w:footnoteRef/>
      </w:r>
      <w:r>
        <w:t xml:space="preserve"> </w:t>
      </w:r>
      <w:r w:rsidRPr="0008409D">
        <w:rPr>
          <w:rFonts w:ascii="Times New Roman" w:hAnsi="Times New Roman" w:cs="Times New Roman"/>
          <w:i/>
          <w:iCs/>
        </w:rPr>
        <w:t xml:space="preserve">See </w:t>
      </w:r>
      <w:r w:rsidRPr="0008409D">
        <w:rPr>
          <w:rFonts w:ascii="Times New Roman" w:hAnsi="Times New Roman" w:cs="Times New Roman"/>
        </w:rPr>
        <w:t xml:space="preserve">Losen, D. J., &amp; Martinez, P. (2020). Lost opportunities: How disparate school discipline continues to drive differences in the opportunity to learn. Palo Alto, CA/Los Angeles, CA: Learning Policy Institute; Center for Civil Rights Remedies at the Civil Rights Project, UCLA </w:t>
      </w:r>
      <w:hyperlink r:id="rId1" w:history="1">
        <w:r w:rsidRPr="0008409D">
          <w:rPr>
            <w:rStyle w:val="Hyperlink"/>
            <w:rFonts w:ascii="Times New Roman" w:hAnsi="Times New Roman" w:cs="Times New Roman"/>
          </w:rPr>
          <w:t>http://www.schooldisciplinedata.org/ccrr/docs/Lost%20Opportunities%20-%20REPORT%20-%20v17.pdf</w:t>
        </w:r>
      </w:hyperlink>
      <w:r w:rsidRPr="0008409D">
        <w:rPr>
          <w:rFonts w:ascii="Times New Roman" w:hAnsi="Times New Roman" w:cs="Times New Roman"/>
        </w:rPr>
        <w:t xml:space="preserve"> (for example, noting one study that, “[a]lthough districts typically have a districtwide student code of conduct, in many districts, the individual school leaders have the autonomy to respond to student behavior according to their own beliefs and attitudes. A study by Dr. Russ Skiba that surveyed principals from every school in Indiana found that a principal’s attitude on school discipline was not only the most powerful predictor of whether suspension rates were high or low but was also the strongest predictor of whether racial disparities were large or small (after controlling for poverty and several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444F5"/>
    <w:rsid w:val="00054132"/>
    <w:rsid w:val="0008409D"/>
    <w:rsid w:val="000926B8"/>
    <w:rsid w:val="0010481C"/>
    <w:rsid w:val="001A7E73"/>
    <w:rsid w:val="001E072E"/>
    <w:rsid w:val="00204182"/>
    <w:rsid w:val="00207B3E"/>
    <w:rsid w:val="002170A9"/>
    <w:rsid w:val="00282FB2"/>
    <w:rsid w:val="002A25AC"/>
    <w:rsid w:val="0031043B"/>
    <w:rsid w:val="00361ECA"/>
    <w:rsid w:val="003848A8"/>
    <w:rsid w:val="003D666F"/>
    <w:rsid w:val="00410529"/>
    <w:rsid w:val="00455190"/>
    <w:rsid w:val="004D31D2"/>
    <w:rsid w:val="0050719E"/>
    <w:rsid w:val="00517872"/>
    <w:rsid w:val="005444FE"/>
    <w:rsid w:val="005462C0"/>
    <w:rsid w:val="005B2963"/>
    <w:rsid w:val="005D022F"/>
    <w:rsid w:val="005D4A93"/>
    <w:rsid w:val="005E03CC"/>
    <w:rsid w:val="00614985"/>
    <w:rsid w:val="00644083"/>
    <w:rsid w:val="006B75E0"/>
    <w:rsid w:val="006D01B5"/>
    <w:rsid w:val="0071774D"/>
    <w:rsid w:val="00721CE8"/>
    <w:rsid w:val="00744EFD"/>
    <w:rsid w:val="0077605C"/>
    <w:rsid w:val="007F3B31"/>
    <w:rsid w:val="008C6960"/>
    <w:rsid w:val="008D26AC"/>
    <w:rsid w:val="00910F99"/>
    <w:rsid w:val="009517F1"/>
    <w:rsid w:val="00A0011D"/>
    <w:rsid w:val="00A00E0C"/>
    <w:rsid w:val="00A25ADC"/>
    <w:rsid w:val="00A578B4"/>
    <w:rsid w:val="00AC125A"/>
    <w:rsid w:val="00B32944"/>
    <w:rsid w:val="00B45D2E"/>
    <w:rsid w:val="00BB31F7"/>
    <w:rsid w:val="00BE6519"/>
    <w:rsid w:val="00CD0B1E"/>
    <w:rsid w:val="00CD2D1F"/>
    <w:rsid w:val="00D02A89"/>
    <w:rsid w:val="00D550AB"/>
    <w:rsid w:val="00DB2440"/>
    <w:rsid w:val="00DD5E3A"/>
    <w:rsid w:val="00E25729"/>
    <w:rsid w:val="00E70894"/>
    <w:rsid w:val="00EE33FE"/>
    <w:rsid w:val="00F055FC"/>
    <w:rsid w:val="00F8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chooldisciplinedata.org/ccrr/docs/Lost%20Opportunities%20-%20REPORT%20-%20v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42</cp:revision>
  <dcterms:created xsi:type="dcterms:W3CDTF">2022-10-24T22:05:00Z</dcterms:created>
  <dcterms:modified xsi:type="dcterms:W3CDTF">2022-10-28T23:13:00Z</dcterms:modified>
</cp:coreProperties>
</file>